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7A19" w:rsidRPr="000E7A19" w:rsidRDefault="00B81AF8" w:rsidP="000E7A19">
      <w:r>
        <w:t xml:space="preserve">Presented </w:t>
      </w:r>
      <w:proofErr w:type="gramStart"/>
      <w:r>
        <w:t>By</w:t>
      </w:r>
      <w:proofErr w:type="gramEnd"/>
      <w:r>
        <w:t xml:space="preserve"> Syed Muhammad Haris</w:t>
      </w:r>
      <w:bookmarkStart w:id="0" w:name="_GoBack"/>
      <w:bookmarkEnd w:id="0"/>
      <w:r>
        <w:br/>
      </w:r>
      <w:r>
        <w:br/>
      </w:r>
      <w:r w:rsidR="000E7A19" w:rsidRPr="000E7A19">
        <w:t>This project undertakes the strategic forecasting of the Nifty 50 index with the objective of enabling data-driven financial decision making. In the contemporary economic environment, equity markets are subject to a complex interplay of macroeconomic, geopolitical, and firm-specific factors, rendering manual prediction increasingly infeasible. The core aim was to construct a high-precision, automated pipeline capable of distinguishing between enduring long</w:t>
      </w:r>
      <w:r w:rsidR="000E7A19" w:rsidRPr="000E7A19">
        <w:noBreakHyphen/>
        <w:t>term trends and ephemeral short</w:t>
      </w:r>
      <w:r w:rsidR="000E7A19" w:rsidRPr="000E7A19">
        <w:noBreakHyphen/>
        <w:t>term market noise. To achieve this, the research leveraged 22 years of historical data while intentionally narrowing the analytical focus to the most recent five</w:t>
      </w:r>
      <w:r w:rsidR="000E7A19" w:rsidRPr="000E7A19">
        <w:noBreakHyphen/>
        <w:t>year window, thereby ensuring that the derived predictive tool remains relevant to current market dynamics and offers a reliable foundation for investors.</w:t>
      </w:r>
    </w:p>
    <w:p w:rsidR="000E7A19" w:rsidRPr="000E7A19" w:rsidRDefault="000E7A19" w:rsidP="000E7A19">
      <w:r w:rsidRPr="000E7A19">
        <w:t>The central challenge in financial forecasting lies in the inherently stochastic and nonlinear behavior of stock prices. Traditional analytical methods often fail to account for abrupt structural shifts—such as the global economic disruption witnessed in early 2020—and lack a formal mathematical framework to quantify risk and anticipate future price corridors. Without such rigor, financial planning remains largely speculative. This project directly addresses these limitations by implementing advanced time series models that combine statistical robustness with contextual awareness, thereby providing a systematic approach to forecasting under uncertainty.</w:t>
      </w:r>
    </w:p>
    <w:p w:rsidR="000E7A19" w:rsidRPr="000E7A19" w:rsidRDefault="000E7A19" w:rsidP="000E7A19">
      <w:r w:rsidRPr="000E7A19">
        <w:t>The empirical analysis draws on a comprehensive Nifty 50 historical dataset obtained from the National Stock Exchange of India. The full corpus comprises 5,582 daily trading records spanning 22 consecutive years; however, the modeling effort deliberately concentrates on the last five years to capture contemporary market behavior. The dataset contains 58 columns, encompassing the standard open, high, low, and close (OHLC) prices alongside a wide spectrum of technical indicators, including the Relative Strength Index (RSI), Moving Average Convergence Divergence (MACD), and Bollinger Bands. These indicators were incorporated as exogenous variables to enrich the models’ understanding of market momentum and volatility.</w:t>
      </w:r>
    </w:p>
    <w:p w:rsidR="000E7A19" w:rsidRPr="000E7A19" w:rsidRDefault="000E7A19" w:rsidP="000E7A19">
      <w:r w:rsidRPr="000E7A19">
        <w:t>Prior to model estimation, the data underwent a rigorous preprocessing regimen. Because equity markets are inactive on weekends and public holidays, a forward</w:t>
      </w:r>
      <w:r w:rsidRPr="000E7A19">
        <w:noBreakHyphen/>
        <w:t>fill method was applied to maintain temporal continuity without introducing look</w:t>
      </w:r>
      <w:r w:rsidRPr="000E7A19">
        <w:noBreakHyphen/>
        <w:t>ahead bias. The series was then indexed by date and truncated to the interval from mid</w:t>
      </w:r>
      <w:r w:rsidRPr="000E7A19">
        <w:noBreakHyphen/>
        <w:t>2017 to mid</w:t>
      </w:r>
      <w:r w:rsidRPr="000E7A19">
        <w:noBreakHyphen/>
        <w:t xml:space="preserve">2022, ensuring that the training data reflect recent economic cycles. This careful </w:t>
      </w:r>
      <w:proofErr w:type="spellStart"/>
      <w:r w:rsidRPr="000E7A19">
        <w:t>curation</w:t>
      </w:r>
      <w:proofErr w:type="spellEnd"/>
      <w:r w:rsidRPr="000E7A19">
        <w:t xml:space="preserve"> was essential to prevent the inclusion of outdated patterns that could impair forecast accuracy.</w:t>
      </w:r>
    </w:p>
    <w:p w:rsidR="000E7A19" w:rsidRPr="000E7A19" w:rsidRDefault="000E7A19" w:rsidP="000E7A19">
      <w:r w:rsidRPr="000E7A19">
        <w:t xml:space="preserve">A fundamental prerequisite for classical time series modeling is the </w:t>
      </w:r>
      <w:proofErr w:type="spellStart"/>
      <w:r w:rsidRPr="000E7A19">
        <w:t>stationarity</w:t>
      </w:r>
      <w:proofErr w:type="spellEnd"/>
      <w:r w:rsidRPr="000E7A19">
        <w:t xml:space="preserve"> of the underlying process. The Augmented Dickey</w:t>
      </w:r>
      <w:r w:rsidRPr="000E7A19">
        <w:noBreakHyphen/>
        <w:t>Fuller test was performed on the raw closing price series, yielding a p</w:t>
      </w:r>
      <w:r w:rsidRPr="000E7A19">
        <w:noBreakHyphen/>
        <w:t>value of 0.84—a clear indication of non</w:t>
      </w:r>
      <w:r w:rsidRPr="000E7A19">
        <w:noBreakHyphen/>
      </w:r>
      <w:proofErr w:type="spellStart"/>
      <w:r w:rsidRPr="000E7A19">
        <w:t>stationarity</w:t>
      </w:r>
      <w:proofErr w:type="spellEnd"/>
      <w:r w:rsidRPr="000E7A19">
        <w:t>. To rectify this, first</w:t>
      </w:r>
      <w:r w:rsidRPr="000E7A19">
        <w:noBreakHyphen/>
        <w:t>order differencing was applied to the series. Following this transformation, the p</w:t>
      </w:r>
      <w:r w:rsidRPr="000E7A19">
        <w:noBreakHyphen/>
        <w:t>value plummeted to 9.78e</w:t>
      </w:r>
      <w:r w:rsidRPr="000E7A19">
        <w:noBreakHyphen/>
        <w:t xml:space="preserve">20, confirming that the differenced series had achieved </w:t>
      </w:r>
      <w:proofErr w:type="spellStart"/>
      <w:r w:rsidRPr="000E7A19">
        <w:t>stationarity</w:t>
      </w:r>
      <w:proofErr w:type="spellEnd"/>
      <w:r w:rsidRPr="000E7A19">
        <w:t xml:space="preserve"> and was therefore suitable for ARIMA modeling.</w:t>
      </w:r>
    </w:p>
    <w:p w:rsidR="000E7A19" w:rsidRPr="000E7A19" w:rsidRDefault="000E7A19" w:rsidP="000E7A19">
      <w:r w:rsidRPr="000E7A19">
        <w:t xml:space="preserve">Using the </w:t>
      </w:r>
      <w:proofErr w:type="spellStart"/>
      <w:r w:rsidRPr="000E7A19">
        <w:t>statsmodels</w:t>
      </w:r>
      <w:proofErr w:type="spellEnd"/>
      <w:r w:rsidRPr="000E7A19">
        <w:t xml:space="preserve"> library, the closing price series was decomposed into its three constituent components: trend, seasonality, and residuals. The trend component revealed a pronounced upward </w:t>
      </w:r>
      <w:r w:rsidRPr="000E7A19">
        <w:lastRenderedPageBreak/>
        <w:t>trajectory following the year 2020, while the seasonal component highlighted recurring annual cycles that influence the index. The residuals isolated random shocks—most notably the extreme volatility that accompanied the onset of the COVID</w:t>
      </w:r>
      <w:r w:rsidRPr="000E7A19">
        <w:noBreakHyphen/>
        <w:t>19 pandemic. This decomposition enabled the forecasting models to concentrate on the underlying signal rather than being misled by transient noise.</w:t>
      </w:r>
    </w:p>
    <w:p w:rsidR="000E7A19" w:rsidRPr="000E7A19" w:rsidRDefault="000E7A19" w:rsidP="000E7A19">
      <w:r w:rsidRPr="000E7A19">
        <w:t>The first predictive model implemented was the autoregressive integrated moving average (ARIMA) framework. Through an automated order</w:t>
      </w:r>
      <w:r w:rsidRPr="000E7A19">
        <w:noBreakHyphen/>
        <w:t xml:space="preserve">selection procedure that minimized both the </w:t>
      </w:r>
      <w:proofErr w:type="spellStart"/>
      <w:r w:rsidRPr="000E7A19">
        <w:t>Akaike</w:t>
      </w:r>
      <w:proofErr w:type="spellEnd"/>
      <w:r w:rsidRPr="000E7A19">
        <w:t xml:space="preserve"> Information Criterion (AIC) and the Bayesian Information Criterion (BIC), the optimal configuration was identified as </w:t>
      </w:r>
      <w:proofErr w:type="gramStart"/>
      <w:r w:rsidRPr="000E7A19">
        <w:t>ARIMA(</w:t>
      </w:r>
      <w:proofErr w:type="gramEnd"/>
      <w:r w:rsidRPr="000E7A19">
        <w:t xml:space="preserve">2,1,2). This specification employs two lagged observations and two moving average error terms to forecast future values. To mitigate the risk of </w:t>
      </w:r>
      <w:proofErr w:type="spellStart"/>
      <w:r w:rsidRPr="000E7A19">
        <w:t>overfitting</w:t>
      </w:r>
      <w:proofErr w:type="spellEnd"/>
      <w:r w:rsidRPr="000E7A19">
        <w:t>, the model was validated using a time</w:t>
      </w:r>
      <w:r w:rsidRPr="000E7A19">
        <w:noBreakHyphen/>
        <w:t>series cross</w:t>
      </w:r>
      <w:r w:rsidRPr="000E7A19">
        <w:noBreakHyphen/>
        <w:t>validation approach, ensuring that its performance generalizes adequately to out</w:t>
      </w:r>
      <w:r w:rsidRPr="000E7A19">
        <w:noBreakHyphen/>
        <w:t>of</w:t>
      </w:r>
      <w:r w:rsidRPr="000E7A19">
        <w:noBreakHyphen/>
        <w:t>sample data.</w:t>
      </w:r>
    </w:p>
    <w:p w:rsidR="000E7A19" w:rsidRPr="000E7A19" w:rsidRDefault="000E7A19" w:rsidP="000E7A19">
      <w:r w:rsidRPr="000E7A19">
        <w:t xml:space="preserve">The second model was Facebook Prophet, a forecasting tool specifically designed to handle seasonality and holiday effects more flexibly than conventional approaches. A notable enhancement in this project was the inclusion of technical indicators—namely RSI and MACD—as additional </w:t>
      </w:r>
      <w:proofErr w:type="spellStart"/>
      <w:r w:rsidRPr="000E7A19">
        <w:t>regressors</w:t>
      </w:r>
      <w:proofErr w:type="spellEnd"/>
      <w:r w:rsidRPr="000E7A19">
        <w:t xml:space="preserve"> within the Prophet framework. By feeding these indicators into the model, the forecasting process acquired contextual intelligence, enabling it to adjust predictions based on whether the market was perceived as overbought or oversold at any given time.</w:t>
      </w:r>
    </w:p>
    <w:p w:rsidR="000E7A19" w:rsidRPr="000E7A19" w:rsidRDefault="000E7A19" w:rsidP="000E7A19">
      <w:r w:rsidRPr="000E7A19">
        <w:t>Both models were rigorously evaluated using standard error metrics. The ARIMA model attained a root mean square error (RMSE) of 1472.69, which corresponds to approximately 8.66 percent of the mean closing price over the evaluation period. The Prophet model performed slightly better in relative terms, achieving a mean absolute percentage error (MAPE) of 7.15 percent. While the initial target was to keep the RMSE below 5 percent, achieving an error margin of roughly 8 percent over a five</w:t>
      </w:r>
      <w:r w:rsidRPr="000E7A19">
        <w:noBreakHyphen/>
        <w:t xml:space="preserve">year interval that included </w:t>
      </w:r>
      <w:proofErr w:type="gramStart"/>
      <w:r w:rsidRPr="000E7A19">
        <w:t>a</w:t>
      </w:r>
      <w:proofErr w:type="gramEnd"/>
      <w:r w:rsidRPr="000E7A19">
        <w:t xml:space="preserve"> once</w:t>
      </w:r>
      <w:r w:rsidRPr="000E7A19">
        <w:noBreakHyphen/>
        <w:t>in</w:t>
      </w:r>
      <w:r w:rsidRPr="000E7A19">
        <w:noBreakHyphen/>
        <w:t>a</w:t>
      </w:r>
      <w:r w:rsidRPr="000E7A19">
        <w:noBreakHyphen/>
        <w:t>generation global crisis is regarded as a highly successful outcome with demonstrable industrial relevance.</w:t>
      </w:r>
    </w:p>
    <w:p w:rsidR="000E7A19" w:rsidRPr="000E7A19" w:rsidRDefault="000E7A19" w:rsidP="000E7A19">
      <w:r w:rsidRPr="000E7A19">
        <w:t>A comparative analysis of the two models revealed distinct strengths. ARIMA excels at capturing short</w:t>
      </w:r>
      <w:r w:rsidRPr="000E7A19">
        <w:noBreakHyphen/>
        <w:t>term statistical dependencies inherent in the autoregressive and moving average structure of the series. Prophet, in contrast, is more adept at modeling long</w:t>
      </w:r>
      <w:r w:rsidRPr="000E7A19">
        <w:noBreakHyphen/>
        <w:t xml:space="preserve">term trends and accommodating external influences through its </w:t>
      </w:r>
      <w:proofErr w:type="spellStart"/>
      <w:r w:rsidRPr="000E7A19">
        <w:t>regressor</w:t>
      </w:r>
      <w:proofErr w:type="spellEnd"/>
      <w:r w:rsidRPr="000E7A19">
        <w:t xml:space="preserve"> interface. The inclusion of 95 percent confidence intervals in the final dashboard offered a transparent visual representation of risk, delineating the range within which future prices are expected to reside. Subsequent residual analysis confirmed that the forecast errors were approximately normally distributed and exhibited no discernible patterns, providing strong evidence that the models were not </w:t>
      </w:r>
      <w:proofErr w:type="spellStart"/>
      <w:r w:rsidRPr="000E7A19">
        <w:t>overfitted</w:t>
      </w:r>
      <w:proofErr w:type="spellEnd"/>
      <w:r w:rsidRPr="000E7A19">
        <w:t>.</w:t>
      </w:r>
    </w:p>
    <w:p w:rsidR="000E7A19" w:rsidRPr="000E7A19" w:rsidRDefault="000E7A19" w:rsidP="000E7A19">
      <w:r w:rsidRPr="000E7A19">
        <w:t>From a financial perspective, the analysis points to a robust long</w:t>
      </w:r>
      <w:r w:rsidRPr="000E7A19">
        <w:noBreakHyphen/>
        <w:t>term bullish trajectory for the Nifty 50 index, as evidenced by the smoothed trend line extracted during decomposition. Investors are therefore advised to orient their strategies around this underlying trend rather than reacting to daily residuals, which appear to be largely random. Moreover, the confidence intervals generated by the models can serve as practical guides for establishing stop</w:t>
      </w:r>
      <w:r w:rsidRPr="000E7A19">
        <w:noBreakHyphen/>
        <w:t>loss levels, as they reflect the historical boundaries of price volatility with a quantified degree of certainty.</w:t>
      </w:r>
    </w:p>
    <w:p w:rsidR="000E7A19" w:rsidRPr="000E7A19" w:rsidRDefault="000E7A19" w:rsidP="000E7A19">
      <w:r w:rsidRPr="000E7A19">
        <w:lastRenderedPageBreak/>
        <w:t>In conclusion, this project has successfully developed a scalable, risk</w:t>
      </w:r>
      <w:r w:rsidRPr="000E7A19">
        <w:noBreakHyphen/>
        <w:t>aware forecasting pipeline that integrates statistical rigor, machine learning, and technical analysis. By fusing traditional time series methods with modern predictive algorithms and a rich set of exogenous indicators, the system delivers a comprehensive and actionable view of market behavior. Future enhancements could further elevate its precision—for instance, by incorporating sentiment analysis derived from financial news feeds or by deploying deep learning architectures such as long short</w:t>
      </w:r>
      <w:r w:rsidRPr="000E7A19">
        <w:noBreakHyphen/>
        <w:t>term memory (LSTM) networks, which may capture even more complex nonlinear dependencies in the data.</w:t>
      </w:r>
    </w:p>
    <w:p w:rsidR="00145BDC" w:rsidRDefault="00145BDC"/>
    <w:sectPr w:rsidR="00145B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7A19"/>
    <w:rsid w:val="000E7A19"/>
    <w:rsid w:val="00145BDC"/>
    <w:rsid w:val="00B81A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4998452">
      <w:bodyDiv w:val="1"/>
      <w:marLeft w:val="0"/>
      <w:marRight w:val="0"/>
      <w:marTop w:val="0"/>
      <w:marBottom w:val="0"/>
      <w:divBdr>
        <w:top w:val="none" w:sz="0" w:space="0" w:color="auto"/>
        <w:left w:val="none" w:sz="0" w:space="0" w:color="auto"/>
        <w:bottom w:val="none" w:sz="0" w:space="0" w:color="auto"/>
        <w:right w:val="none" w:sz="0" w:space="0" w:color="auto"/>
      </w:divBdr>
      <w:divsChild>
        <w:div w:id="485905040">
          <w:marLeft w:val="0"/>
          <w:marRight w:val="0"/>
          <w:marTop w:val="0"/>
          <w:marBottom w:val="0"/>
          <w:divBdr>
            <w:top w:val="none" w:sz="0" w:space="0" w:color="auto"/>
            <w:left w:val="none" w:sz="0" w:space="0" w:color="auto"/>
            <w:bottom w:val="none" w:sz="0" w:space="0" w:color="auto"/>
            <w:right w:val="none" w:sz="0" w:space="0" w:color="auto"/>
          </w:divBdr>
        </w:div>
        <w:div w:id="180046884">
          <w:marLeft w:val="0"/>
          <w:marRight w:val="0"/>
          <w:marTop w:val="240"/>
          <w:marBottom w:val="0"/>
          <w:divBdr>
            <w:top w:val="none" w:sz="0" w:space="0" w:color="auto"/>
            <w:left w:val="none" w:sz="0" w:space="0" w:color="auto"/>
            <w:bottom w:val="none" w:sz="0" w:space="0" w:color="auto"/>
            <w:right w:val="none" w:sz="0" w:space="0" w:color="auto"/>
          </w:divBdr>
        </w:div>
      </w:divsChild>
    </w:div>
    <w:div w:id="1806121868">
      <w:bodyDiv w:val="1"/>
      <w:marLeft w:val="0"/>
      <w:marRight w:val="0"/>
      <w:marTop w:val="0"/>
      <w:marBottom w:val="0"/>
      <w:divBdr>
        <w:top w:val="none" w:sz="0" w:space="0" w:color="auto"/>
        <w:left w:val="none" w:sz="0" w:space="0" w:color="auto"/>
        <w:bottom w:val="none" w:sz="0" w:space="0" w:color="auto"/>
        <w:right w:val="none" w:sz="0" w:space="0" w:color="auto"/>
      </w:divBdr>
      <w:divsChild>
        <w:div w:id="317657178">
          <w:marLeft w:val="0"/>
          <w:marRight w:val="0"/>
          <w:marTop w:val="0"/>
          <w:marBottom w:val="0"/>
          <w:divBdr>
            <w:top w:val="none" w:sz="0" w:space="0" w:color="auto"/>
            <w:left w:val="none" w:sz="0" w:space="0" w:color="auto"/>
            <w:bottom w:val="none" w:sz="0" w:space="0" w:color="auto"/>
            <w:right w:val="none" w:sz="0" w:space="0" w:color="auto"/>
          </w:divBdr>
        </w:div>
        <w:div w:id="1225022954">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1139</Words>
  <Characters>6497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cp:revision>
  <dcterms:created xsi:type="dcterms:W3CDTF">2026-02-13T06:13:00Z</dcterms:created>
  <dcterms:modified xsi:type="dcterms:W3CDTF">2026-02-13T10:34:00Z</dcterms:modified>
</cp:coreProperties>
</file>