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7BF2A" w14:textId="77777777" w:rsidR="00122C78" w:rsidRDefault="00122C78"/>
    <w:p w14:paraId="26BD942A" w14:textId="77777777" w:rsidR="00122C78" w:rsidRDefault="00122C78"/>
    <w:p w14:paraId="51E9C3EE" w14:textId="77777777" w:rsidR="00122C78" w:rsidRDefault="00122C78"/>
    <w:p w14:paraId="100E75E7" w14:textId="77777777" w:rsidR="00122C78" w:rsidRDefault="00000000">
      <w:pPr>
        <w:jc w:val="center"/>
      </w:pPr>
      <w:r>
        <w:rPr>
          <w:b/>
          <w:color w:val="1F4E79"/>
          <w:sz w:val="44"/>
        </w:rPr>
        <w:t>Machine Learning</w:t>
      </w:r>
    </w:p>
    <w:p w14:paraId="15CDDCBD" w14:textId="77777777" w:rsidR="00122C78" w:rsidRDefault="00122C78"/>
    <w:p w14:paraId="1599EC85" w14:textId="77777777" w:rsidR="00122C78" w:rsidRDefault="00122C78"/>
    <w:p w14:paraId="4D136416" w14:textId="77777777" w:rsidR="00122C78" w:rsidRDefault="00000000">
      <w:pPr>
        <w:jc w:val="center"/>
      </w:pPr>
      <w:r>
        <w:rPr>
          <w:i/>
          <w:sz w:val="26"/>
        </w:rPr>
        <w:t>Academic essay</w:t>
      </w:r>
    </w:p>
    <w:p w14:paraId="7BF37B8D" w14:textId="77777777" w:rsidR="00122C78" w:rsidRDefault="00122C78"/>
    <w:p w14:paraId="46D7CF13" w14:textId="77777777" w:rsidR="00122C78" w:rsidRDefault="00122C78"/>
    <w:tbl>
      <w:tblPr>
        <w:tblStyle w:val="Tabellenraster"/>
        <w:tblW w:w="0" w:type="auto"/>
        <w:tblLook w:val="04A0" w:firstRow="1" w:lastRow="0" w:firstColumn="1" w:lastColumn="0" w:noHBand="0" w:noVBand="1"/>
      </w:tblPr>
      <w:tblGrid>
        <w:gridCol w:w="4422"/>
        <w:gridCol w:w="4422"/>
      </w:tblGrid>
      <w:tr w:rsidR="00122C78" w14:paraId="6BF93BF8" w14:textId="77777777">
        <w:tc>
          <w:tcPr>
            <w:tcW w:w="4422" w:type="dxa"/>
            <w:tcMar>
              <w:top w:w="120" w:type="dxa"/>
              <w:left w:w="120" w:type="dxa"/>
              <w:bottom w:w="120" w:type="dxa"/>
              <w:right w:w="120" w:type="dxa"/>
            </w:tcMar>
          </w:tcPr>
          <w:p w14:paraId="602FF9AC" w14:textId="77777777" w:rsidR="00122C78" w:rsidRDefault="00000000">
            <w:pPr>
              <w:spacing w:after="0"/>
            </w:pPr>
            <w:r>
              <w:rPr>
                <w:b/>
              </w:rPr>
              <w:t>Topic</w:t>
            </w:r>
          </w:p>
        </w:tc>
        <w:tc>
          <w:tcPr>
            <w:tcW w:w="4422" w:type="dxa"/>
            <w:tcMar>
              <w:top w:w="120" w:type="dxa"/>
              <w:left w:w="120" w:type="dxa"/>
              <w:bottom w:w="120" w:type="dxa"/>
              <w:right w:w="120" w:type="dxa"/>
            </w:tcMar>
          </w:tcPr>
          <w:p w14:paraId="2B8A194C" w14:textId="77777777" w:rsidR="00122C78" w:rsidRDefault="00000000">
            <w:pPr>
              <w:spacing w:after="0"/>
            </w:pPr>
            <w:r>
              <w:t>Machine Learning</w:t>
            </w:r>
          </w:p>
        </w:tc>
      </w:tr>
      <w:tr w:rsidR="00122C78" w14:paraId="35D672C2" w14:textId="77777777">
        <w:tc>
          <w:tcPr>
            <w:tcW w:w="4422" w:type="dxa"/>
            <w:tcMar>
              <w:top w:w="120" w:type="dxa"/>
              <w:left w:w="120" w:type="dxa"/>
              <w:bottom w:w="120" w:type="dxa"/>
              <w:right w:w="120" w:type="dxa"/>
            </w:tcMar>
          </w:tcPr>
          <w:p w14:paraId="537E7E3F" w14:textId="77777777" w:rsidR="00122C78" w:rsidRDefault="00000000">
            <w:pPr>
              <w:spacing w:after="0"/>
            </w:pPr>
            <w:r>
              <w:rPr>
                <w:b/>
              </w:rPr>
              <w:t>Language</w:t>
            </w:r>
          </w:p>
        </w:tc>
        <w:tc>
          <w:tcPr>
            <w:tcW w:w="4422" w:type="dxa"/>
            <w:tcMar>
              <w:top w:w="120" w:type="dxa"/>
              <w:left w:w="120" w:type="dxa"/>
              <w:bottom w:w="120" w:type="dxa"/>
              <w:right w:w="120" w:type="dxa"/>
            </w:tcMar>
          </w:tcPr>
          <w:p w14:paraId="36BE191E" w14:textId="77777777" w:rsidR="00122C78" w:rsidRDefault="00000000">
            <w:pPr>
              <w:spacing w:after="0"/>
            </w:pPr>
            <w:r>
              <w:t>English</w:t>
            </w:r>
          </w:p>
        </w:tc>
      </w:tr>
      <w:tr w:rsidR="00122C78" w14:paraId="14D905E1" w14:textId="77777777">
        <w:tc>
          <w:tcPr>
            <w:tcW w:w="4422" w:type="dxa"/>
            <w:tcMar>
              <w:top w:w="120" w:type="dxa"/>
              <w:left w:w="120" w:type="dxa"/>
              <w:bottom w:w="120" w:type="dxa"/>
              <w:right w:w="120" w:type="dxa"/>
            </w:tcMar>
          </w:tcPr>
          <w:p w14:paraId="7EFD54AA" w14:textId="77777777" w:rsidR="00122C78" w:rsidRDefault="00000000">
            <w:pPr>
              <w:spacing w:after="0"/>
            </w:pPr>
            <w:r>
              <w:rPr>
                <w:b/>
              </w:rPr>
              <w:t>Sources</w:t>
            </w:r>
          </w:p>
        </w:tc>
        <w:tc>
          <w:tcPr>
            <w:tcW w:w="4422" w:type="dxa"/>
            <w:tcMar>
              <w:top w:w="120" w:type="dxa"/>
              <w:left w:w="120" w:type="dxa"/>
              <w:bottom w:w="120" w:type="dxa"/>
              <w:right w:w="120" w:type="dxa"/>
            </w:tcMar>
          </w:tcPr>
          <w:p w14:paraId="57A5F5F1" w14:textId="77777777" w:rsidR="00122C78" w:rsidRDefault="00000000">
            <w:pPr>
              <w:spacing w:after="0"/>
            </w:pPr>
            <w:r>
              <w:t>14-18 references included</w:t>
            </w:r>
          </w:p>
        </w:tc>
      </w:tr>
    </w:tbl>
    <w:p w14:paraId="64C34EB8" w14:textId="77777777" w:rsidR="00122C78" w:rsidRDefault="00000000">
      <w:r>
        <w:br w:type="page"/>
      </w:r>
    </w:p>
    <w:p w14:paraId="33AFDBB6" w14:textId="77777777" w:rsidR="00122C78" w:rsidRDefault="00000000">
      <w:pPr>
        <w:pStyle w:val="berschrift1"/>
      </w:pPr>
      <w:r>
        <w:lastRenderedPageBreak/>
        <w:t>Abstract</w:t>
      </w:r>
    </w:p>
    <w:p w14:paraId="7C8C9A0C" w14:textId="77777777" w:rsidR="00122C78" w:rsidRDefault="00000000">
      <w:r>
        <w:t>Machine learning has developed from a specialized subfield of artificial intelligence into a general-purpose technology used in search, recommendation, medical diagnostics, scientific modeling, language processing, and industrial optimization. This paper reviews the conceptual and methodological foundations of machine learning, classifies the main learning paradigms and model families, and discusses evaluation, deployment, and governance. The central argument is that machine learning should not be reduced to model training alone. In practice, useful systems depend on data quality, task definition, metric selection, operational monitoring, and institutional control. Current progress in deep learning and foundation models has increased performance and versatility, but it has also made questions of robustness, interpretability, security, and lifecycle management more urgent.</w:t>
      </w:r>
    </w:p>
    <w:p w14:paraId="38FEC2C2" w14:textId="77777777" w:rsidR="00122C78" w:rsidRDefault="00000000">
      <w:pPr>
        <w:pStyle w:val="berschrift1"/>
      </w:pPr>
      <w:r>
        <w:t>1. Introduction</w:t>
      </w:r>
    </w:p>
    <w:p w14:paraId="208264D2" w14:textId="77777777" w:rsidR="00122C78" w:rsidRDefault="00000000">
      <w:r>
        <w:t>Machine learning refers to computational methods that improve performance on a task by extracting regularities from data. Mitchell’s classical definition remains useful: a program learns from experience E with respect to tasks T and performance measure P if its performance at T, as measured by P, improves with E (Mitchell, 1997). The strength of this definition is that it avoids vague claims about “intelligence” and focuses instead on measurable improvement under clearly defined conditions.</w:t>
      </w:r>
    </w:p>
    <w:p w14:paraId="456285AF" w14:textId="77777777" w:rsidR="00122C78" w:rsidRDefault="00000000">
      <w:r>
        <w:t>The field draws on statistics, optimization, computer science, information theory, and pattern recognition. Early work on perceptrons and neural computation suggested that machines could adapt parameters through experience, but practical and theoretical limitations restricted progress for decades. The modern wave of machine learning emerged when larger datasets, better numerical optimization, specialized hardware, and improved architectures converged. Deep learning in particular changed the performance frontier in computer vision, speech, and natural language processing (LeCun, Bengio, &amp; Hinton, 2015).</w:t>
      </w:r>
    </w:p>
    <w:p w14:paraId="6FAF69A8" w14:textId="77777777" w:rsidR="00122C78" w:rsidRDefault="00000000">
      <w:r>
        <w:t xml:space="preserve">At the same time, inflated public narratives have often obscured the basic reality of machine learning. Models do not understand in the human sense. They minimize losses over training distributions and exploit statistical structure under specified assumptions. Their success is therefore conditional: on data coverage, on the match between training and </w:t>
      </w:r>
      <w:r>
        <w:lastRenderedPageBreak/>
        <w:t>deployment environments, and on the relevance of chosen metrics. A scientifically adequate account must treat machine learning as both a mathematical discipline and an engineering practice embedded in broader social and organizational settings.</w:t>
      </w:r>
    </w:p>
    <w:p w14:paraId="37753F21" w14:textId="77777777" w:rsidR="00122C78" w:rsidRDefault="00000000">
      <w:pPr>
        <w:pStyle w:val="berschrift1"/>
      </w:pPr>
      <w:r>
        <w:t>2. Learning paradigms and core concepts</w:t>
      </w:r>
    </w:p>
    <w:p w14:paraId="28039A73" w14:textId="77777777" w:rsidR="00122C78" w:rsidRDefault="00000000">
      <w:r>
        <w:t>Supervised learning is the most widely used paradigm. Inputs are paired with labels or target values, and the goal is to learn a mapping that generalizes from observed examples to unseen cases. Typical tasks are classification and regression. The central issue is not merely how well a model fits the training set, but whether it generalizes to future data drawn from the same or a similar distribution. Vapnik’s statistical learning theory remains foundational because it formalized this tension between empirical fit and generalization capacity (Vapnik, 1995).</w:t>
      </w:r>
    </w:p>
    <w:p w14:paraId="2D48EFDE" w14:textId="77777777" w:rsidR="00122C78" w:rsidRDefault="00000000">
      <w:r>
        <w:t>Unsupervised learning addresses settings in which labels are unavailable. The objective may be clustering, density estimation, dimensionality reduction, representation learning, or anomaly detection. These methods are especially important when structure must be explored before downstream prediction is even meaningful. Between supervised and unsupervised settings lies semi-supervised learning, which combines small labeled datasets with larger unlabeled corpora. In many applications, labels are expensive while raw data are abundant, making semi-supervised approaches practically valuable.</w:t>
      </w:r>
    </w:p>
    <w:p w14:paraId="6226D311" w14:textId="77777777" w:rsidR="00122C78" w:rsidRDefault="00000000">
      <w:r>
        <w:t>A third major paradigm is reinforcement learning, where an agent interacts with an environment, receives rewards, and learns policies that maximize expected cumulative return. Sutton and Barto demonstrated how this framework captures sequential decision problems in which actions affect future states and future information (Sutton &amp; Barto, 2018). This distinguishes reinforcement learning from static predictive tasks and makes it relevant for robotics, control, recommendation, and game-playing systems.</w:t>
      </w:r>
    </w:p>
    <w:p w14:paraId="067C0E98" w14:textId="77777777" w:rsidR="00122C78" w:rsidRDefault="00000000">
      <w:r>
        <w:t>Across paradigms, several concepts recur: a hypothesis space, a loss function, an optimization procedure, regularization, and a performance criterion. The empirical risk measured on training data is not identical to the true risk on the underlying data-generating process. Overfitting arises when a model captures idiosyncrasies of the training sample rather than general structure. Good machine learning therefore requires balancing expressive capacity against robustness and stability rather than maximizing complexity by default.</w:t>
      </w:r>
    </w:p>
    <w:p w14:paraId="60488168" w14:textId="77777777" w:rsidR="00122C78" w:rsidRDefault="00000000">
      <w:pPr>
        <w:pStyle w:val="berschrift1"/>
      </w:pPr>
      <w:r>
        <w:lastRenderedPageBreak/>
        <w:t>3. Major model families</w:t>
      </w:r>
    </w:p>
    <w:p w14:paraId="589968B8" w14:textId="77777777" w:rsidR="00122C78" w:rsidRDefault="00000000">
      <w:r>
        <w:t>Classical machine learning includes linear and logistic regression, decision trees, support vector machines, probabilistic graphical models, and ensemble methods. These approaches remain highly relevant because they often provide strong baselines, lower computational costs, and more transparent inductive assumptions. Random forests, for example, show how aggregation over many decorrelated trees can produce robust predictive performance while retaining some interpretability (Breiman, 2001). Support vector machines use margin maximization and kernel methods to remain effective in high-dimensional spaces (Cortes &amp; Vapnik, 1995).</w:t>
      </w:r>
    </w:p>
    <w:p w14:paraId="105330F1" w14:textId="77777777" w:rsidR="00122C78" w:rsidRDefault="00000000">
      <w:r>
        <w:t>Neural networks now dominate many high-performance domains. Their basic idea is to compose multiple nonlinear transformations so that complex functions can be approximated through learned parameters. The deep learning era was enabled by several technical developments at once: efficient gradient-based training, improved activation functions, larger datasets, regularization methods, and graphics processing hardware. The breakthrough image-classification results of Krizhevsky, Sutskever, and Hinton symbolized a shift not only in benchmarks but also in the practical expectations placed on representation learning (Krizhevsky, Sutskever, &amp; Hinton, 2012).</w:t>
      </w:r>
    </w:p>
    <w:p w14:paraId="628935B6" w14:textId="77777777" w:rsidR="00122C78" w:rsidRDefault="00000000">
      <w:r>
        <w:t>Convolutional neural networks are especially suited to spatially structured inputs such as images. Recurrent architectures were historically important for sequence modeling, but many of their use cases have been displaced by attention-based models. The transformer architecture demonstrated that sequence modeling could be scaled effectively without recurrence by using self-attention to represent relations among tokens (Vaswani et al., 2017). This architecture underlies contemporary large language models and many multimodal systems.</w:t>
      </w:r>
    </w:p>
    <w:p w14:paraId="44DE6EBE" w14:textId="77777777" w:rsidR="00122C78" w:rsidRDefault="00000000">
      <w:r>
        <w:t>Still, model selection should not follow fashion. In many real-world settings, gradient boosting, generalized linear models, or smaller neural networks outperform massive foundation models once latency, cost, documentation requirements, or deployment constraints are taken seriously. The scientifically relevant question is never simply which model is most modern, but which model fits the structure of the task, the available data, the acceptable error profile, and the operating environment.</w:t>
      </w:r>
    </w:p>
    <w:p w14:paraId="244B50E2" w14:textId="77777777" w:rsidR="00122C78" w:rsidRDefault="00000000">
      <w:pPr>
        <w:pStyle w:val="berschrift1"/>
      </w:pPr>
      <w:r>
        <w:lastRenderedPageBreak/>
        <w:t>4. Data as the real bottleneck</w:t>
      </w:r>
    </w:p>
    <w:p w14:paraId="786AAA1E" w14:textId="77777777" w:rsidR="00122C78" w:rsidRDefault="00000000">
      <w:r>
        <w:t>Public discourse about machine learning tends to overstate algorithmic novelty and understate data quality. Yet model performance depends heavily on sampling, labeling consistency, measurement error, representational choices, and data coverage. Jordan and Mitchell emphasized that recent advances result not only from methodological innovation but also from access to large, application-relevant datasets and scalable infrastructure (Jordan &amp; Mitchell, 2015). Large quantities of poor data do not solve the problem; they amplify it.</w:t>
      </w:r>
    </w:p>
    <w:p w14:paraId="2F0D2DB2" w14:textId="77777777" w:rsidR="00122C78" w:rsidRDefault="00000000">
      <w:r>
        <w:t>Several forms of data failure matter in practice. There are measurement errors, annotation errors, historical biases, underrepresentation of relevant subpopulations, and shifts between training and deployment distributions. Distribution shift is especially important. A model may perform well in a benchmark setting and fail in production because user behavior changes, sensors drift, institutions adapt, or the surrounding process changes. This is not an edge case but a structural condition of deployment.</w:t>
      </w:r>
    </w:p>
    <w:p w14:paraId="279ED59D" w14:textId="77777777" w:rsidR="00122C78" w:rsidRDefault="00000000">
      <w:r>
        <w:t>Feature engineering has not disappeared in the deep learning era. End-to-end systems can learn powerful representations, but they still benefit from carefully defined inputs, appropriate normalization, useful tokenization, and domain-specific abstractions. In practice, the strongest systems often combine learned representations with expert knowledge. The false opposition between automated learning and human-designed structure is analytically weak. Modern machine learning often works best when both are combined.</w:t>
      </w:r>
    </w:p>
    <w:p w14:paraId="1375BA9C" w14:textId="77777777" w:rsidR="00122C78" w:rsidRDefault="00000000">
      <w:r>
        <w:t>Data are also a governance issue. Data lineage, consent, access rights, documentation, privacy controls, and lawful purpose limitation directly shape what can be trained and how outputs may be used. These are not external irritants added after the fact. They are constraints on system design itself. A model trained on poorly governed data may still achieve an impressive score, but it may be unusable in any setting that requires accountability.</w:t>
      </w:r>
    </w:p>
    <w:p w14:paraId="2684AC98" w14:textId="77777777" w:rsidR="00122C78" w:rsidRDefault="00000000">
      <w:pPr>
        <w:pStyle w:val="berschrift1"/>
      </w:pPr>
      <w:r>
        <w:t>5. Training, optimization, and evaluation</w:t>
      </w:r>
    </w:p>
    <w:p w14:paraId="4ADE065B" w14:textId="77777777" w:rsidR="00122C78" w:rsidRDefault="00000000">
      <w:r>
        <w:t xml:space="preserve">Training typically consists of minimizing a loss function over data. Variants of gradient descent dominate modern practice because they scale to large parameter spaces and </w:t>
      </w:r>
      <w:r>
        <w:lastRenderedPageBreak/>
        <w:t>complex objectives. Adam became a standard optimizer in deep learning by combining adaptive learning rates with relatively low implementation complexity (Kingma &amp; Ba, 2015). Still, optimization is never only numerical. The choice of loss function already encodes a judgment about what kinds of errors matter.</w:t>
      </w:r>
    </w:p>
    <w:p w14:paraId="42A6A14F" w14:textId="77777777" w:rsidR="00122C78" w:rsidRDefault="00000000">
      <w:r>
        <w:t>Evaluation requires even greater care. Accuracy is often inadequate, especially in imbalanced classification problems. Depending on the application, precision, recall, F1 score, calibration, ROC-AUC, expected cost, or latency may be more relevant. A spam filter, a medical triage model, and a fraud detector should not be optimized under the same metric assumptions. Evaluation is therefore not a neutral reporting exercise but a translation of domain values into measurable criteria.</w:t>
      </w:r>
    </w:p>
    <w:p w14:paraId="0D871BC9" w14:textId="77777777" w:rsidR="00122C78" w:rsidRDefault="00000000">
      <w:r>
        <w:t>Scientifically credible evaluation requires strict separation of training, validation, and test data, transparent baselines, and reproducible experimental protocols. Goodfellow, Bengio, and Courville point out that many apparent gains in machine learning are fragile because they depend on benchmark leakage, unreported tuning, or narrow comparisons (Goodfellow, Bengio, &amp; Courville, 2016). Strong research and strong practice both require disciplined comparison rather than selective reporting.</w:t>
      </w:r>
    </w:p>
    <w:p w14:paraId="13419775" w14:textId="77777777" w:rsidR="00122C78" w:rsidRDefault="00000000">
      <w:r>
        <w:t>Calibration and uncertainty estimation are increasingly important. A model that predicts the correct class frequently is not automatically trustworthy if its confidence estimates are systematically distorted. In risk-sensitive domains, decision-makers need not only a prediction but also a meaningful account of uncertainty, out-of-distribution behavior, and likely failure modes.</w:t>
      </w:r>
    </w:p>
    <w:p w14:paraId="565C2823" w14:textId="77777777" w:rsidR="00122C78" w:rsidRDefault="00000000">
      <w:pPr>
        <w:pStyle w:val="berschrift1"/>
      </w:pPr>
      <w:r>
        <w:t>6. From prototype to production: MLOps</w:t>
      </w:r>
    </w:p>
    <w:p w14:paraId="287CAF3E" w14:textId="77777777" w:rsidR="00122C78" w:rsidRDefault="00000000">
      <w:r>
        <w:t>Many machine learning projects fail not during research but during deployment. MLOps refers to practices that integrate model development with software engineering, data versioning, testing, monitoring, continuous delivery, and reproducibility. The underlying point is simple: a model is not a static artifact but a mutable component in a larger socio-technical system. Sculley et al. warned early that machine learning systems accumulate hidden technical debt because data dependencies, feedback loops, and pipeline complexity are often harder to control than the core model itself (Sculley et al., 2015).</w:t>
      </w:r>
    </w:p>
    <w:p w14:paraId="525B9FE9" w14:textId="77777777" w:rsidR="00122C78" w:rsidRDefault="00000000">
      <w:r>
        <w:t xml:space="preserve">Production environments therefore require broader criteria than predictive quality alone. Operators must consider latency, memory consumption, hardware requirements, monitoring </w:t>
      </w:r>
      <w:r>
        <w:lastRenderedPageBreak/>
        <w:t>overhead, explainability, rollback capability, and retraining frequency. A marginally more accurate model may be inferior in practice if it is far more expensive, fragile, or opaque.</w:t>
      </w:r>
    </w:p>
    <w:p w14:paraId="201284F0" w14:textId="77777777" w:rsidR="00122C78" w:rsidRDefault="00000000">
      <w:r>
        <w:t>Model drift is one of the most common operational problems. Data distributions change, business rules evolve, upstream systems are modified, and user populations shift. Without continuous monitoring, a model can degrade silently. Effective operations therefore include alerting, shadow deployment, periodic revalidation, and clear rules for retraining or retirement.</w:t>
      </w:r>
    </w:p>
    <w:p w14:paraId="0182B61F" w14:textId="77777777" w:rsidR="00122C78" w:rsidRDefault="00000000">
      <w:r>
        <w:t>These issues intensify for foundation models and generative systems. Their scale and flexibility increase utility, but also make internal behavior less transparent, output control more difficult, and validation more application-dependent. The real question is no longer whether a model can produce plausible output, but under which conditions it can do so reliably, safely, and auditable enough for the intended context.</w:t>
      </w:r>
    </w:p>
    <w:p w14:paraId="0E9168F4" w14:textId="77777777" w:rsidR="00122C78" w:rsidRDefault="00000000">
      <w:pPr>
        <w:pStyle w:val="berschrift1"/>
      </w:pPr>
      <w:r>
        <w:t>7. Robustness, fairness, and trustworthy AI</w:t>
      </w:r>
    </w:p>
    <w:p w14:paraId="7B741A20" w14:textId="77777777" w:rsidR="00122C78" w:rsidRDefault="00000000">
      <w:r>
        <w:t>As machine learning systems affect more consequential domains, their risks become harder to ignore. Relevant concerns include discriminatory outcomes, lack of interpretability, privacy violations, adversarial vulnerability, and misalignment between optimization targets and institutional goals. The NIST AI Risk Management Framework treats these as part of a broader agenda of trustworthy AI, emphasizing validity, safety, resilience, transparency, accountability, and managed risk (NIST, 2023). This perspective is valuable because it treats AI systems as socio-technical systems rather than isolated algorithms.</w:t>
      </w:r>
    </w:p>
    <w:p w14:paraId="301B3FE4" w14:textId="77777777" w:rsidR="00122C78" w:rsidRDefault="00000000">
      <w:r>
        <w:t>Fairness illustrates the difficulty. Different fairness criteria cannot always be satisfied simultaneously. Demographic parity, equalized odds, calibration, and utility preservation may conflict depending on base rates and application structure. The consequence is not relativism but explicit trade-off management. Claims about fairness are empty unless they specify what level of the pipeline is being evaluated and which fairness notion is being prioritized.</w:t>
      </w:r>
    </w:p>
    <w:p w14:paraId="206ECC3F" w14:textId="77777777" w:rsidR="00122C78" w:rsidRDefault="00000000">
      <w:r>
        <w:t xml:space="preserve">Adversarial machine learning presents another major challenge. Small, targeted perturbations can cause severe misclassification, and attacks may target training data, model extraction, evasion, or prompt-conditioned behavior. NIST’s recent taxonomy of adversarial machine learning shows that this is no longer a niche concern but a mature </w:t>
      </w:r>
      <w:r>
        <w:lastRenderedPageBreak/>
        <w:t>security problem inside machine learning itself (Vassilev et al., 2024). In safety-critical domains, robustness against manipulation is not optional.</w:t>
      </w:r>
    </w:p>
    <w:p w14:paraId="559E4C20" w14:textId="77777777" w:rsidR="00122C78" w:rsidRDefault="00000000">
      <w:r>
        <w:t>Interpretability is often oversold. Many explainability techniques provide only local approximations or unstable saliency maps. In regulated environments, a more defensible strategy may be to constrain model choice, maintain rigorous documentation, and limit deployment scope rather than assuming that post hoc explanation tools solve accountability problems.</w:t>
      </w:r>
    </w:p>
    <w:p w14:paraId="34DB4D27" w14:textId="77777777" w:rsidR="00122C78" w:rsidRDefault="00000000">
      <w:pPr>
        <w:pStyle w:val="berschrift1"/>
      </w:pPr>
      <w:r>
        <w:t>8. Current trajectories and conclusion</w:t>
      </w:r>
    </w:p>
    <w:p w14:paraId="5C2BAFBA" w14:textId="77777777" w:rsidR="00122C78" w:rsidRDefault="00000000">
      <w:r>
        <w:t>Current developments are dominated by foundation models, multimodal learning, retrieval-augmented generation, and parameter-efficient adaptation. Progress is real, but so are the costs: training and inference require substantial compute, specialized hardware, and large-scale data curation. This has renewed interest in efficiency techniques such as distillation, quantization, sparse architectures, and more careful task-model matching.</w:t>
      </w:r>
    </w:p>
    <w:p w14:paraId="13015541" w14:textId="77777777" w:rsidR="00122C78" w:rsidRDefault="00000000">
      <w:r>
        <w:t>Another important trend is the return of domain specificity. General-purpose models are powerful, but many organizations need systems tuned to narrow tasks, regulated workflows, or resource-limited environments. In those settings, the best model is often not the largest one, but the one whose errors are understood, whose operation can be monitored, and whose outputs can be integrated into existing institutional processes.</w:t>
      </w:r>
    </w:p>
    <w:p w14:paraId="35305A8F" w14:textId="77777777" w:rsidR="00122C78" w:rsidRDefault="00000000">
      <w:r>
        <w:t>Machine learning should therefore be understood neither as a miracle technology nor as a self-sufficient scientific object. It is a family of methods whose real value depends on data discipline, evaluation rigor, operational design, and governance. The strongest scientific conclusion is also the least glamorous one: useful machine learning is not produced by model choice alone. It emerges when statistical learning, software engineering, domain knowledge, and institutional control are aligned.</w:t>
      </w:r>
    </w:p>
    <w:p w14:paraId="1B0EDF6B" w14:textId="77777777" w:rsidR="00122C78" w:rsidRDefault="00000000">
      <w:pPr>
        <w:pStyle w:val="berschrift1"/>
      </w:pPr>
      <w:r>
        <w:t>9. Practical implications and research outlook</w:t>
      </w:r>
    </w:p>
    <w:p w14:paraId="249DB994" w14:textId="77777777" w:rsidR="00122C78" w:rsidRDefault="00000000">
      <w:r>
        <w:t xml:space="preserve">A useful way to judge the maturity of machine learning in organizations is to ask whether the institution can explain not only what model it uses, but also why that model is appropriate, what data it relies on, how drift is detected, and what humans are expected to do when outputs are wrong. In many deployments, this chain of accountability is far weaker than promotional language suggests. The technical model exists, but the surrounding </w:t>
      </w:r>
      <w:r>
        <w:lastRenderedPageBreak/>
        <w:t>control structure does not. That gap is one reason why proof-of-concept success so often fails to translate into durable operational value.</w:t>
      </w:r>
    </w:p>
    <w:p w14:paraId="51E534F6" w14:textId="77777777" w:rsidR="00122C78" w:rsidRDefault="00000000">
      <w:r>
        <w:t>A second practical implication concerns the relationship between automation and decision-making. Machine learning systems are rarely neutral “assistants.” Once integrated into workflows, they shape which cases receive attention, how uncertainty is interpreted, and which errors become visible or invisible. This is especially important in domains such as medicine, finance, employment, law, and education, where a prediction can alter access to scarce resources or institutional judgment. The strongest systems in such settings are often not fully automated ones, but systems designed to support structured human review, calibrated escalation, and explicit override procedures.</w:t>
      </w:r>
    </w:p>
    <w:p w14:paraId="612DA52C" w14:textId="77777777" w:rsidR="00122C78" w:rsidRDefault="00000000">
      <w:r>
        <w:t>A third issue is reproducibility. The research community has improved benchmark culture in many areas, but reproducibility remains fragile when code, training data, compute assumptions, or preprocessing pipelines are opaque. This matters because science and engineering both degrade when results become difficult to verify independently. Stronger documentation standards, dataset statements, model cards, and reproducible experiment packaging are therefore not bureaucratic burdens. They are conditions for cumulative progress.</w:t>
      </w:r>
    </w:p>
    <w:p w14:paraId="2F2660BA" w14:textId="77777777" w:rsidR="00122C78" w:rsidRDefault="00000000">
      <w:r>
        <w:t>Looking forward, several research directions appear especially important. One is data-efficient learning: methods that require less labeled data, less compute, or more structured domain knowledge. Another is robust learning under distribution shift, where the objective is not merely high average benchmark performance but graceful degradation under changing environments. A third is the integration of machine learning with causal reasoning, formal verification, and domain constraints. Purely statistical pattern extraction remains powerful, but it is often insufficient in settings that require stable reasoning about interventions, safety conditions, or legal justification.</w:t>
      </w:r>
    </w:p>
    <w:p w14:paraId="6E598DF1" w14:textId="77777777" w:rsidR="00122C78" w:rsidRDefault="00000000">
      <w:r>
        <w:t>The long-run development of machine learning will likely depend less on whether models become larger than on whether the field becomes more disciplined about evaluation, efficiency, and institutional fit. Raw capability has advanced quickly. The harder question is whether that capability can be embedded in systems that remain understandable, governable, and economically sustainable over time.</w:t>
      </w:r>
    </w:p>
    <w:p w14:paraId="7CA7569A" w14:textId="77777777" w:rsidR="00122C78" w:rsidRDefault="00000000">
      <w:pPr>
        <w:pStyle w:val="berschrift1"/>
      </w:pPr>
      <w:r>
        <w:lastRenderedPageBreak/>
        <w:t>References</w:t>
      </w:r>
    </w:p>
    <w:p w14:paraId="3AB23C1F" w14:textId="0BE124E1" w:rsidR="00122C78" w:rsidRDefault="00000000" w:rsidP="00697055">
      <w:pPr>
        <w:jc w:val="left"/>
      </w:pPr>
      <w:r>
        <w:t>Bishop, C. M. (2006). Pattern Recognition and Machine Learning. Springer.</w:t>
      </w:r>
      <w:r>
        <w:br/>
        <w:t>Breiman, L. (2001). Random forests. Machine Learning, 45(1), 5-32.</w:t>
      </w:r>
      <w:r>
        <w:br/>
        <w:t>Cortes, C., &amp; Vapnik, V. (1995). Support-vector networks. Machine Learning, 20, 273-297.</w:t>
      </w:r>
      <w:r>
        <w:br/>
        <w:t>Goodfellow, I., Bengio, Y., &amp; Courville, A. (2016). Deep Learning. MIT Press.</w:t>
      </w:r>
      <w:r>
        <w:br/>
        <w:t xml:space="preserve">Jordan, M. I., &amp; Mitchell, T. M. (2015). Machine learning: Trends, perspectives, and </w:t>
      </w:r>
      <w:r w:rsidR="00697055">
        <w:t xml:space="preserve">   </w:t>
      </w:r>
      <w:r>
        <w:t>prospects. Science, 349(6245), 255-260.</w:t>
      </w:r>
      <w:r>
        <w:br/>
        <w:t>Kingma, D. P., &amp; Ba, J. (2015). Adam: A method for stochastic optimization. In International Conference on Learning Representations.</w:t>
      </w:r>
      <w:r>
        <w:br/>
        <w:t>Krizhevsky, A., Sutskever, I., &amp; Hinton, G. E. (2012). ImageNet classification with deep convolutional neural networks. In Advances in Neural Information Processing Systems 25.</w:t>
      </w:r>
      <w:r>
        <w:br/>
        <w:t>LeCun, Y., Bengio, Y., &amp; Hinton, G. (2015). Deep learning. Nature, 521, 436-444.</w:t>
      </w:r>
      <w:r>
        <w:br/>
        <w:t>Mitchell, T. M. (1997). Machine Learning. McGraw-Hill.</w:t>
      </w:r>
      <w:r>
        <w:br/>
        <w:t>Murphy, K. P. (2022). Probabilistic Machine Learning: An Introduction. MIT Press.</w:t>
      </w:r>
      <w:r>
        <w:br/>
        <w:t>NIST. (2023). Artificial Intelligence Risk Management Framework (AI RMF 1.0). National Institute of Standards and Technology.</w:t>
      </w:r>
      <w:r>
        <w:br/>
        <w:t>Russell, S., &amp; Norvig, P. (2021). Artificial Intelligence: A Modern Approach (4th ed.). Pearson.</w:t>
      </w:r>
      <w:r>
        <w:br/>
        <w:t>Sculley, D., Holt, G., Golovin, D., et al. (2015). Hidden technical debt in machine learning systems. In Advances in Neural Information Processing Systems 28.</w:t>
      </w:r>
      <w:r>
        <w:br/>
        <w:t>Sutton, R. S., &amp; Barto, A. G. (2018). Reinforcement Learning: An Introduction (2nd ed.). MIT Press.</w:t>
      </w:r>
      <w:r>
        <w:br/>
        <w:t>Vapnik, V. N. (1995). The Nature of Statistical Learning Theory. Springer.</w:t>
      </w:r>
      <w:r>
        <w:br/>
        <w:t>Vaswani, A., Shazeer, N., Parmar, N., et al. (2017). Attention is all you need. In Advances in Neural Information Processing Systems 30.</w:t>
      </w:r>
      <w:r>
        <w:br/>
        <w:t>Vassilev, A., Oprea, A., Fordyce, A., &amp; Anderson, H. (2024). Adversarial Machine Learning: A Taxonomy and Terminology of Attacks and Mitigations. NIST AI 100-2e2023.</w:t>
      </w:r>
    </w:p>
    <w:sectPr w:rsidR="00122C78" w:rsidSect="00034616">
      <w:footerReference w:type="default" r:id="rId8"/>
      <w:pgSz w:w="11906" w:h="16838"/>
      <w:pgMar w:top="1531" w:right="1531" w:bottom="1531"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7051A" w14:textId="77777777" w:rsidR="006448B5" w:rsidRDefault="006448B5">
      <w:pPr>
        <w:spacing w:after="0" w:line="240" w:lineRule="auto"/>
      </w:pPr>
      <w:r>
        <w:separator/>
      </w:r>
    </w:p>
  </w:endnote>
  <w:endnote w:type="continuationSeparator" w:id="0">
    <w:p w14:paraId="03308B78" w14:textId="77777777" w:rsidR="006448B5" w:rsidRDefault="00644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5CE1" w14:textId="53984F3C" w:rsidR="00122C78" w:rsidRDefault="00000000">
    <w:pPr>
      <w:pStyle w:val="Fuzeile"/>
      <w:jc w:val="center"/>
    </w:pPr>
    <w:r>
      <w:fldChar w:fldCharType="begin"/>
    </w:r>
    <w:r>
      <w:instrText>PAGE</w:instrText>
    </w:r>
    <w:r w:rsidR="00F12BB5">
      <w:fldChar w:fldCharType="separate"/>
    </w:r>
    <w:r w:rsidR="00F12BB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8FE23" w14:textId="77777777" w:rsidR="006448B5" w:rsidRDefault="006448B5">
      <w:pPr>
        <w:spacing w:after="0" w:line="240" w:lineRule="auto"/>
      </w:pPr>
      <w:r>
        <w:separator/>
      </w:r>
    </w:p>
  </w:footnote>
  <w:footnote w:type="continuationSeparator" w:id="0">
    <w:p w14:paraId="4DF3AE05" w14:textId="77777777" w:rsidR="006448B5" w:rsidRDefault="00644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427046516">
    <w:abstractNumId w:val="8"/>
  </w:num>
  <w:num w:numId="2" w16cid:durableId="630134537">
    <w:abstractNumId w:val="6"/>
  </w:num>
  <w:num w:numId="3" w16cid:durableId="1732270074">
    <w:abstractNumId w:val="5"/>
  </w:num>
  <w:num w:numId="4" w16cid:durableId="1099981138">
    <w:abstractNumId w:val="4"/>
  </w:num>
  <w:num w:numId="5" w16cid:durableId="1172142470">
    <w:abstractNumId w:val="7"/>
  </w:num>
  <w:num w:numId="6" w16cid:durableId="18698952">
    <w:abstractNumId w:val="3"/>
  </w:num>
  <w:num w:numId="7" w16cid:durableId="1950239766">
    <w:abstractNumId w:val="2"/>
  </w:num>
  <w:num w:numId="8" w16cid:durableId="557865064">
    <w:abstractNumId w:val="1"/>
  </w:num>
  <w:num w:numId="9" w16cid:durableId="144299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C78"/>
    <w:rsid w:val="0015074B"/>
    <w:rsid w:val="0029639D"/>
    <w:rsid w:val="00326F90"/>
    <w:rsid w:val="006448B5"/>
    <w:rsid w:val="00697055"/>
    <w:rsid w:val="009249AA"/>
    <w:rsid w:val="00AA1D8D"/>
    <w:rsid w:val="00B47730"/>
    <w:rsid w:val="00CB0664"/>
    <w:rsid w:val="00F12B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CB398-CE1C-4812-93B5-6049A001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jc w:val="both"/>
    </w:pPr>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2896</Words>
  <Characters>18245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 Geier</cp:lastModifiedBy>
  <cp:revision>3</cp:revision>
  <dcterms:created xsi:type="dcterms:W3CDTF">2013-12-23T23:15:00Z</dcterms:created>
  <dcterms:modified xsi:type="dcterms:W3CDTF">2026-03-11T12:59:00Z</dcterms:modified>
  <cp:category/>
</cp:coreProperties>
</file>