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5BE2" w14:textId="77777777" w:rsidR="00E65D1D" w:rsidRDefault="00E65D1D"/>
    <w:p w14:paraId="7CFAE848" w14:textId="77777777" w:rsidR="00E65D1D" w:rsidRDefault="00E65D1D"/>
    <w:p w14:paraId="40AE03AC" w14:textId="77777777" w:rsidR="00E65D1D" w:rsidRDefault="00E65D1D"/>
    <w:p w14:paraId="6ECFBE84" w14:textId="77777777" w:rsidR="00E65D1D" w:rsidRDefault="00000000">
      <w:pPr>
        <w:jc w:val="center"/>
      </w:pPr>
      <w:r>
        <w:rPr>
          <w:b/>
          <w:color w:val="1F4E79"/>
          <w:sz w:val="44"/>
        </w:rPr>
        <w:t>IT Security</w:t>
      </w:r>
    </w:p>
    <w:p w14:paraId="32CCB069" w14:textId="77777777" w:rsidR="00E65D1D" w:rsidRDefault="00E65D1D"/>
    <w:p w14:paraId="719879B1" w14:textId="77777777" w:rsidR="00E65D1D" w:rsidRDefault="00E65D1D"/>
    <w:p w14:paraId="01817B6F" w14:textId="77777777" w:rsidR="00E65D1D" w:rsidRDefault="00000000">
      <w:pPr>
        <w:jc w:val="center"/>
      </w:pPr>
      <w:r>
        <w:rPr>
          <w:i/>
          <w:sz w:val="26"/>
        </w:rPr>
        <w:t>Academic essay</w:t>
      </w:r>
    </w:p>
    <w:p w14:paraId="5F68F5D0" w14:textId="77777777" w:rsidR="00E65D1D" w:rsidRDefault="00E65D1D"/>
    <w:p w14:paraId="58AB1802" w14:textId="77777777" w:rsidR="00E65D1D" w:rsidRDefault="00E65D1D"/>
    <w:tbl>
      <w:tblPr>
        <w:tblStyle w:val="Tabellenraster"/>
        <w:tblW w:w="0" w:type="auto"/>
        <w:tblLook w:val="04A0" w:firstRow="1" w:lastRow="0" w:firstColumn="1" w:lastColumn="0" w:noHBand="0" w:noVBand="1"/>
      </w:tblPr>
      <w:tblGrid>
        <w:gridCol w:w="4422"/>
        <w:gridCol w:w="4422"/>
      </w:tblGrid>
      <w:tr w:rsidR="00E65D1D" w14:paraId="388CBC89" w14:textId="77777777">
        <w:tc>
          <w:tcPr>
            <w:tcW w:w="4422" w:type="dxa"/>
            <w:tcMar>
              <w:top w:w="120" w:type="dxa"/>
              <w:left w:w="120" w:type="dxa"/>
              <w:bottom w:w="120" w:type="dxa"/>
              <w:right w:w="120" w:type="dxa"/>
            </w:tcMar>
          </w:tcPr>
          <w:p w14:paraId="36C4FC2A" w14:textId="77777777" w:rsidR="00E65D1D" w:rsidRDefault="00000000">
            <w:pPr>
              <w:spacing w:after="0"/>
            </w:pPr>
            <w:r>
              <w:rPr>
                <w:b/>
              </w:rPr>
              <w:t>Topic</w:t>
            </w:r>
          </w:p>
        </w:tc>
        <w:tc>
          <w:tcPr>
            <w:tcW w:w="4422" w:type="dxa"/>
            <w:tcMar>
              <w:top w:w="120" w:type="dxa"/>
              <w:left w:w="120" w:type="dxa"/>
              <w:bottom w:w="120" w:type="dxa"/>
              <w:right w:w="120" w:type="dxa"/>
            </w:tcMar>
          </w:tcPr>
          <w:p w14:paraId="3E0A9F44" w14:textId="77777777" w:rsidR="00E65D1D" w:rsidRDefault="00000000">
            <w:pPr>
              <w:spacing w:after="0"/>
            </w:pPr>
            <w:r>
              <w:t>IT Security</w:t>
            </w:r>
          </w:p>
        </w:tc>
      </w:tr>
      <w:tr w:rsidR="00E65D1D" w14:paraId="7267B949" w14:textId="77777777">
        <w:tc>
          <w:tcPr>
            <w:tcW w:w="4422" w:type="dxa"/>
            <w:tcMar>
              <w:top w:w="120" w:type="dxa"/>
              <w:left w:w="120" w:type="dxa"/>
              <w:bottom w:w="120" w:type="dxa"/>
              <w:right w:w="120" w:type="dxa"/>
            </w:tcMar>
          </w:tcPr>
          <w:p w14:paraId="0A299C87" w14:textId="77777777" w:rsidR="00E65D1D" w:rsidRDefault="00000000">
            <w:pPr>
              <w:spacing w:after="0"/>
            </w:pPr>
            <w:r>
              <w:rPr>
                <w:b/>
              </w:rPr>
              <w:t>Language</w:t>
            </w:r>
          </w:p>
        </w:tc>
        <w:tc>
          <w:tcPr>
            <w:tcW w:w="4422" w:type="dxa"/>
            <w:tcMar>
              <w:top w:w="120" w:type="dxa"/>
              <w:left w:w="120" w:type="dxa"/>
              <w:bottom w:w="120" w:type="dxa"/>
              <w:right w:w="120" w:type="dxa"/>
            </w:tcMar>
          </w:tcPr>
          <w:p w14:paraId="7966A8D4" w14:textId="77777777" w:rsidR="00E65D1D" w:rsidRDefault="00000000">
            <w:pPr>
              <w:spacing w:after="0"/>
            </w:pPr>
            <w:r>
              <w:t>English</w:t>
            </w:r>
          </w:p>
        </w:tc>
      </w:tr>
      <w:tr w:rsidR="00E65D1D" w14:paraId="70ADF184" w14:textId="77777777">
        <w:tc>
          <w:tcPr>
            <w:tcW w:w="4422" w:type="dxa"/>
            <w:tcMar>
              <w:top w:w="120" w:type="dxa"/>
              <w:left w:w="120" w:type="dxa"/>
              <w:bottom w:w="120" w:type="dxa"/>
              <w:right w:w="120" w:type="dxa"/>
            </w:tcMar>
          </w:tcPr>
          <w:p w14:paraId="103C117F" w14:textId="77777777" w:rsidR="00E65D1D" w:rsidRDefault="00000000">
            <w:pPr>
              <w:spacing w:after="0"/>
            </w:pPr>
            <w:r>
              <w:rPr>
                <w:b/>
              </w:rPr>
              <w:t>Sources</w:t>
            </w:r>
          </w:p>
        </w:tc>
        <w:tc>
          <w:tcPr>
            <w:tcW w:w="4422" w:type="dxa"/>
            <w:tcMar>
              <w:top w:w="120" w:type="dxa"/>
              <w:left w:w="120" w:type="dxa"/>
              <w:bottom w:w="120" w:type="dxa"/>
              <w:right w:w="120" w:type="dxa"/>
            </w:tcMar>
          </w:tcPr>
          <w:p w14:paraId="6B77DEDF" w14:textId="77777777" w:rsidR="00E65D1D" w:rsidRDefault="00000000">
            <w:pPr>
              <w:spacing w:after="0"/>
            </w:pPr>
            <w:r>
              <w:t>14-18 references included</w:t>
            </w:r>
          </w:p>
        </w:tc>
      </w:tr>
    </w:tbl>
    <w:p w14:paraId="5C17535B" w14:textId="77777777" w:rsidR="00E65D1D" w:rsidRDefault="00000000">
      <w:r>
        <w:br w:type="page"/>
      </w:r>
    </w:p>
    <w:p w14:paraId="05E5B463" w14:textId="77777777" w:rsidR="00E65D1D" w:rsidRDefault="00000000">
      <w:pPr>
        <w:pStyle w:val="berschrift1"/>
      </w:pPr>
      <w:r>
        <w:lastRenderedPageBreak/>
        <w:t>Abstract</w:t>
      </w:r>
    </w:p>
    <w:p w14:paraId="5845E3C6" w14:textId="77777777" w:rsidR="00E65D1D" w:rsidRDefault="00000000">
      <w:r>
        <w:t>IT security is the disciplined protection of digital systems, networks, applications, identities, and data against unauthorized access, manipulation, disruption, and abuse. Contemporary security practice goes far beyond isolated technical controls such as firewalls or encryption. It is a persistent governance problem shaped by changing attack techniques, cloud architectures, software supply chains, and organizational dependencies. This paper outlines foundational security principles, discusses current architectural approaches such as Zero Trust and secure software development, and examines detection, incident response, and resilience. The central claim is that effective IT security depends on layered controls, realistic threat modeling, and continuous adaptation rather than on any single product or compliance checklist.</w:t>
      </w:r>
    </w:p>
    <w:p w14:paraId="0C400A69" w14:textId="77777777" w:rsidR="00E65D1D" w:rsidRDefault="00000000">
      <w:pPr>
        <w:pStyle w:val="berschrift1"/>
      </w:pPr>
      <w:r>
        <w:t>1. Introduction</w:t>
      </w:r>
    </w:p>
    <w:p w14:paraId="0FDC0BB4" w14:textId="77777777" w:rsidR="00E65D1D" w:rsidRDefault="00000000">
      <w:r>
        <w:t>Digital infrastructures are attack surfaces. That is the baseline fact from which every serious security discussion must begin. Information systems now support financial transactions, healthcare delivery, industrial control, public administration, academic research, and routine communication. When these systems are compromised, the consequences are not merely technical. They can include service outages, direct financial loss, legal exposure, reputational damage, and in some environments physical harm.</w:t>
      </w:r>
    </w:p>
    <w:p w14:paraId="07B9BCA7" w14:textId="77777777" w:rsidR="00E65D1D" w:rsidRDefault="00000000">
      <w:r>
        <w:t>The traditional language of information security is organized around confidentiality, integrity, and availability. The CIA triad remains useful, but modern practice also requires attention to authenticity, accountability, resilience, recoverability, and privacy. NIST’s Cybersecurity Framework 2.0 reflects this broader view by framing security as the management of cybersecurity risk across governance, protection, detection, response, and recovery functions (NIST, 2024a). Security is therefore not a state of perfection. It is the managed reduction of risk under conditions of uncertainty and resource limits.</w:t>
      </w:r>
    </w:p>
    <w:p w14:paraId="7B871859" w14:textId="77777777" w:rsidR="00E65D1D" w:rsidRDefault="00000000">
      <w:r>
        <w:t>A persistent historical pattern is that systems are built first for functionality and only later hardened against attack. That was true for early enterprise networks, for web applications, for mobile ecosystems, for industrial IoT, and again for many cloud-native systems. The result is predictable: accumulated complexity creates hidden trust assumptions, excessive privileges, brittle interfaces, and weak recovery planning. Security added late is usually weaker and more expensive than security designed in from the start.</w:t>
      </w:r>
    </w:p>
    <w:p w14:paraId="08BE0BB1" w14:textId="77777777" w:rsidR="00E65D1D" w:rsidRDefault="00000000">
      <w:pPr>
        <w:pStyle w:val="berschrift1"/>
      </w:pPr>
      <w:r>
        <w:lastRenderedPageBreak/>
        <w:t>2. Security principles and threat modeling</w:t>
      </w:r>
    </w:p>
    <w:p w14:paraId="7DD3346D" w14:textId="77777777" w:rsidR="00E65D1D" w:rsidRDefault="00000000">
      <w:r>
        <w:t>Many of the most durable security insights are old. Saltzer and Schroeder’s principles, including least privilege, economy of mechanism, complete mediation, open design, separation of privilege, and fail-safe defaults, remain fully relevant (Saltzer &amp; Schroeder, 1975). Their practical meaning is direct: systems should be as simple as feasible, rights should be minimized, access should be checked continuously rather than assumed, and failures should default toward restriction instead of trust.</w:t>
      </w:r>
    </w:p>
    <w:p w14:paraId="2A8F4378" w14:textId="77777777" w:rsidR="00E65D1D" w:rsidRDefault="00000000">
      <w:r>
        <w:t>These principles matter because many damaging incidents are not driven by exotic attacks. They result from familiar weaknesses: overprivileged service accounts, exposed administrative interfaces, reused credentials, insecure defaults, weak segmentation, and poor change control. The spectacular attack tends to receive public attention, but ordinary misconfiguration often causes the operational disaster.</w:t>
      </w:r>
    </w:p>
    <w:p w14:paraId="551C0E76" w14:textId="77777777" w:rsidR="00E65D1D" w:rsidRDefault="00000000">
      <w:r>
        <w:t>Threat modeling is the discipline that translates abstract principles into system-specific security analysis. It asks what assets matter, what adversaries are plausible, what attack paths exist, what assumptions are being made, and where controls should be placed. Frameworks such as STRIDE and MITRE ATT&amp;CK help structure this process by mapping attack behavior to recurring tactics and techniques (MITRE, 2026). This matters because security programs often fail when they become a disconnected pile of tools without any explicit model of how compromise is actually expected to occur.</w:t>
      </w:r>
    </w:p>
    <w:p w14:paraId="3063A3BA" w14:textId="77777777" w:rsidR="00E65D1D" w:rsidRDefault="00000000">
      <w:r>
        <w:t>Threat modeling also forces differentiation among adversaries. Opportunistic ransomware operators, insider threats, supply-chain attackers, state-backed actors, and careless internal users do not create the same risks or require the same controls. A municipal administration, a fintech platform, a university, and a hospital should not inherit identical security architectures merely because they bought similar technology.</w:t>
      </w:r>
    </w:p>
    <w:p w14:paraId="798CEEC2" w14:textId="77777777" w:rsidR="00E65D1D" w:rsidRDefault="00000000">
      <w:pPr>
        <w:pStyle w:val="berschrift1"/>
      </w:pPr>
      <w:r>
        <w:t>3. Governance, standards, and risk-based control</w:t>
      </w:r>
    </w:p>
    <w:p w14:paraId="2EB080AA" w14:textId="77777777" w:rsidR="00E65D1D" w:rsidRDefault="00000000">
      <w:r>
        <w:t xml:space="preserve">Security without governance does not scale. Controls must be prioritized, responsibilities assigned, exceptions documented, and risk decisions made explicit. The NIST Cybersecurity Framework 2.0 is valuable precisely because it places governance inside the framework rather than treating it as a vague management concern outside technical practice </w:t>
      </w:r>
      <w:r>
        <w:lastRenderedPageBreak/>
        <w:t>(NIST, 2024a). Governance includes role definition, policy setting, resource allocation, third-party oversight, and board-level visibility into critical exposure.</w:t>
      </w:r>
    </w:p>
    <w:p w14:paraId="4444BAB9" w14:textId="77777777" w:rsidR="00E65D1D" w:rsidRDefault="00000000">
      <w:r>
        <w:t>Risk-based security does not mean everything must be reduced to a neat financial formula. It means that asset criticality, threat likelihood, exploitability, business dependency, and recovery difficulty should be evaluated together. In some environments, low-probability events justify major controls because consequences are severe. In others, extreme controls create more fragility and cost than they prevent. Security maturity therefore involves disciplined prioritization, not indiscriminate maximalism.</w:t>
      </w:r>
    </w:p>
    <w:p w14:paraId="1BBC1131" w14:textId="77777777" w:rsidR="00E65D1D" w:rsidRDefault="00000000">
      <w:r>
        <w:t>Control catalogs such as NIST SP 800-53 help by organizing families of technical and procedural safeguards, including access control, audit logging, configuration management, contingency planning, and incident response (NIST, 2020). Their value lies in completeness and common language. Their limit is equally obvious: they do not secure anything by themselves. A control marked as implemented in an audit spreadsheet may still be weak, bypassable, or operationally irrelevant.</w:t>
      </w:r>
    </w:p>
    <w:p w14:paraId="18EC514E" w14:textId="77777777" w:rsidR="00E65D1D" w:rsidRDefault="00000000">
      <w:r>
        <w:t>This is why compliance and security must be distinguished. Compliance evidence is useful for accountability, procurement, and assurance. But a system does not become secure because it generated documentation. Real security is tested under adversarial pressure, operational stress, and imperfect human behavior. A checklist can reduce negligence, but it cannot replace defensive capability.</w:t>
      </w:r>
    </w:p>
    <w:p w14:paraId="3CF7E245" w14:textId="77777777" w:rsidR="00E65D1D" w:rsidRDefault="00000000">
      <w:pPr>
        <w:pStyle w:val="berschrift1"/>
      </w:pPr>
      <w:r>
        <w:t>4. Identity, access, and Zero Trust</w:t>
      </w:r>
    </w:p>
    <w:p w14:paraId="0CB04F1B" w14:textId="77777777" w:rsidR="00E65D1D" w:rsidRDefault="00000000">
      <w:r>
        <w:t>Identity has become the central control plane of modern security. In highly distributed environments with remote work, SaaS, APIs, containers, and cloud services, the traditional assumption of a trusted internal network perimeter is no longer tenable. Zero Trust architecture addresses this shift by rejecting implicit trust based solely on network location and requiring continuous evaluation of access requests (NIST, 2020b).</w:t>
      </w:r>
    </w:p>
    <w:p w14:paraId="62D770B6" w14:textId="77777777" w:rsidR="00E65D1D" w:rsidRDefault="00000000">
      <w:r>
        <w:t>Zero Trust is often marketed as a product category, but it is better understood as an architectural posture. It combines strong authentication, device posture assessment, fine-grained authorization, session control, microsegmentation, and continuous telemetry. The point is not to eliminate breach risk entirely. The point is to reduce silent lateral movement, constrain blast radius, and make compromise more visible and more costly for an attacker.</w:t>
      </w:r>
    </w:p>
    <w:p w14:paraId="7E0BCEE7" w14:textId="77777777" w:rsidR="00E65D1D" w:rsidRDefault="00000000">
      <w:r>
        <w:lastRenderedPageBreak/>
        <w:t>Privileged identities are particularly dangerous. Administrative accounts, service accounts, machine identities, and automation credentials often have wide access and weak visibility. In many organizations they remain poorly inventoried and loosely controlled. Yet once such an identity is compromised, the attacker frequently bypasses multiple layers of defense. Least privilege, just-in-time access, privileged session monitoring, and segmented administrative tiers are therefore not bureaucratic extras. They are central containment measures.</w:t>
      </w:r>
    </w:p>
    <w:p w14:paraId="260D7D7D" w14:textId="77777777" w:rsidR="00E65D1D" w:rsidRDefault="00000000">
      <w:r>
        <w:t>Cloud-native systems intensify this challenge. Workloads are ephemeral, services call one another programmatically, and access decisions increasingly occur at the API or workload level rather than at a fixed network boundary. NIST SP 800-207A illustrates how Zero Trust principles can be adapted to cloud-native, multi-location access scenarios (NIST, 2023a). The direction is clear: access control is moving away from static trust zones toward contextual identity- and policy-driven enforcement.</w:t>
      </w:r>
    </w:p>
    <w:p w14:paraId="6E93EAC4" w14:textId="77777777" w:rsidR="00E65D1D" w:rsidRDefault="00000000">
      <w:pPr>
        <w:pStyle w:val="berschrift1"/>
      </w:pPr>
      <w:r>
        <w:t>5. Secure software development and application security</w:t>
      </w:r>
    </w:p>
    <w:p w14:paraId="3BA2508C" w14:textId="77777777" w:rsidR="00E65D1D" w:rsidRDefault="00000000">
      <w:r>
        <w:t>A large share of security exposure originates in development. Web applications, APIs, mobile apps, container images, and CI/CD pipelines all create opportunities for compromise if security is treated as a late-stage review instead of a design property. The NIST Secure Software Development Framework articulates practices for secure requirements, source control, dependency management, code review, build integrity, and release processes (NIST, 2024b). OWASP complements this with practical guidance focused on common web application weaknesses and verification practices (OWASP, 2025a; OWASP, 2025b).</w:t>
      </w:r>
    </w:p>
    <w:p w14:paraId="5CF8E1B3" w14:textId="77777777" w:rsidR="00E65D1D" w:rsidRDefault="00000000">
      <w:r>
        <w:t>The persistence of recurring web risks is revealing. Injection, broken access control, insecure authentication flows, exposed secrets, and unsafe deserialization are not obscure academic defects. They survive because organizations repeatedly prioritize delivery speed over disciplined engineering. A mature security program therefore tries to move security “left” into architecture, code, dependency management, and automated testing rather than relying only on post-deployment scanning.</w:t>
      </w:r>
    </w:p>
    <w:p w14:paraId="52F77DDF" w14:textId="77777777" w:rsidR="00E65D1D" w:rsidRDefault="00000000">
      <w:r>
        <w:t xml:space="preserve">Software supply chain security has become especially important. Modern applications depend on large ecosystems of open-source packages, base images, package registries, and automated build systems. Attacks on these dependencies may compromise a product long </w:t>
      </w:r>
      <w:r>
        <w:lastRenderedPageBreak/>
        <w:t>before it reaches production. The OpenSSF SLSA framework addresses this problem by promoting provenance, build integrity, tamper resistance, and controlled release pipelines (OpenSSF, 2025). This is not theoretical. If the build chain is compromised, endpoint controls may simply defend already-poisoned software.</w:t>
      </w:r>
    </w:p>
    <w:p w14:paraId="7BA4B8C9" w14:textId="77777777" w:rsidR="00E65D1D" w:rsidRDefault="00000000">
      <w:r>
        <w:t>Application security also requires secure defaults, secret management, infrastructure-as-code review, and disciplined patching. None of these measures is glamorous. But most operational breaches do not require glamorous causes. They exploit ordinary weaknesses that were left unattended because responsibility was diffused or because the organization assumed that “security tooling” would compensate for weak engineering.</w:t>
      </w:r>
    </w:p>
    <w:p w14:paraId="795202FB" w14:textId="77777777" w:rsidR="00E65D1D" w:rsidRDefault="00000000">
      <w:pPr>
        <w:pStyle w:val="berschrift1"/>
      </w:pPr>
      <w:r>
        <w:t>6. Detection, incident response, and resilience</w:t>
      </w:r>
    </w:p>
    <w:p w14:paraId="5A496313" w14:textId="77777777" w:rsidR="00E65D1D" w:rsidRDefault="00000000">
      <w:r>
        <w:t>No credible security strategy assumes perfect prevention. Detection and response are therefore core functions rather than fallback mechanisms. Modern environments produce large volumes of telemetry from endpoints, identity systems, applications, network devices, cloud control planes, and container orchestration layers. The difficulty is not generating logs but turning them into useful, prioritized signals.</w:t>
      </w:r>
    </w:p>
    <w:p w14:paraId="4C6AAE89" w14:textId="77777777" w:rsidR="00E65D1D" w:rsidRDefault="00000000">
      <w:r>
        <w:t>MITRE ATT&amp;CK has become influential because it provides a common language for mapping observed behavior to known adversary techniques (MITRE, 2026). Used properly, it improves detection engineering, purple teaming, and control-gap analysis. Used badly, it becomes decorative taxonomy. The practical value depends on whether it changes detection logic and response playbooks rather than merely enriching reports.</w:t>
      </w:r>
    </w:p>
    <w:p w14:paraId="33B6A76B" w14:textId="77777777" w:rsidR="00E65D1D" w:rsidRDefault="00000000">
      <w:r>
        <w:t>Incident handling frameworks from NIST emphasize preparation, analysis, containment, eradication, recovery, and post-incident learning (NIST, 2025). That lifecycle matters because many organizations overinvest in tooling and underinvest in decision structure. During a real incident, uncertainty, missing ownership, poor asset inventories, and communication failure are often as damaging as the original exploit.</w:t>
      </w:r>
    </w:p>
    <w:p w14:paraId="0141920F" w14:textId="77777777" w:rsidR="00E65D1D" w:rsidRDefault="00000000">
      <w:r>
        <w:t>Resilience requires more than successful triage. Backups, isolation capability, recovery rehearsals, immutable infrastructure patterns, segmented administrative control, and crisis communication planning all determine whether a breach becomes a limited disturbance or a full operational failure. A resilient organization is not one that never gets hit. It is one that can absorb, contain, and recover without strategic collapse.</w:t>
      </w:r>
    </w:p>
    <w:p w14:paraId="4B8D094A" w14:textId="77777777" w:rsidR="00E65D1D" w:rsidRDefault="00000000">
      <w:pPr>
        <w:pStyle w:val="berschrift1"/>
      </w:pPr>
      <w:r>
        <w:lastRenderedPageBreak/>
        <w:t>7. Human factors, economics, and conclusion</w:t>
      </w:r>
    </w:p>
    <w:p w14:paraId="7CAA2C6E" w14:textId="77777777" w:rsidR="00E65D1D" w:rsidRDefault="00000000">
      <w:r>
        <w:t>Security failures are often attributed to “the human factor,” but that phrase can hide bad system design. Users make mistakes, but organizations also create conditions that practically guarantee mistakes: excessive complexity, confusing interfaces, poorly managed secrets, unclear policies, and impossible compliance burdens. Good security reduces dependency on perfect user behavior through better defaults, stronger automation, and realistic workflows.</w:t>
      </w:r>
    </w:p>
    <w:p w14:paraId="27776762" w14:textId="77777777" w:rsidR="00E65D1D" w:rsidRDefault="00000000">
      <w:r>
        <w:t>Economics matters as well. Defenders must allocate limited resources across patching, monitoring, training, architecture, third-party review, and recovery planning. Attackers often need only one workable path. This asymmetry explains why sustainable security depends on reducing complexity, prioritizing crown-jewel assets, and investing where detection and recovery can materially shorten attacker dwell time.</w:t>
      </w:r>
    </w:p>
    <w:p w14:paraId="2AC5D1FA" w14:textId="77777777" w:rsidR="00E65D1D" w:rsidRDefault="00000000">
      <w:r>
        <w:t>The strongest analytical conclusion is that IT security is not a single technical domain but an organizational capability built from architecture, engineering discipline, operational telemetry, response readiness, and governance. Frameworks and standards are useful because they provide structure; they are insufficient if they become ritual. Effective security is unspectacular, layered, continuously revised, and brutally attentive to where real compromise is most likely to happen.</w:t>
      </w:r>
    </w:p>
    <w:p w14:paraId="02152037" w14:textId="77777777" w:rsidR="00E65D1D" w:rsidRDefault="00000000">
      <w:pPr>
        <w:pStyle w:val="berschrift1"/>
      </w:pPr>
      <w:r>
        <w:t>8. Strategic implications for organizations</w:t>
      </w:r>
    </w:p>
    <w:p w14:paraId="7F81A0E3" w14:textId="77777777" w:rsidR="00E65D1D" w:rsidRDefault="00000000">
      <w:r>
        <w:t>For organizations, the most important strategic lesson is that security architecture must follow dependency analysis. It is not enough to know what systems exist. An institution has to know which identities, applications, databases, build pipelines, third-party services, and administrative paths are capable of causing disproportionate damage if compromised. Many security programs remain too egalitarian: they spread controls broadly but fail to treat high-impact dependencies with the precision they deserve. In practice, crown-jewel analysis, administrative path reduction, and recovery prioritization usually yield more benefit than indiscriminate control expansion.</w:t>
      </w:r>
    </w:p>
    <w:p w14:paraId="2B062C8A" w14:textId="77777777" w:rsidR="00E65D1D" w:rsidRDefault="00000000">
      <w:r>
        <w:t xml:space="preserve">A second implication concerns decision speed. In many breaches, technical detection exists but organizational response is slow because authority is unclear, business owners hesitate, or communication chains are fragmented. Security maturity therefore includes governance </w:t>
      </w:r>
      <w:r>
        <w:lastRenderedPageBreak/>
        <w:t>mechanisms that allow rapid containment decisions without paralyzing dispute over responsibility. The technical tooling can be sound while the actual organization remains incapable of acting in time.</w:t>
      </w:r>
    </w:p>
    <w:p w14:paraId="26E76F4B" w14:textId="77777777" w:rsidR="00E65D1D" w:rsidRDefault="00000000">
      <w:r>
        <w:t>Third, resilience must be tested rather than assumed. Backups that have never been restored, incident plans that have never been exercised, and segmentation designs that fail under real operational pressure are all common. Tabletop exercises, recovery rehearsals, red-team or purple-team engagements, and adversary-emulation exercises are valuable because they expose the difference between nominal and actual capability. Security is one of the few fields where paperwork often overstates readiness and controlled failure reveals the truth.</w:t>
      </w:r>
    </w:p>
    <w:p w14:paraId="17A55CD3" w14:textId="77777777" w:rsidR="00E65D1D" w:rsidRDefault="00000000">
      <w:r>
        <w:t>Future security work will also be shaped by automation and AI. Attackers increasingly use automation for reconnaissance, phishing customization, and exploitation at scale, while defenders use it for alert triage, enrichment, and detection content generation. That creates a double pressure. Automation can improve defensive speed, but it can also magnify poor assumptions and generate volumes of low-value output. The practical challenge is not whether to automate, but where automation should be constrained by high-confidence rules, where it should remain decision support, and where human review is mandatory.</w:t>
      </w:r>
    </w:p>
    <w:p w14:paraId="3DE6D68E" w14:textId="77777777" w:rsidR="00E65D1D" w:rsidRDefault="00000000">
      <w:r>
        <w:t>The final strategic point is uncomfortable but necessary: many organizations are still organized as if security were a specialist back-office function. In reality, security is a property of architecture, procurement, engineering, administration, and leadership. It fails when it is isolated. A mature organization does not “have a security team” and leave the rest untouched. It distributes security responsibility without dissolving accountability.</w:t>
      </w:r>
    </w:p>
    <w:p w14:paraId="5BC1DF80" w14:textId="77777777" w:rsidR="00E65D1D" w:rsidRDefault="00000000">
      <w:pPr>
        <w:pStyle w:val="berschrift1"/>
      </w:pPr>
      <w:r>
        <w:t>9. Concluding remarks</w:t>
      </w:r>
    </w:p>
    <w:p w14:paraId="37A80A24" w14:textId="77777777" w:rsidR="00E65D1D" w:rsidRDefault="00000000">
      <w:r>
        <w:t>The practical lesson of contemporary IT security is harsh but simple: organizations do not defend abstract “systems”; they defend dependency chains under uncertainty. The decisive question is therefore not whether security tooling exists, but whether the institution can identify its critical assets, constrain privileged pathways, detect compromise fast enough, and recover without strategic paralysis. Security programs that cannot answer these points clearly are usually weaker than their documentation suggests.</w:t>
      </w:r>
    </w:p>
    <w:p w14:paraId="4499DC59" w14:textId="77777777" w:rsidR="00E65D1D" w:rsidRDefault="00000000">
      <w:r>
        <w:t xml:space="preserve">This is also why security maturity is inseparable from organizational honesty. Weaknesses tend to persist where incentives reward optimistic reporting, fragmented ownership, or </w:t>
      </w:r>
      <w:r>
        <w:lastRenderedPageBreak/>
        <w:t>symbolic compliance. By contrast, stronger organizations treat incident data, failed controls, and near misses as operational intelligence rather than embarrassment. In that sense, the future of IT security is not merely more automation, more telemetry, or more AI-assisted defense. It is better alignment between architecture, engineering practice, executive responsibility, and recovery capability. Anything less is cosmetic.</w:t>
      </w:r>
    </w:p>
    <w:p w14:paraId="5DA710EE" w14:textId="77777777" w:rsidR="00E65D1D" w:rsidRDefault="00000000">
      <w:pPr>
        <w:pStyle w:val="berschrift1"/>
      </w:pPr>
      <w:r>
        <w:t>References</w:t>
      </w:r>
    </w:p>
    <w:p w14:paraId="6D41690D" w14:textId="77777777" w:rsidR="00E65D1D" w:rsidRDefault="00000000" w:rsidP="007E4EA5">
      <w:pPr>
        <w:jc w:val="left"/>
      </w:pPr>
      <w:r>
        <w:t>Anderson, R. (2020). Security Engineering: A Guide to Building Dependable Distributed Systems (3rd ed.). Wiley.</w:t>
      </w:r>
      <w:r>
        <w:br/>
        <w:t>ENISA. (2025). ENISA Threat Landscape 2025. European Union Agency for Cybersecurity.</w:t>
      </w:r>
      <w:r>
        <w:br/>
        <w:t>Mell, P., Scarfone, K., &amp; Romanosky, S. (2007). A complete guide to the Common Vulnerability Scoring System version 2.0. FIRST.</w:t>
      </w:r>
      <w:r>
        <w:br/>
        <w:t>MITRE. (2026). MITRE ATT&amp;CK. MITRE Corporation.</w:t>
      </w:r>
      <w:r>
        <w:br/>
        <w:t>NIST. (2020). Security and Privacy Controls for Information Systems and Organizations (SP 800-53 Rev. 5). National Institute of Standards and Technology.</w:t>
      </w:r>
      <w:r>
        <w:br/>
        <w:t>NIST. (2020b). Zero Trust Architecture (SP 800-207). National Institute of Standards and Technology.</w:t>
      </w:r>
      <w:r>
        <w:br/>
        <w:t>NIST. (2023a). A Zero Trust Architecture Model for Access Control in Cloud-Native Applications in Multi-Location Environments (SP 800-207A). National Institute of Standards and Technology.</w:t>
      </w:r>
      <w:r>
        <w:br/>
        <w:t>NIST. (2024a). The NIST Cybersecurity Framework (CSF) 2.0. National Institute of Standards and Technology.</w:t>
      </w:r>
      <w:r>
        <w:br/>
        <w:t>NIST. (2024b). Secure Software Development Framework (SSDF) Version 1.1: Recommended Practices for Secure Software Development (SP 800-218). National Institute of Standards and Technology.</w:t>
      </w:r>
      <w:r>
        <w:br/>
        <w:t>NIST. (2025). Incident Response Recommendations and Considerations for Cybersecurity Risk Management: A CSF 2.0 Community Profile (SP 800-61 Rev. 3). National Institute of Standards and Technology.</w:t>
      </w:r>
      <w:r>
        <w:br/>
        <w:t>OpenSSF. (2025). Supply-chain Levels for Software Artifacts (SLSA). Open Source Security Foundation.</w:t>
      </w:r>
      <w:r>
        <w:br/>
        <w:t>OWASP. (2025a). OWASP Top 10: Web Application Security Risks. Open Worldwide Application Security Project.</w:t>
      </w:r>
      <w:r>
        <w:br/>
      </w:r>
      <w:r>
        <w:lastRenderedPageBreak/>
        <w:t>OWASP. (2025b). OWASP Application Security Verification Standard 5.0. Open Worldwide Application Security Project.</w:t>
      </w:r>
      <w:r>
        <w:br/>
        <w:t>Saltzer, J. H., &amp; Schroeder, M. D. (1975). The protection of information in computer systems. Proceedings of the IEEE, 63(9), 1278-1308.</w:t>
      </w:r>
      <w:r>
        <w:br/>
        <w:t>Shostack, A. (2014). Threat Modeling: Designing for Security. Wiley.</w:t>
      </w:r>
      <w:r>
        <w:br/>
        <w:t>Souppaya, M., &amp; Scarfone, K. (2013). Guide to Malware Incident Prevention and Handling for Desktops and Laptops (SP 800-83 Rev. 1). National Institute of Standards and Technology.</w:t>
      </w:r>
    </w:p>
    <w:sectPr w:rsidR="00E65D1D" w:rsidSect="00034616">
      <w:footerReference w:type="default" r:id="rId8"/>
      <w:pgSz w:w="11906" w:h="16838"/>
      <w:pgMar w:top="1531" w:right="1531" w:bottom="1531"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01FF" w14:textId="77777777" w:rsidR="0091407B" w:rsidRDefault="0091407B">
      <w:pPr>
        <w:spacing w:after="0" w:line="240" w:lineRule="auto"/>
      </w:pPr>
      <w:r>
        <w:separator/>
      </w:r>
    </w:p>
  </w:endnote>
  <w:endnote w:type="continuationSeparator" w:id="0">
    <w:p w14:paraId="73AA2E47" w14:textId="77777777" w:rsidR="0091407B" w:rsidRDefault="00914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94E4" w14:textId="3656BC87" w:rsidR="00E65D1D" w:rsidRDefault="00000000">
    <w:pPr>
      <w:pStyle w:val="Fuzeile"/>
      <w:jc w:val="center"/>
    </w:pPr>
    <w:r>
      <w:fldChar w:fldCharType="begin"/>
    </w:r>
    <w:r>
      <w:instrText>PAGE</w:instrText>
    </w:r>
    <w:r w:rsidR="007E4EA5">
      <w:fldChar w:fldCharType="separate"/>
    </w:r>
    <w:r w:rsidR="007E4E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6326C" w14:textId="77777777" w:rsidR="0091407B" w:rsidRDefault="0091407B">
      <w:pPr>
        <w:spacing w:after="0" w:line="240" w:lineRule="auto"/>
      </w:pPr>
      <w:r>
        <w:separator/>
      </w:r>
    </w:p>
  </w:footnote>
  <w:footnote w:type="continuationSeparator" w:id="0">
    <w:p w14:paraId="36F0FDCA" w14:textId="77777777" w:rsidR="0091407B" w:rsidRDefault="00914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910769711">
    <w:abstractNumId w:val="8"/>
  </w:num>
  <w:num w:numId="2" w16cid:durableId="1900437692">
    <w:abstractNumId w:val="6"/>
  </w:num>
  <w:num w:numId="3" w16cid:durableId="798455772">
    <w:abstractNumId w:val="5"/>
  </w:num>
  <w:num w:numId="4" w16cid:durableId="1930119054">
    <w:abstractNumId w:val="4"/>
  </w:num>
  <w:num w:numId="5" w16cid:durableId="1377195482">
    <w:abstractNumId w:val="7"/>
  </w:num>
  <w:num w:numId="6" w16cid:durableId="1641568523">
    <w:abstractNumId w:val="3"/>
  </w:num>
  <w:num w:numId="7" w16cid:durableId="1656646462">
    <w:abstractNumId w:val="2"/>
  </w:num>
  <w:num w:numId="8" w16cid:durableId="833882151">
    <w:abstractNumId w:val="1"/>
  </w:num>
  <w:num w:numId="9" w16cid:durableId="19288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4EA5"/>
    <w:rsid w:val="0091407B"/>
    <w:rsid w:val="009249AA"/>
    <w:rsid w:val="00AA1D8D"/>
    <w:rsid w:val="00B47730"/>
    <w:rsid w:val="00CB0664"/>
    <w:rsid w:val="00E65D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CB398-CE1C-4812-93B5-6049A001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jc w:val="both"/>
    </w:pPr>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2695</Words>
  <Characters>16979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 Geier</cp:lastModifiedBy>
  <cp:revision>2</cp:revision>
  <dcterms:created xsi:type="dcterms:W3CDTF">2013-12-23T23:15:00Z</dcterms:created>
  <dcterms:modified xsi:type="dcterms:W3CDTF">2026-03-11T13:04:00Z</dcterms:modified>
  <cp:category/>
</cp:coreProperties>
</file>