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2C13BD" w14:textId="77777777" w:rsidR="005C3096" w:rsidRDefault="005C3096"/>
    <w:p w14:paraId="02FE1693" w14:textId="77777777" w:rsidR="005C3096" w:rsidRDefault="005C3096"/>
    <w:p w14:paraId="68B4C1DE" w14:textId="77777777" w:rsidR="005C3096" w:rsidRDefault="005C3096"/>
    <w:p w14:paraId="797E51E4" w14:textId="77777777" w:rsidR="005C3096" w:rsidRDefault="00000000">
      <w:pPr>
        <w:jc w:val="center"/>
      </w:pPr>
      <w:r>
        <w:rPr>
          <w:b/>
          <w:color w:val="1F4E79"/>
          <w:sz w:val="44"/>
        </w:rPr>
        <w:t>Databases</w:t>
      </w:r>
    </w:p>
    <w:p w14:paraId="7E188C6A" w14:textId="77777777" w:rsidR="005C3096" w:rsidRDefault="005C3096"/>
    <w:p w14:paraId="0ECFB0A0" w14:textId="77777777" w:rsidR="005C3096" w:rsidRDefault="005C3096"/>
    <w:p w14:paraId="50B7B62D" w14:textId="77777777" w:rsidR="005C3096" w:rsidRDefault="00000000">
      <w:pPr>
        <w:jc w:val="center"/>
      </w:pPr>
      <w:r>
        <w:rPr>
          <w:i/>
          <w:sz w:val="26"/>
        </w:rPr>
        <w:t>Academic essay</w:t>
      </w:r>
    </w:p>
    <w:p w14:paraId="32D4C433" w14:textId="77777777" w:rsidR="005C3096" w:rsidRDefault="005C3096"/>
    <w:p w14:paraId="2777A8ED" w14:textId="77777777" w:rsidR="005C3096" w:rsidRDefault="005C3096"/>
    <w:tbl>
      <w:tblPr>
        <w:tblStyle w:val="Tabellenraster"/>
        <w:tblW w:w="0" w:type="auto"/>
        <w:tblLook w:val="04A0" w:firstRow="1" w:lastRow="0" w:firstColumn="1" w:lastColumn="0" w:noHBand="0" w:noVBand="1"/>
      </w:tblPr>
      <w:tblGrid>
        <w:gridCol w:w="4422"/>
        <w:gridCol w:w="4422"/>
      </w:tblGrid>
      <w:tr w:rsidR="005C3096" w14:paraId="6AC7ADE3" w14:textId="77777777">
        <w:tc>
          <w:tcPr>
            <w:tcW w:w="4422" w:type="dxa"/>
            <w:tcMar>
              <w:top w:w="120" w:type="dxa"/>
              <w:left w:w="120" w:type="dxa"/>
              <w:bottom w:w="120" w:type="dxa"/>
              <w:right w:w="120" w:type="dxa"/>
            </w:tcMar>
          </w:tcPr>
          <w:p w14:paraId="3498621E" w14:textId="77777777" w:rsidR="005C3096" w:rsidRDefault="00000000">
            <w:pPr>
              <w:spacing w:after="0"/>
            </w:pPr>
            <w:r>
              <w:rPr>
                <w:b/>
              </w:rPr>
              <w:t>Topic</w:t>
            </w:r>
          </w:p>
        </w:tc>
        <w:tc>
          <w:tcPr>
            <w:tcW w:w="4422" w:type="dxa"/>
            <w:tcMar>
              <w:top w:w="120" w:type="dxa"/>
              <w:left w:w="120" w:type="dxa"/>
              <w:bottom w:w="120" w:type="dxa"/>
              <w:right w:w="120" w:type="dxa"/>
            </w:tcMar>
          </w:tcPr>
          <w:p w14:paraId="54F8E074" w14:textId="77777777" w:rsidR="005C3096" w:rsidRDefault="00000000">
            <w:pPr>
              <w:spacing w:after="0"/>
            </w:pPr>
            <w:r>
              <w:t>Databases</w:t>
            </w:r>
          </w:p>
        </w:tc>
      </w:tr>
      <w:tr w:rsidR="005C3096" w14:paraId="46121FD6" w14:textId="77777777">
        <w:tc>
          <w:tcPr>
            <w:tcW w:w="4422" w:type="dxa"/>
            <w:tcMar>
              <w:top w:w="120" w:type="dxa"/>
              <w:left w:w="120" w:type="dxa"/>
              <w:bottom w:w="120" w:type="dxa"/>
              <w:right w:w="120" w:type="dxa"/>
            </w:tcMar>
          </w:tcPr>
          <w:p w14:paraId="0966BEF3" w14:textId="77777777" w:rsidR="005C3096" w:rsidRDefault="00000000">
            <w:pPr>
              <w:spacing w:after="0"/>
            </w:pPr>
            <w:r>
              <w:rPr>
                <w:b/>
              </w:rPr>
              <w:t>Language</w:t>
            </w:r>
          </w:p>
        </w:tc>
        <w:tc>
          <w:tcPr>
            <w:tcW w:w="4422" w:type="dxa"/>
            <w:tcMar>
              <w:top w:w="120" w:type="dxa"/>
              <w:left w:w="120" w:type="dxa"/>
              <w:bottom w:w="120" w:type="dxa"/>
              <w:right w:w="120" w:type="dxa"/>
            </w:tcMar>
          </w:tcPr>
          <w:p w14:paraId="45B82FE4" w14:textId="77777777" w:rsidR="005C3096" w:rsidRDefault="00000000">
            <w:pPr>
              <w:spacing w:after="0"/>
            </w:pPr>
            <w:r>
              <w:t>English</w:t>
            </w:r>
          </w:p>
        </w:tc>
      </w:tr>
      <w:tr w:rsidR="005C3096" w14:paraId="4474700B" w14:textId="77777777">
        <w:tc>
          <w:tcPr>
            <w:tcW w:w="4422" w:type="dxa"/>
            <w:tcMar>
              <w:top w:w="120" w:type="dxa"/>
              <w:left w:w="120" w:type="dxa"/>
              <w:bottom w:w="120" w:type="dxa"/>
              <w:right w:w="120" w:type="dxa"/>
            </w:tcMar>
          </w:tcPr>
          <w:p w14:paraId="405C1EB2" w14:textId="77777777" w:rsidR="005C3096" w:rsidRDefault="00000000">
            <w:pPr>
              <w:spacing w:after="0"/>
            </w:pPr>
            <w:r>
              <w:rPr>
                <w:b/>
              </w:rPr>
              <w:t>Sources</w:t>
            </w:r>
          </w:p>
        </w:tc>
        <w:tc>
          <w:tcPr>
            <w:tcW w:w="4422" w:type="dxa"/>
            <w:tcMar>
              <w:top w:w="120" w:type="dxa"/>
              <w:left w:w="120" w:type="dxa"/>
              <w:bottom w:w="120" w:type="dxa"/>
              <w:right w:w="120" w:type="dxa"/>
            </w:tcMar>
          </w:tcPr>
          <w:p w14:paraId="29127738" w14:textId="77777777" w:rsidR="005C3096" w:rsidRDefault="00000000">
            <w:pPr>
              <w:spacing w:after="0"/>
            </w:pPr>
            <w:r>
              <w:t>14-18 references included</w:t>
            </w:r>
          </w:p>
        </w:tc>
      </w:tr>
    </w:tbl>
    <w:p w14:paraId="41FB2186" w14:textId="77777777" w:rsidR="005C3096" w:rsidRDefault="00000000">
      <w:r>
        <w:br w:type="page"/>
      </w:r>
    </w:p>
    <w:p w14:paraId="5A41EF1D" w14:textId="77777777" w:rsidR="005C3096" w:rsidRDefault="00000000">
      <w:pPr>
        <w:pStyle w:val="berschrift1"/>
      </w:pPr>
      <w:r>
        <w:lastRenderedPageBreak/>
        <w:t>Abstract</w:t>
      </w:r>
    </w:p>
    <w:p w14:paraId="2E7F18C8" w14:textId="77777777" w:rsidR="005C3096" w:rsidRDefault="00000000">
      <w:r>
        <w:t>Database systems are the infrastructure of digital information processing. They organize persistent data, mediate concurrent access, maintain integrity constraints, and provide retrieval mechanisms that are both efficient and semantically meaningful. This paper surveys the conceptual foundations of databases, beginning with the relational model and moving through transaction processing, concurrency control, indexing, and query optimization toward NoSQL and NewSQL developments. The main argument is that database design is defined by trade-offs among consistency, scalability, flexibility, performance, and operational complexity. Contemporary database practice is therefore best understood not as a replacement of relational thinking, but as an expansion of the design space around it.</w:t>
      </w:r>
    </w:p>
    <w:p w14:paraId="5CE6840D" w14:textId="77777777" w:rsidR="005C3096" w:rsidRDefault="00000000">
      <w:pPr>
        <w:pStyle w:val="berschrift1"/>
      </w:pPr>
      <w:r>
        <w:t>1. Introduction</w:t>
      </w:r>
    </w:p>
    <w:p w14:paraId="1264C6EF" w14:textId="77777777" w:rsidR="005C3096" w:rsidRDefault="00000000">
      <w:r>
        <w:t>Databases are often treated as background infrastructure, but they are among the most consequential technologies in computing. Nearly every modern information system depends on persistent storage, controlled access, reliable update semantics, and efficient query execution. Whether the application is banking, e-commerce, logistics, scientific computing, or public administration, the database layer determines how data are structured, validated, shared, and recovered.</w:t>
      </w:r>
    </w:p>
    <w:p w14:paraId="3F307AFE" w14:textId="77777777" w:rsidR="005C3096" w:rsidRDefault="00000000">
      <w:r>
        <w:t>The decisive conceptual breakthrough came with Codd’s relational model, which proposed that data should be represented as relations and manipulated through a high-level data sublanguage rather than through direct dependence on physical storage structures (Codd, 1970). That move separated logical data modeling from implementation detail and gave database systems a mathematically grounded foundation in relation theory and predicate logic. It also made data independence a central design objective.</w:t>
      </w:r>
    </w:p>
    <w:p w14:paraId="41EB36A5" w14:textId="77777777" w:rsidR="005C3096" w:rsidRDefault="00000000">
      <w:r>
        <w:t>Since then, database technology has diversified. Relational database management systems remain dominant in many transactional contexts, but document stores, key-value systems, column-family stores, graph databases, stream processors, and globally distributed databases have expanded the design space. Still, the basic questions remain the same: how should data be modeled, how should concurrent changes be coordinated, what guarantees should the system provide, and what costs are acceptable in return?</w:t>
      </w:r>
    </w:p>
    <w:p w14:paraId="779C1FA5" w14:textId="77777777" w:rsidR="005C3096" w:rsidRDefault="00000000">
      <w:pPr>
        <w:pStyle w:val="berschrift1"/>
      </w:pPr>
      <w:r>
        <w:lastRenderedPageBreak/>
        <w:t>2. The relational model and schema design</w:t>
      </w:r>
    </w:p>
    <w:p w14:paraId="3B76F6A0" w14:textId="77777777" w:rsidR="005C3096" w:rsidRDefault="00000000">
      <w:r>
        <w:t>Codd’s model transformed database thinking by abstracting data into tuples, attributes, and relations that can be manipulated declaratively (Codd, 1970). The practical result was the rise of SQL-based relational systems in which users describe what they want rather than how to traverse storage manually. This abstraction remains one of the major successes of computer science because it decouples application logic from low-level storage details and allows optimizer-driven execution strategies.</w:t>
      </w:r>
    </w:p>
    <w:p w14:paraId="5DE0315D" w14:textId="77777777" w:rsidR="005C3096" w:rsidRDefault="00000000">
      <w:r>
        <w:t>Schema design is central to relational practice. A schema defines entities, attributes, keys, relationships, and constraints in a way that should preserve meaning while minimizing redundancy and update anomalies. Normalization theory developed to address precisely these problems by decomposing relations into forms that reduce duplication and inconsistency. While denormalization is sometimes justified for performance reasons, it remains analytically useful to begin from a normalized model so that violations of dependency structure are introduced consciously rather than accidentally.</w:t>
      </w:r>
    </w:p>
    <w:p w14:paraId="7CD2A36F" w14:textId="77777777" w:rsidR="005C3096" w:rsidRDefault="00000000">
      <w:r>
        <w:t>The relational model also emphasizes integrity. Primary keys, foreign keys, uniqueness constraints, domain checks, and referential integrity rules ensure that the database does not merely store data, but stores data according to explicit semantics. This is one reason relational systems remain strong in domains with strict consistency requirements. Flexibility is valuable, but unconstrained flexibility easily becomes silent corruption.</w:t>
      </w:r>
    </w:p>
    <w:p w14:paraId="37D4D3AF" w14:textId="77777777" w:rsidR="005C3096" w:rsidRDefault="00000000">
      <w:r>
        <w:t>SQL itself has evolved from a simple query language into a broad interface for definition, manipulation, control, analytics, and procedural extensions. Its longevity is not evidence of stagnation. It reflects the fact that a declarative language over a well-defined data model remains extraordinarily powerful, especially when paired with decades of optimizer research and industrial tooling.</w:t>
      </w:r>
    </w:p>
    <w:p w14:paraId="7AC9ABE0" w14:textId="77777777" w:rsidR="005C3096" w:rsidRDefault="00000000">
      <w:pPr>
        <w:pStyle w:val="berschrift1"/>
      </w:pPr>
      <w:r>
        <w:t>3. Transactions, ACID, and concurrency control</w:t>
      </w:r>
    </w:p>
    <w:p w14:paraId="25D39F45" w14:textId="77777777" w:rsidR="005C3096" w:rsidRDefault="00000000">
      <w:r>
        <w:t xml:space="preserve">Transaction processing is one of the defining features of database systems. A transaction groups operations into a unit that should appear atomic, preserve consistency, isolate concurrent effects appropriately, and remain durable once committed. Gray and Reuter’s treatment of transaction processing established ACID semantics as a practical and theoretical foundation for reliable multi-user systems (Gray &amp; Reuter, 1992). Without </w:t>
      </w:r>
      <w:r>
        <w:lastRenderedPageBreak/>
        <w:t>transaction guarantees, persistent state in shared systems becomes operationally unmanageable.</w:t>
      </w:r>
    </w:p>
    <w:p w14:paraId="4291ED50" w14:textId="77777777" w:rsidR="005C3096" w:rsidRDefault="00000000">
      <w:r>
        <w:t>Atomicity and durability are supported through logging, recovery protocols, checkpoints, and write-ahead logging. Consistency is partly a matter of schema constraints and partly of correct application logic. Isolation is the most subtle property because it governs how concurrent transactions can observe one another. Full serializability offers strong guarantees, but often at a cost in throughput or latency. Many systems therefore implement multiple isolation levels, trading anomalies against performance.</w:t>
      </w:r>
    </w:p>
    <w:p w14:paraId="7349E855" w14:textId="77777777" w:rsidR="005C3096" w:rsidRDefault="00000000">
      <w:r>
        <w:t>PostgreSQL’s documentation on MVCC illustrates the modern importance of multiversion concurrency control. By allowing readers and writers to proceed without blocking each other in the same way as lock-heavy designs, MVCC improves concurrency while maintaining transactional integrity under defined isolation semantics (PostgreSQL Global Development Group, 2026a). But MVCC is not free. It creates version management overhead, vacuuming requirements, storage churn, and subtle visibility rules.</w:t>
      </w:r>
    </w:p>
    <w:p w14:paraId="7562EFA6" w14:textId="77777777" w:rsidR="005C3096" w:rsidRDefault="00000000">
      <w:r>
        <w:t>Concurrency control therefore remains a balancing act among correctness, performance, and operational cost. Pessimistic locking, optimistic methods, timestamp ordering, snapshot isolation, and serializable techniques each make sense under different workloads. There is no universal best choice. The correct question is what anomalies are acceptable, what contention patterns exist, and what the system must guarantee under failure and concurrency.</w:t>
      </w:r>
    </w:p>
    <w:p w14:paraId="6F90AD5C" w14:textId="77777777" w:rsidR="005C3096" w:rsidRDefault="00000000">
      <w:pPr>
        <w:pStyle w:val="berschrift1"/>
      </w:pPr>
      <w:r>
        <w:t>4. Indexing, query processing, and physical design</w:t>
      </w:r>
    </w:p>
    <w:p w14:paraId="1C579E95" w14:textId="77777777" w:rsidR="005C3096" w:rsidRDefault="00000000">
      <w:r>
        <w:t>A logical schema alone does not determine performance. Database systems depend on physical structures such as indexes, storage layouts, buffer management, and execution plans. B-tree indexes remain foundational because they support efficient equality and range lookups across many workloads. Hash indexes, bitmap indexes, and specialized structures can offer benefits for particular access patterns, but B-trees remain a versatile default in general-purpose systems.</w:t>
      </w:r>
    </w:p>
    <w:p w14:paraId="686B6CDA" w14:textId="77777777" w:rsidR="005C3096" w:rsidRDefault="00000000">
      <w:r>
        <w:t xml:space="preserve">Query optimization is another core competency of database engines. Selinger et al. showed early how cost-based optimization could systematically choose efficient access paths and join strategies from many alternatives (Selinger et al., 1979). This remains one of the most technically impressive features of relational systems. Users express queries declaratively; </w:t>
      </w:r>
      <w:r>
        <w:lastRenderedPageBreak/>
        <w:t>the optimizer estimates costs and transforms them into physical execution plans using statistics, heuristics, and search strategies.</w:t>
      </w:r>
    </w:p>
    <w:p w14:paraId="7C3BE645" w14:textId="77777777" w:rsidR="005C3096" w:rsidRDefault="00000000">
      <w:r>
        <w:t>Physical design decisions strongly influence system behavior. Partitioning, clustering, materialized views, compression, storage tiering, and caching can all improve performance, but they also increase administrative complexity and may change failure behavior. Good database design therefore requires an explicit connection between workload analysis and physical layout rather than generic tuning folklore.</w:t>
      </w:r>
    </w:p>
    <w:p w14:paraId="20FDE7AB" w14:textId="77777777" w:rsidR="005C3096" w:rsidRDefault="00000000">
      <w:r>
        <w:t>The same applies to updates. PostgreSQL’s MVCC design shows how concurrency advantages come with maintenance requirements such as vacuuming and transaction ID management (PostgreSQL Global Development Group, 2026b; 2026c). At scale, operational understanding of these mechanisms matters as much as conceptual modeling.</w:t>
      </w:r>
    </w:p>
    <w:p w14:paraId="47AD55AD" w14:textId="77777777" w:rsidR="005C3096" w:rsidRDefault="00000000">
      <w:pPr>
        <w:pStyle w:val="berschrift1"/>
      </w:pPr>
      <w:r>
        <w:t>5. NoSQL systems and the expansion of the design space</w:t>
      </w:r>
    </w:p>
    <w:p w14:paraId="5FBC9D6B" w14:textId="77777777" w:rsidR="005C3096" w:rsidRDefault="00000000">
      <w:r>
        <w:t>The rise of large-scale web systems exposed limits in traditional relational deployments, especially regarding horizontal scaling, flexible schemas, and latency under globally distributed workloads. This led to the growth of NoSQL systems, including key-value stores, document databases, column-family stores, and graph databases. The phrase “NoSQL” was always somewhat misleading. In practice, it meant not the abolition of data models, but willingness to relax some relational assumptions in order to gain scalability, flexibility, or operational simplicity.</w:t>
      </w:r>
    </w:p>
    <w:p w14:paraId="61F00E53" w14:textId="77777777" w:rsidR="005C3096" w:rsidRDefault="00000000">
      <w:r>
        <w:t>Amazon’s Dynamo illustrated a design optimized for high availability and partition tolerance in shopping-cart-like workloads, favoring eventual consistency and application-aware reconciliation (DeCandia et al., 2007). Google’s Bigtable introduced a sparse, distributed, persistent multidimensional map optimized for very large structured datasets across commodity servers (Chang et al., 2006). These systems did not invalidate relational databases. They demonstrated that different workloads reward different trade-offs.</w:t>
      </w:r>
    </w:p>
    <w:p w14:paraId="51627B0A" w14:textId="77777777" w:rsidR="005C3096" w:rsidRDefault="00000000">
      <w:r>
        <w:t>The CAP theorem is often cited crudely, but Gilbert and Lynch’s formalization remains essential: under a network partition, a shared-data system cannot simultaneously guarantee both strong consistency and availability (Gilbert &amp; Lynch, 2002). The theorem does not mean “pick any two” in all circumstances, and it says nothing about ordinary operation without partitions. What it does mean is that distributed data management involves unavoidable design commitments under fault conditions.</w:t>
      </w:r>
    </w:p>
    <w:p w14:paraId="4A171642" w14:textId="77777777" w:rsidR="005C3096" w:rsidRDefault="00000000">
      <w:r>
        <w:lastRenderedPageBreak/>
        <w:t>NoSQL systems also exposed the value of schema flexibility. Document stores made it easier to represent heterogeneous or rapidly evolving data. Graph databases improved fit for highly connected datasets. But flexibility brings costs: weaker integrity guarantees, harder cross-document transactions, more application-side responsibility, and potential long-term schema drift. The move away from rigid schemas solves some problems while creating others.</w:t>
      </w:r>
    </w:p>
    <w:p w14:paraId="72BDC3D5" w14:textId="77777777" w:rsidR="005C3096" w:rsidRDefault="00000000">
      <w:pPr>
        <w:pStyle w:val="berschrift1"/>
      </w:pPr>
      <w:r>
        <w:t>6. NewSQL, global distribution, and hybrid architectures</w:t>
      </w:r>
    </w:p>
    <w:p w14:paraId="750EA4C2" w14:textId="77777777" w:rsidR="005C3096" w:rsidRDefault="00000000">
      <w:r>
        <w:t>The response to early NoSQL systems was not merely acceptance but synthesis. NewSQL systems attempt to preserve much of the relational and transactional model while scaling horizontally and supporting distributed execution. Spanner is perhaps the canonical example. It combines global distribution, synchronous replication, and externally consistent distributed transactions through a carefully engineered time API and tightly controlled infrastructure assumptions (Corbett et al., 2012). This shows that strong consistency at large scale is possible, but only with substantial architectural sophistication.</w:t>
      </w:r>
    </w:p>
    <w:p w14:paraId="4DD39359" w14:textId="77777777" w:rsidR="005C3096" w:rsidRDefault="00000000">
      <w:r>
        <w:t>The broader lesson is that database architecture is increasingly hybrid. Organizations may use relational systems for transactional cores, columnar systems for analytics, search engines for full-text retrieval, stream processors for event handling, and data lakes for large-scale storage. The question is no longer which single database is “best.” It is how multiple persistence technologies can be composed without destroying data semantics, governance, or operational clarity.</w:t>
      </w:r>
    </w:p>
    <w:p w14:paraId="48C89453" w14:textId="77777777" w:rsidR="005C3096" w:rsidRDefault="00000000">
      <w:r>
        <w:t>Kleppmann’s analysis of data-intensive applications is useful here because it reframes databases as one component in larger data ecosystems involving replication, partitioning, event streams, indexing, caching, and service boundaries (Kleppmann, 2017). In that perspective, database design becomes inseparable from distributed systems design.</w:t>
      </w:r>
    </w:p>
    <w:p w14:paraId="51EF0992" w14:textId="77777777" w:rsidR="005C3096" w:rsidRDefault="00000000">
      <w:r>
        <w:t>Hybrid architectures also require renewed attention to consistency expectations. Engineers often speak casually about “eventual consistency” without asking what states may become visible, how long divergence may last, and what application invariants cannot tolerate asynchronous convergence. Such imprecision is dangerous. Consistency is not a slogan; it is a set of explicit guarantees with application-level consequences.</w:t>
      </w:r>
    </w:p>
    <w:p w14:paraId="5A4F0293" w14:textId="77777777" w:rsidR="005C3096" w:rsidRDefault="00000000">
      <w:pPr>
        <w:pStyle w:val="berschrift1"/>
      </w:pPr>
      <w:r>
        <w:lastRenderedPageBreak/>
        <w:t>7. Administration, governance, and conclusion</w:t>
      </w:r>
    </w:p>
    <w:p w14:paraId="2422A7C2" w14:textId="77777777" w:rsidR="005C3096" w:rsidRDefault="00000000">
      <w:r>
        <w:t>A database is not secure or reliable simply because it runs. Administration matters: backup design, restore testing, schema migration discipline, auditing, capacity planning, index maintenance, privilege control, and monitoring all shape real system quality. Many catastrophic database failures result not from flawed theory but from neglected operations, unsafe migrations, poor replication planning, or recovery processes that were never tested.</w:t>
      </w:r>
    </w:p>
    <w:p w14:paraId="608A7599" w14:textId="77777777" w:rsidR="005C3096" w:rsidRDefault="00000000">
      <w:r>
        <w:t>Data governance adds another layer. Access rights, retention policies, lineage, quality controls, and compliance obligations increasingly determine database architecture. A technically elegant schema that cannot satisfy auditability, privacy requirements, or cross-system reconciliation may still be a poor design in practice.</w:t>
      </w:r>
    </w:p>
    <w:p w14:paraId="3ACE4A4B" w14:textId="77777777" w:rsidR="005C3096" w:rsidRDefault="00000000">
      <w:r>
        <w:t>The strongest conclusion is that database systems are defined by structured trade-offs rather than simple technological succession. The relational model remains central because it provides powerful abstraction, integrity, and declarative expressiveness. Newer systems matter because they expose workload classes and scale conditions that require different compromises. Contemporary database design is therefore not a story of replacement but of expansion. The real task is to choose and combine models, guarantees, and operational patterns in a way that fits the data, the workload, and the institution that depends on them.</w:t>
      </w:r>
    </w:p>
    <w:p w14:paraId="170505AD" w14:textId="77777777" w:rsidR="005C3096" w:rsidRDefault="00000000">
      <w:pPr>
        <w:pStyle w:val="berschrift1"/>
      </w:pPr>
      <w:r>
        <w:t>8. Emerging trends and design implications</w:t>
      </w:r>
    </w:p>
    <w:p w14:paraId="36B77CF0" w14:textId="77777777" w:rsidR="005C3096" w:rsidRDefault="00000000">
      <w:r>
        <w:t>Current database practice is increasingly shaped by the coexistence of transactional systems, analytical platforms, event streams, object storage, search indexes, and machine-learning-oriented data pipelines. This means that database design can no longer be reduced to the choice of one engine. Architects must decide where truth is authoritative, how changes propagate, what latency is acceptable across boundaries, and which consistency guarantees are preserved or weakened when data move between systems. In many failures, the core issue is not a single database bug, but uncontrolled semantic drift across an ecosystem of stores.</w:t>
      </w:r>
    </w:p>
    <w:p w14:paraId="3840DAC8" w14:textId="77777777" w:rsidR="005C3096" w:rsidRDefault="00000000">
      <w:r>
        <w:t xml:space="preserve">This has renewed interest in data contracts, schema evolution discipline, and metadata management. Flexible systems make change easier in the short term, but they also make silent divergence easier over time. When downstream consumers infer meaning informally rather than through explicit interface agreements, organizations accumulate data debt </w:t>
      </w:r>
      <w:r>
        <w:lastRenderedPageBreak/>
        <w:t>similar to technical debt in software systems. The result is often not immediate outage but slow degradation of trust in the data estate.</w:t>
      </w:r>
    </w:p>
    <w:p w14:paraId="2B15EB19" w14:textId="77777777" w:rsidR="005C3096" w:rsidRDefault="00000000">
      <w:r>
        <w:t>Another important trend is the return of strong transactional guarantees in distributed settings. Early enthusiasm around eventual consistency often underestimated how difficult it is for application developers to reason correctly about weak guarantees under concurrency and failure. Systems such as Spanner and related NewSQL platforms demonstrate that many organizations still value relational semantics and distributed transactions enough to invest in substantial infrastructure complexity to obtain them. This does not mean strong consistency is always preferable. It means that consistency remains economically valuable when business invariants are hard to reconstruct after the fact.</w:t>
      </w:r>
    </w:p>
    <w:p w14:paraId="02E8D9A7" w14:textId="77777777" w:rsidR="005C3096" w:rsidRDefault="00000000">
      <w:r>
        <w:t>Operationally, automation is becoming more important as database estates scale. Auto-vacuuming, tiered storage, managed failover, adaptive indexing, and cloud-managed services reduce certain forms of manual burden, but they do not eliminate the need for conceptual understanding. Managed infrastructure can hide the mechanics of replication or recovery until the day it fails in a corner case. At that point, shallow operational knowledge becomes a liability.</w:t>
      </w:r>
    </w:p>
    <w:p w14:paraId="39F29EA8" w14:textId="77777777" w:rsidR="005C3096" w:rsidRDefault="00000000">
      <w:r>
        <w:t>The broader design implication is that database competence still depends on fundamentals. New products alter the engineering surface, but they do not repeal the underlying questions of data modeling, integrity, concurrency, failure handling, and cost. The mature database engineer therefore treats fashionable architectures as additional options within an old and still valid conceptual framework rather than as a replacement for that framework.</w:t>
      </w:r>
    </w:p>
    <w:p w14:paraId="2BBD5559" w14:textId="77777777" w:rsidR="005C3096" w:rsidRDefault="00000000">
      <w:pPr>
        <w:pStyle w:val="berschrift1"/>
      </w:pPr>
      <w:r>
        <w:t>9. Concluding remarks</w:t>
      </w:r>
    </w:p>
    <w:p w14:paraId="197FF84C" w14:textId="77777777" w:rsidR="005C3096" w:rsidRDefault="00000000">
      <w:r>
        <w:t>What makes databases enduringly important is not just that they store data, but that they impose structure on how information can be shared, changed, and trusted over time. Every serious database decision therefore carries downstream consequences for application design, reporting quality, reconciliation, compliance, and recovery. The apparent simplicity of storing records hides a deeper reality: persistent state is where technical correctness and institutional accountability meet.</w:t>
      </w:r>
    </w:p>
    <w:p w14:paraId="5D654197" w14:textId="77777777" w:rsidR="005C3096" w:rsidRDefault="00000000">
      <w:r>
        <w:t xml:space="preserve">For that reason, database engineering remains one of the most foundational areas of computing. New storage paradigms, cloud services, and distributed platforms continue to widen the option set, but they do not weaken the need for disciplined data modeling, </w:t>
      </w:r>
      <w:r>
        <w:lastRenderedPageBreak/>
        <w:t>explicit guarantees, and operational competence. The strongest designs are usually not those with the most fashionable architecture, but those whose assumptions about consistency, failure, and data meaning remain stable under growth and change.</w:t>
      </w:r>
    </w:p>
    <w:p w14:paraId="109230B9" w14:textId="77777777" w:rsidR="005C3096" w:rsidRDefault="00000000">
      <w:pPr>
        <w:pStyle w:val="berschrift1"/>
      </w:pPr>
      <w:r>
        <w:t>References</w:t>
      </w:r>
    </w:p>
    <w:p w14:paraId="5363EE24" w14:textId="77777777" w:rsidR="005C3096" w:rsidRDefault="00000000" w:rsidP="008D396B">
      <w:pPr>
        <w:jc w:val="left"/>
      </w:pPr>
      <w:r>
        <w:t>Abadi, D. J. (2012). Consistency tradeoffs in modern distributed database system design: CAP is only part of the story. Computer, 45(2), 37-42.</w:t>
      </w:r>
      <w:r>
        <w:br/>
        <w:t>Chang, F., Dean, J., Ghemawat, S., Hsieh, W. C., Wallach, D. A., Burrows, M., Chandra, T., Fikes, A., &amp; Gruber, R. E. (2006). Bigtable: A distributed storage system for structured data. In OSDI '06.</w:t>
      </w:r>
      <w:r>
        <w:br/>
        <w:t>Codd, E. F. (1970). A relational model of data for large shared data banks. Communications of the ACM, 13(6), 377-387.</w:t>
      </w:r>
      <w:r>
        <w:br/>
        <w:t>Corbett, J. C., Dean, J., Epstein, M., et al. (2012). Spanner: Google’s globally-distributed database. In OSDI '12.</w:t>
      </w:r>
      <w:r>
        <w:br/>
        <w:t>Date, C. J. (2003). An Introduction to Database Systems (8th ed.). Addison-Wesley.</w:t>
      </w:r>
      <w:r>
        <w:br/>
        <w:t>DeCandia, G., Hastorun, D., Jampani, M., et al. (2007). Dynamo: Amazon’s highly available key-value store. In SOSP '07.</w:t>
      </w:r>
      <w:r>
        <w:br/>
        <w:t>Elmasri, R., &amp; Navathe, S. B. (2016). Fundamentals of Database Systems (7th ed.). Pearson.</w:t>
      </w:r>
      <w:r>
        <w:br/>
        <w:t>Garcia-Molina, H., Ullman, J. D., &amp; Widom, J. (2008). Database Systems: The Complete Book (2nd ed.). Pearson.</w:t>
      </w:r>
      <w:r>
        <w:br/>
        <w:t>Gilbert, S., &amp; Lynch, N. (2002). Brewer’s conjecture and the feasibility of consistent, available, partition-tolerant web services. ACM SIGACT News, 33(2), 51-59.</w:t>
      </w:r>
      <w:r>
        <w:br/>
        <w:t>Gray, J., &amp; Reuter, A. (1992). Transaction Processing: Concepts and Techniques. Morgan Kaufmann.</w:t>
      </w:r>
      <w:r>
        <w:br/>
        <w:t>Khan, W., Sharma, A., &amp; Mansotra, V. (2023). SQL and NoSQL database software architecture performance analysis and assessments: A systematic literature review. Future Internet, 7(2), 97.</w:t>
      </w:r>
      <w:r>
        <w:br/>
        <w:t>Kleppmann, M. (2017). Designing Data-Intensive Applications. O’Reilly.</w:t>
      </w:r>
      <w:r>
        <w:br/>
        <w:t>PostgreSQL Global Development Group. (2026a). PostgreSQL Documentation: Chapter 13. Concurrency Control.</w:t>
      </w:r>
      <w:r>
        <w:br/>
        <w:t>PostgreSQL Global Development Group. (2026b). PostgreSQL Documentation: Routine Vacuuming.</w:t>
      </w:r>
      <w:r>
        <w:br/>
      </w:r>
      <w:r>
        <w:lastRenderedPageBreak/>
        <w:t>PostgreSQL Global Development Group. (2026c). PostgreSQL Documentation: Hot Standby.</w:t>
      </w:r>
      <w:r>
        <w:br/>
        <w:t>Selinger, P. G., Astrahan, M. M., Chamberlin, D. D., Lorie, R. A., &amp; Price, T. G. (1979). Access path selection in a relational database management system. In Proceedings of the 1979 ACM SIGMOD International Conference on Management of Data.</w:t>
      </w:r>
      <w:r>
        <w:br/>
        <w:t>Stonebraker, M., &amp; Hellerstein, J. M. (2005). What goes around comes around. In Readings in Database Systems (4th ed.). MIT Press.</w:t>
      </w:r>
    </w:p>
    <w:sectPr w:rsidR="005C3096" w:rsidSect="00034616">
      <w:footerReference w:type="default" r:id="rId8"/>
      <w:pgSz w:w="11906" w:h="16838"/>
      <w:pgMar w:top="1531" w:right="1531" w:bottom="1531" w:left="153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FCCAD3" w14:textId="77777777" w:rsidR="0041764F" w:rsidRDefault="0041764F">
      <w:pPr>
        <w:spacing w:after="0" w:line="240" w:lineRule="auto"/>
      </w:pPr>
      <w:r>
        <w:separator/>
      </w:r>
    </w:p>
  </w:endnote>
  <w:endnote w:type="continuationSeparator" w:id="0">
    <w:p w14:paraId="706C3430" w14:textId="77777777" w:rsidR="0041764F" w:rsidRDefault="004176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784F7F" w14:textId="3FB010E4" w:rsidR="005C3096" w:rsidRDefault="00000000">
    <w:pPr>
      <w:pStyle w:val="Fuzeile"/>
      <w:jc w:val="center"/>
    </w:pPr>
    <w:r>
      <w:fldChar w:fldCharType="begin"/>
    </w:r>
    <w:r>
      <w:instrText>PAGE</w:instrText>
    </w:r>
    <w:r w:rsidR="008D396B">
      <w:fldChar w:fldCharType="separate"/>
    </w:r>
    <w:r w:rsidR="008D396B">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2BCF7" w14:textId="77777777" w:rsidR="0041764F" w:rsidRDefault="0041764F">
      <w:pPr>
        <w:spacing w:after="0" w:line="240" w:lineRule="auto"/>
      </w:pPr>
      <w:r>
        <w:separator/>
      </w:r>
    </w:p>
  </w:footnote>
  <w:footnote w:type="continuationSeparator" w:id="0">
    <w:p w14:paraId="56C0F3CA" w14:textId="77777777" w:rsidR="0041764F" w:rsidRDefault="0041764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391347143">
    <w:abstractNumId w:val="8"/>
  </w:num>
  <w:num w:numId="2" w16cid:durableId="44379883">
    <w:abstractNumId w:val="6"/>
  </w:num>
  <w:num w:numId="3" w16cid:durableId="1196383049">
    <w:abstractNumId w:val="5"/>
  </w:num>
  <w:num w:numId="4" w16cid:durableId="586697448">
    <w:abstractNumId w:val="4"/>
  </w:num>
  <w:num w:numId="5" w16cid:durableId="151416616">
    <w:abstractNumId w:val="7"/>
  </w:num>
  <w:num w:numId="6" w16cid:durableId="1817798941">
    <w:abstractNumId w:val="3"/>
  </w:num>
  <w:num w:numId="7" w16cid:durableId="1301108446">
    <w:abstractNumId w:val="2"/>
  </w:num>
  <w:num w:numId="8" w16cid:durableId="968971325">
    <w:abstractNumId w:val="1"/>
  </w:num>
  <w:num w:numId="9" w16cid:durableId="1733453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1764F"/>
    <w:rsid w:val="005C3096"/>
    <w:rsid w:val="008D396B"/>
    <w:rsid w:val="009249A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C2CB398-CE1C-4812-93B5-6049A0018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line="360" w:lineRule="auto"/>
      <w:jc w:val="both"/>
    </w:pPr>
    <w:rPr>
      <w:rFonts w:ascii="Times New Roman" w:eastAsia="Times New Roman" w:hAnsi="Times New Roman"/>
      <w:sz w:val="24"/>
    </w:rPr>
  </w:style>
  <w:style w:type="paragraph" w:styleId="berschrift1">
    <w:name w:val="heading 1"/>
    <w:basedOn w:val="Standard"/>
    <w:next w:val="Standard"/>
    <w:link w:val="berschrift1Zchn"/>
    <w:uiPriority w:val="9"/>
    <w:qFormat/>
    <w:rsid w:val="00FC693F"/>
    <w:pPr>
      <w:keepNext/>
      <w:keepLines/>
      <w:spacing w:before="240"/>
      <w:outlineLvl w:val="0"/>
    </w:pPr>
    <w:rPr>
      <w:rFonts w:asciiTheme="majorHAnsi" w:eastAsiaTheme="majorEastAsia" w:hAnsiTheme="majorHAnsi" w:cstheme="majorBidi"/>
      <w:b/>
      <w:bCs/>
      <w:color w:val="1F4E79"/>
      <w:sz w:val="30"/>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5"/>
      </w:numPr>
      <w:contextualSpacing/>
    </w:pPr>
  </w:style>
  <w:style w:type="paragraph" w:styleId="Listennummer2">
    <w:name w:val="List Number 2"/>
    <w:basedOn w:val="Standard"/>
    <w:uiPriority w:val="99"/>
    <w:unhideWhenUsed/>
    <w:rsid w:val="0029639D"/>
    <w:pPr>
      <w:numPr>
        <w:numId w:val="6"/>
      </w:numPr>
      <w:contextualSpacing/>
    </w:pPr>
  </w:style>
  <w:style w:type="paragraph" w:styleId="Listennummer3">
    <w:name w:val="List Number 3"/>
    <w:basedOn w:val="Standard"/>
    <w:uiPriority w:val="99"/>
    <w:unhideWhenUsed/>
    <w:rsid w:val="0029639D"/>
    <w:pPr>
      <w:numPr>
        <w:numId w:val="7"/>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2669</Words>
  <Characters>16818</Characters>
  <Application>Microsoft Office Word</Application>
  <DocSecurity>0</DocSecurity>
  <Lines>140</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Carolin Geier</cp:lastModifiedBy>
  <cp:revision>2</cp:revision>
  <dcterms:created xsi:type="dcterms:W3CDTF">2013-12-23T23:15:00Z</dcterms:created>
  <dcterms:modified xsi:type="dcterms:W3CDTF">2026-03-11T13:04:00Z</dcterms:modified>
  <cp:category/>
</cp:coreProperties>
</file>