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D9AB8" w14:textId="77777777" w:rsidR="000E6B9B" w:rsidRDefault="000E6B9B"/>
    <w:p w14:paraId="6A457EC0" w14:textId="77777777" w:rsidR="000E6B9B" w:rsidRDefault="000E6B9B"/>
    <w:p w14:paraId="071C79E6" w14:textId="77777777" w:rsidR="000E6B9B" w:rsidRDefault="000E6B9B"/>
    <w:p w14:paraId="6A7D207A" w14:textId="77777777" w:rsidR="000E6B9B" w:rsidRDefault="00000000">
      <w:pPr>
        <w:jc w:val="center"/>
      </w:pPr>
      <w:r>
        <w:rPr>
          <w:b/>
          <w:color w:val="1F4E79"/>
          <w:sz w:val="44"/>
        </w:rPr>
        <w:t>Bioinformatics</w:t>
      </w:r>
    </w:p>
    <w:p w14:paraId="5D53E3CD" w14:textId="77777777" w:rsidR="000E6B9B" w:rsidRDefault="000E6B9B"/>
    <w:p w14:paraId="7657167F" w14:textId="77777777" w:rsidR="000E6B9B" w:rsidRDefault="000E6B9B"/>
    <w:p w14:paraId="0606FCFA" w14:textId="77777777" w:rsidR="000E6B9B" w:rsidRDefault="00000000">
      <w:pPr>
        <w:jc w:val="center"/>
      </w:pPr>
      <w:r>
        <w:rPr>
          <w:i/>
          <w:sz w:val="26"/>
        </w:rPr>
        <w:t>Academic essay</w:t>
      </w:r>
    </w:p>
    <w:p w14:paraId="5523B998" w14:textId="77777777" w:rsidR="000E6B9B" w:rsidRDefault="000E6B9B"/>
    <w:p w14:paraId="5693CD97" w14:textId="77777777" w:rsidR="000E6B9B" w:rsidRDefault="000E6B9B"/>
    <w:tbl>
      <w:tblPr>
        <w:tblStyle w:val="Tabellenraster"/>
        <w:tblW w:w="0" w:type="auto"/>
        <w:tblLook w:val="04A0" w:firstRow="1" w:lastRow="0" w:firstColumn="1" w:lastColumn="0" w:noHBand="0" w:noVBand="1"/>
      </w:tblPr>
      <w:tblGrid>
        <w:gridCol w:w="4422"/>
        <w:gridCol w:w="4422"/>
      </w:tblGrid>
      <w:tr w:rsidR="000E6B9B" w14:paraId="33F9BAFB" w14:textId="77777777">
        <w:tc>
          <w:tcPr>
            <w:tcW w:w="4422" w:type="dxa"/>
            <w:tcMar>
              <w:top w:w="120" w:type="dxa"/>
              <w:left w:w="120" w:type="dxa"/>
              <w:bottom w:w="120" w:type="dxa"/>
              <w:right w:w="120" w:type="dxa"/>
            </w:tcMar>
          </w:tcPr>
          <w:p w14:paraId="7F42FDBB" w14:textId="77777777" w:rsidR="000E6B9B" w:rsidRDefault="00000000">
            <w:pPr>
              <w:spacing w:after="0"/>
            </w:pPr>
            <w:r>
              <w:rPr>
                <w:b/>
              </w:rPr>
              <w:t>Topic</w:t>
            </w:r>
          </w:p>
        </w:tc>
        <w:tc>
          <w:tcPr>
            <w:tcW w:w="4422" w:type="dxa"/>
            <w:tcMar>
              <w:top w:w="120" w:type="dxa"/>
              <w:left w:w="120" w:type="dxa"/>
              <w:bottom w:w="120" w:type="dxa"/>
              <w:right w:w="120" w:type="dxa"/>
            </w:tcMar>
          </w:tcPr>
          <w:p w14:paraId="480CF402" w14:textId="77777777" w:rsidR="000E6B9B" w:rsidRDefault="00000000">
            <w:pPr>
              <w:spacing w:after="0"/>
            </w:pPr>
            <w:r>
              <w:t>Bioinformatics</w:t>
            </w:r>
          </w:p>
        </w:tc>
      </w:tr>
      <w:tr w:rsidR="000E6B9B" w14:paraId="13D14E43" w14:textId="77777777">
        <w:tc>
          <w:tcPr>
            <w:tcW w:w="4422" w:type="dxa"/>
            <w:tcMar>
              <w:top w:w="120" w:type="dxa"/>
              <w:left w:w="120" w:type="dxa"/>
              <w:bottom w:w="120" w:type="dxa"/>
              <w:right w:w="120" w:type="dxa"/>
            </w:tcMar>
          </w:tcPr>
          <w:p w14:paraId="0E870940" w14:textId="77777777" w:rsidR="000E6B9B" w:rsidRDefault="00000000">
            <w:pPr>
              <w:spacing w:after="0"/>
            </w:pPr>
            <w:r>
              <w:rPr>
                <w:b/>
              </w:rPr>
              <w:t>Language</w:t>
            </w:r>
          </w:p>
        </w:tc>
        <w:tc>
          <w:tcPr>
            <w:tcW w:w="4422" w:type="dxa"/>
            <w:tcMar>
              <w:top w:w="120" w:type="dxa"/>
              <w:left w:w="120" w:type="dxa"/>
              <w:bottom w:w="120" w:type="dxa"/>
              <w:right w:w="120" w:type="dxa"/>
            </w:tcMar>
          </w:tcPr>
          <w:p w14:paraId="6D7A9C76" w14:textId="77777777" w:rsidR="000E6B9B" w:rsidRDefault="00000000">
            <w:pPr>
              <w:spacing w:after="0"/>
            </w:pPr>
            <w:r>
              <w:t>English</w:t>
            </w:r>
          </w:p>
        </w:tc>
      </w:tr>
      <w:tr w:rsidR="000E6B9B" w14:paraId="7C468046" w14:textId="77777777">
        <w:tc>
          <w:tcPr>
            <w:tcW w:w="4422" w:type="dxa"/>
            <w:tcMar>
              <w:top w:w="120" w:type="dxa"/>
              <w:left w:w="120" w:type="dxa"/>
              <w:bottom w:w="120" w:type="dxa"/>
              <w:right w:w="120" w:type="dxa"/>
            </w:tcMar>
          </w:tcPr>
          <w:p w14:paraId="5FB40953" w14:textId="77777777" w:rsidR="000E6B9B" w:rsidRDefault="00000000">
            <w:pPr>
              <w:spacing w:after="0"/>
            </w:pPr>
            <w:r>
              <w:rPr>
                <w:b/>
              </w:rPr>
              <w:t>Sources</w:t>
            </w:r>
          </w:p>
        </w:tc>
        <w:tc>
          <w:tcPr>
            <w:tcW w:w="4422" w:type="dxa"/>
            <w:tcMar>
              <w:top w:w="120" w:type="dxa"/>
              <w:left w:w="120" w:type="dxa"/>
              <w:bottom w:w="120" w:type="dxa"/>
              <w:right w:w="120" w:type="dxa"/>
            </w:tcMar>
          </w:tcPr>
          <w:p w14:paraId="18D69CB5" w14:textId="77777777" w:rsidR="000E6B9B" w:rsidRDefault="00000000">
            <w:pPr>
              <w:spacing w:after="0"/>
            </w:pPr>
            <w:r>
              <w:t>14-18 references included</w:t>
            </w:r>
          </w:p>
        </w:tc>
      </w:tr>
    </w:tbl>
    <w:p w14:paraId="37B40A4C" w14:textId="77777777" w:rsidR="000E6B9B" w:rsidRDefault="00000000">
      <w:r>
        <w:br w:type="page"/>
      </w:r>
    </w:p>
    <w:p w14:paraId="10FBCBAC" w14:textId="77777777" w:rsidR="000E6B9B" w:rsidRDefault="00000000">
      <w:pPr>
        <w:pStyle w:val="berschrift1"/>
      </w:pPr>
      <w:r>
        <w:lastRenderedPageBreak/>
        <w:t>Abstract</w:t>
      </w:r>
    </w:p>
    <w:p w14:paraId="26C13298" w14:textId="77777777" w:rsidR="000E6B9B" w:rsidRDefault="00000000">
      <w:r>
        <w:t>Bioinformatics is the computational analysis of biological data, especially sequence, structure, expression, and interaction data generated by modern experimental methods. It emerged from the need to manage and interpret biological information at scales impossible by manual inspection. This essay reviews the foundations of bioinformatics, focusing on biological sequences, alignment, genome assembly, high-throughput sequencing, omics integration, reproducibility, and clinical translation. The core argument is that bioinformatics is not merely a collection of software tools. It is an inferential discipline in which biological meaning is extracted from noisy, high-dimensional data through statistical modeling, algorithm design, and careful data management.</w:t>
      </w:r>
    </w:p>
    <w:p w14:paraId="5CBEB208" w14:textId="77777777" w:rsidR="000E6B9B" w:rsidRDefault="00000000">
      <w:pPr>
        <w:pStyle w:val="berschrift1"/>
      </w:pPr>
      <w:r>
        <w:t>1. Introduction</w:t>
      </w:r>
    </w:p>
    <w:p w14:paraId="1AC0BB52" w14:textId="77777777" w:rsidR="000E6B9B" w:rsidRDefault="00000000">
      <w:r>
        <w:t>Bioinformatics sits at the intersection of biology, computer science, statistics, and information management. Its rise was driven by a simple fact: biological data became too large and too complex to analyze without computation. DNA and protein sequences, expression profiles, structural measurements, population variation, and functional annotations now exist at scales that demand algorithmic methods for storage, comparison, interpretation, and visualization.</w:t>
      </w:r>
    </w:p>
    <w:p w14:paraId="6EDEE72B" w14:textId="77777777" w:rsidR="000E6B9B" w:rsidRDefault="00000000">
      <w:r>
        <w:t>The field expanded dramatically with the Human Genome Project and later with next-generation sequencing, which turned DNA sequencing from a major industrial undertaking into a routine laboratory operation. This transformation changed both research and medicine. Questions about disease, evolution, microbial ecology, drug response, and gene regulation increasingly became computational questions as well. Pevsner notes that bioinformatics is now central not only to genomics but to the whole life-science pipeline from raw measurement to biological interpretation (Pevsner, 2015).</w:t>
      </w:r>
    </w:p>
    <w:p w14:paraId="7857472B" w14:textId="77777777" w:rsidR="000E6B9B" w:rsidRDefault="00000000">
      <w:r>
        <w:t>Still, bioinformatics should not be confused with mere tool use. Running an alignment program or differential expression workflow does not itself produce knowledge. Biological inference depends on data quality, assumptions, statistical thresholds, reference databases, annotation completeness, and experimental context. The same dataset can yield useful or misleading conclusions depending on how these factors are handled. Bioinformatics is therefore best understood as an inferential discipline supported by computation, not as an automatic truth-extraction machine.</w:t>
      </w:r>
    </w:p>
    <w:p w14:paraId="475221D9" w14:textId="77777777" w:rsidR="000E6B9B" w:rsidRDefault="00000000">
      <w:pPr>
        <w:pStyle w:val="berschrift1"/>
      </w:pPr>
      <w:r>
        <w:lastRenderedPageBreak/>
        <w:t>2. Biological sequence analysis</w:t>
      </w:r>
    </w:p>
    <w:p w14:paraId="34E96AF5" w14:textId="77777777" w:rsidR="000E6B9B" w:rsidRDefault="00000000">
      <w:r>
        <w:t>Sequence analysis remains one of the foundations of bioinformatics because DNA, RNA, and proteins can all be represented as strings over finite alphabets. This makes many biological questions computationally tractable: sequence similarity, motif detection, homology inference, coding-region identification, structural prediction, and evolutionary comparison can all be approached through algorithmic methods.</w:t>
      </w:r>
    </w:p>
    <w:p w14:paraId="79B90CC5" w14:textId="77777777" w:rsidR="000E6B9B" w:rsidRDefault="00000000">
      <w:r>
        <w:t>Pairwise sequence alignment is a canonical example. Needleman and Wunsch introduced dynamic programming for global sequence alignment, providing a rigorous method for finding optimal alignments under explicit scoring systems (Needleman &amp; Wunsch, 1970). Smith and Waterman later extended this to local alignment, allowing the detection of highly similar subsequences within otherwise divergent sequences (Smith &amp; Waterman, 1981). These methods are foundational because they formalize the biological intuition that functional or evolutionary relatedness often appears as constrained similarity rather than exact identity.</w:t>
      </w:r>
    </w:p>
    <w:p w14:paraId="4B2BE49E" w14:textId="77777777" w:rsidR="000E6B9B" w:rsidRDefault="00000000">
      <w:r>
        <w:t>Database search methods made similarity analysis scalable. BLAST became especially influential because it sacrificed exhaustive optimality for dramatic speed gains while preserving strong practical sensitivity for many tasks (Altschul et al., 1990). This made large-scale homology search operationally feasible and turned sequence comparison into a routine analytic primitive.</w:t>
      </w:r>
    </w:p>
    <w:p w14:paraId="6DEE4F65" w14:textId="77777777" w:rsidR="000E6B9B" w:rsidRDefault="00000000">
      <w:r>
        <w:t>Importantly, alignment is never just a technical step. Scoring schemes, substitution matrices, gap penalties, and database composition all encode biological assumptions. Using BLOSUM or PAM matrices, for example, reflects an underlying model of evolutionary substitution. Computational choices therefore shape the biological interpretation that follows.</w:t>
      </w:r>
    </w:p>
    <w:p w14:paraId="6A68D943" w14:textId="77777777" w:rsidR="000E6B9B" w:rsidRDefault="00000000">
      <w:pPr>
        <w:pStyle w:val="berschrift1"/>
      </w:pPr>
      <w:r>
        <w:t>3. Genomics, sequencing, and genome assembly</w:t>
      </w:r>
    </w:p>
    <w:p w14:paraId="5363DE0B" w14:textId="77777777" w:rsidR="000E6B9B" w:rsidRDefault="00000000">
      <w:r>
        <w:t>Modern bioinformatics is inseparable from sequencing technologies. High-throughput sequencing generates enormous quantities of short or long reads that must be aligned, assembled, filtered, and interpreted. This changed the field from one centered on relatively small, curated sequence sets to one dominated by large-scale pipelines, storage demands, and statistical uncertainty.</w:t>
      </w:r>
    </w:p>
    <w:p w14:paraId="394A2BC1" w14:textId="77777777" w:rsidR="000E6B9B" w:rsidRDefault="00000000">
      <w:r>
        <w:lastRenderedPageBreak/>
        <w:t>Genome assembly illustrates the algorithmic depth of the field. Because sequencing produces fragments rather than whole chromosomes in order, software must reconstruct larger sequence structures from overlapping evidence. Overlap-layout-consensus methods and de Bruijn graph methods became central strategies for assembly because they handle large numbers of reads under different error profiles. The assembly problem is computationally difficult not because the idea is mysterious, but because the data are repetitive, noisy, incomplete, and often biased.</w:t>
      </w:r>
    </w:p>
    <w:p w14:paraId="6D7D6A32" w14:textId="77777777" w:rsidR="000E6B9B" w:rsidRDefault="00000000">
      <w:r>
        <w:t>Read alignment is equally central. Tools such as BWA and Bowtie made short-read mapping fast enough for routine genomic workflows by using compressed indexing structures and efficient heuristics (Li &amp; Durbin, 2009; Langmead, Trapnell, Pop, &amp; Salzberg, 2009). Their importance lies not just in speed but in enabling large cohorts and complex variant pipelines to become practical.</w:t>
      </w:r>
    </w:p>
    <w:p w14:paraId="7F5FED42" w14:textId="77777777" w:rsidR="000E6B9B" w:rsidRDefault="00000000">
      <w:r>
        <w:t>Recent review literature confirms that sequencing remains a fast-moving technical frontier. Reviews of genomic biomarker analysis and whole-genome sequencing show continued development in sequencing methods, read characteristics, software ecosystems, and integration with machine learning approaches (Clark et al., 2024; Lu et al., 2025). The basic bioinformatics lesson is that new sequencing technologies do not remove analytic complexity. They redistribute it into new error models, new storage burdens, and new downstream interpretation challenges.</w:t>
      </w:r>
    </w:p>
    <w:p w14:paraId="1E1DE8CD" w14:textId="77777777" w:rsidR="000E6B9B" w:rsidRDefault="00000000">
      <w:pPr>
        <w:pStyle w:val="berschrift1"/>
      </w:pPr>
      <w:r>
        <w:t>4. Variant calling, annotation, and clinical interpretation</w:t>
      </w:r>
    </w:p>
    <w:p w14:paraId="7C78C2A2" w14:textId="77777777" w:rsidR="000E6B9B" w:rsidRDefault="00000000">
      <w:r>
        <w:t>Once reads are aligned, many workflows focus on variant calling: identifying differences between the observed genome and a reference. These differences may include single nucleotide variants, insertions and deletions, copy-number variation, or larger structural changes. Calling variants reliably is difficult because sequencing error, mapping ambiguity, local repeats, coverage variation, and contamination can all create false signals.</w:t>
      </w:r>
    </w:p>
    <w:p w14:paraId="3FCFA99A" w14:textId="77777777" w:rsidR="000E6B9B" w:rsidRDefault="00000000">
      <w:r>
        <w:t>The Genome Analysis Toolkit (GATK) became highly influential by systematizing best practices for variant discovery and genotyping in high-throughput sequencing data (McKenna et al., 2010). Its importance is partly methodological: it turned variant analysis from a loose collection of scripts into a more standardized, documented pipeline. Yet even with mature software, variant interpretation remains far from automatic.</w:t>
      </w:r>
    </w:p>
    <w:p w14:paraId="1CAA5064" w14:textId="77777777" w:rsidR="000E6B9B" w:rsidRDefault="00000000">
      <w:r>
        <w:lastRenderedPageBreak/>
        <w:t>Annotation layers are essential. A variant’s biological or clinical relevance depends on genomic context, affected transcript, predicted protein consequence, population frequency, conservation, known disease associations, and experimental evidence. This is why bioinformatics depends heavily on curated knowledge bases such as NCBI resources, ClinVar, Ensembl, UniProt, and related annotation ecosystems. Raw variant calls without annotation are often biologically inert.</w:t>
      </w:r>
    </w:p>
    <w:p w14:paraId="4CDABED4" w14:textId="77777777" w:rsidR="000E6B9B" w:rsidRDefault="00000000">
      <w:r>
        <w:t>Clinical genomics raises the stakes. In medicine, false positives, uncertain significance, and incomplete annotation have direct consequences for diagnosis and treatment. Recent reviews in genomic medicine emphasize that sequencing technologies have improved diagnostic reach, but translation into patient care still depends on interpretive discipline, phenotype integration, and careful evidence assessment (Khan et al., 2025). Bioinformatics in clinical settings therefore demands both computational sophistication and epistemic caution.</w:t>
      </w:r>
    </w:p>
    <w:p w14:paraId="7ED7B52F" w14:textId="77777777" w:rsidR="000E6B9B" w:rsidRDefault="00000000">
      <w:pPr>
        <w:pStyle w:val="berschrift1"/>
      </w:pPr>
      <w:r>
        <w:t>5. Transcriptomics, expression analysis, and multi-omics</w:t>
      </w:r>
    </w:p>
    <w:p w14:paraId="344EDB0A" w14:textId="77777777" w:rsidR="000E6B9B" w:rsidRDefault="00000000">
      <w:r>
        <w:t>Bioinformatics is not limited to genomes. Transcriptomics studies RNA abundance, splicing, isoform structure, and regulatory response, often through RNA-seq. These workflows introduce their own analytic challenges: library preparation bias, read depth normalization, batch effects, transcript ambiguity, and model selection for differential expression. Counting reads is easy; inferring meaningful biology is not.</w:t>
      </w:r>
    </w:p>
    <w:p w14:paraId="5035D7FD" w14:textId="77777777" w:rsidR="000E6B9B" w:rsidRDefault="00000000">
      <w:r>
        <w:t>Normalization and statistical testing are central because observed counts reflect both biology and technical process. Expression differences can be caused by real regulation, but also by sequencing depth, composition bias, or experimental variation. Packages such as DESeq2 and edgeR became influential precisely because they model count structure carefully rather than treating the data as ordinary Gaussian measurements.</w:t>
      </w:r>
    </w:p>
    <w:p w14:paraId="3CABD815" w14:textId="77777777" w:rsidR="000E6B9B" w:rsidRDefault="00000000">
      <w:r>
        <w:t>The field is now moving beyond single-omics analysis toward integrated interpretation of genome, transcriptome, proteome, epigenome, and metabolome data. Multi-omics promises richer biological insight, but it also increases dimensionality, heterogeneity, and batch complexity. Data integration is difficult because different assay types have different scales, missingness patterns, error structures, and biological semantics.</w:t>
      </w:r>
    </w:p>
    <w:p w14:paraId="278D68EF" w14:textId="77777777" w:rsidR="000E6B9B" w:rsidRDefault="00000000">
      <w:r>
        <w:t xml:space="preserve">This is one reason reproducible workflow design matters so much. A multi-omics study with weak metadata, inconsistent preprocessing, and opaque code is nearly impossible to </w:t>
      </w:r>
      <w:r>
        <w:lastRenderedPageBreak/>
        <w:t>validate. As datasets become broader, bioinformatics increasingly depends on sound workflow engineering and documentation as much as on statistical modeling.</w:t>
      </w:r>
    </w:p>
    <w:p w14:paraId="76FF615A" w14:textId="77777777" w:rsidR="000E6B9B" w:rsidRDefault="00000000">
      <w:pPr>
        <w:pStyle w:val="berschrift1"/>
      </w:pPr>
      <w:r>
        <w:t>6. Structures, networks, and systems biology</w:t>
      </w:r>
    </w:p>
    <w:p w14:paraId="3E46B34E" w14:textId="77777777" w:rsidR="000E6B9B" w:rsidRDefault="00000000">
      <w:r>
        <w:t>Another major branch of bioinformatics moves beyond linear sequences toward structure and interaction. Protein structure prediction, molecular docking, pathway analysis, gene regulatory networks, and interaction graphs all seek to reconstruct biological organization at higher levels. Here, bioinformatics becomes less about string matching and more about modeling complex systems.</w:t>
      </w:r>
    </w:p>
    <w:p w14:paraId="395989AF" w14:textId="77777777" w:rsidR="000E6B9B" w:rsidRDefault="00000000">
      <w:r>
        <w:t>Protein databases and structural resources, including the Protein Data Bank and UniProt, became essential because they allow sequence information to be linked to function, motif conservation, and molecular mechanism. The broader shift toward systems biology also means that isolated gene-level interpretation is often insufficient. Many biological processes arise from interacting modules, pathways, and feedback structures rather than from single variants considered in isolation.</w:t>
      </w:r>
    </w:p>
    <w:p w14:paraId="3B03C9F4" w14:textId="77777777" w:rsidR="000E6B9B" w:rsidRDefault="00000000">
      <w:r>
        <w:t>Network analysis in bioinformatics can reveal hubs, communities, and enrichment patterns, but it is also prone to over-interpretation if statistical dependence and data provenance are handled carelessly. The visual appeal of biological networks often exceeds the reliability of the underlying edges. Strong analysis therefore requires explicit model assumptions and correction for multiple testing, confounding, and annotation bias.</w:t>
      </w:r>
    </w:p>
    <w:p w14:paraId="1B676524" w14:textId="77777777" w:rsidR="000E6B9B" w:rsidRDefault="00000000">
      <w:r>
        <w:t>The deeper point is that bioinformatics increasingly connects multiple scales: nucleotide sequences, transcripts, proteins, pathways, phenotypes, and populations. As that integration deepens, the field moves closer to a systems-level computational biology rather than isolated genomic analytics.</w:t>
      </w:r>
    </w:p>
    <w:p w14:paraId="689FE533" w14:textId="77777777" w:rsidR="000E6B9B" w:rsidRDefault="00000000">
      <w:pPr>
        <w:pStyle w:val="berschrift1"/>
      </w:pPr>
      <w:r>
        <w:t>7. Reproducibility, databases, and computational infrastructure</w:t>
      </w:r>
    </w:p>
    <w:p w14:paraId="5928CE89" w14:textId="77777777" w:rsidR="000E6B9B" w:rsidRDefault="00000000">
      <w:r>
        <w:t>Bioinformatics depends heavily on public databases, file formats, workflow systems, and shared computational infrastructure. FASTA, FASTQ, BAM, VCF, GFF, and related formats support interoperability, but they also encode assumptions about what information is preserved, how uncertainty is represented, and what downstream software can infer. Data infrastructure is therefore not a neutral background; it shapes the whole analytic landscape.</w:t>
      </w:r>
    </w:p>
    <w:p w14:paraId="0D884506" w14:textId="77777777" w:rsidR="000E6B9B" w:rsidRDefault="00000000">
      <w:r>
        <w:lastRenderedPageBreak/>
        <w:t>Reproducibility is a persistent challenge. Pipelines often depend on specific software versions, reference genomes, annotation releases, and hidden preprocessing steps. Small changes can alter results substantially, especially in alignment, filtering, and threshold selection. This is why workflow frameworks, containerization, versioned references, and explicit provenance tracking are so important. They do not guarantee correctness, but they reduce silent irreproducibility.</w:t>
      </w:r>
    </w:p>
    <w:p w14:paraId="3FCCB632" w14:textId="77777777" w:rsidR="000E6B9B" w:rsidRDefault="00000000">
      <w:r>
        <w:t>NCBI’s bioinformatics resources remain central because they provide access to sequence archives, annotations, literature links, and search tools that tie raw data to biological context (NCBI, 2026). But reliance on large shared databases also creates dependencies on curation quality, update policy, and annotation lag. A result is only as trustworthy as the reference structures that support it.</w:t>
      </w:r>
    </w:p>
    <w:p w14:paraId="2B766CCA" w14:textId="77777777" w:rsidR="000E6B9B" w:rsidRDefault="00000000">
      <w:r>
        <w:t>Computational scale is another factor. Population genomics, metagenomics, single-cell sequencing, and large clinical cohorts create demands for high-performance computing, cloud workflows, and efficient indexing. Bioinformatics is therefore increasingly both a biological and a data-engineering discipline.</w:t>
      </w:r>
    </w:p>
    <w:p w14:paraId="793845F0" w14:textId="77777777" w:rsidR="000E6B9B" w:rsidRDefault="00000000">
      <w:pPr>
        <w:pStyle w:val="berschrift1"/>
      </w:pPr>
      <w:r>
        <w:t>8. Practical implications and future directions</w:t>
      </w:r>
    </w:p>
    <w:p w14:paraId="7EE0101B" w14:textId="77777777" w:rsidR="000E6B9B" w:rsidRDefault="00000000">
      <w:r>
        <w:t>One of the strongest current trends in bioinformatics is the integration of machine learning into sequence modeling, variant interpretation, and multi-omics prediction. Reviews of AI in bioinformatics and of genome language models show that sequence data are increasingly being treated with methods adapted from natural language processing, including representation learning over DNA and RNA strings (Jiang et al., 2025; Shu et al., 2026). This is promising, but it also risks repeating familiar problems from machine learning: weak external validation, opacity, and overstatement of generalization.</w:t>
      </w:r>
    </w:p>
    <w:p w14:paraId="74D6C8D4" w14:textId="77777777" w:rsidR="000E6B9B" w:rsidRDefault="00000000">
      <w:r>
        <w:t>Long-read sequencing is another transformative development because it improves structural variant detection, haplotype resolution, and assembly across repetitive regions that short reads handle poorly (Moustakli et al., 2025). Yet more information also means more demanding error models, storage needs, and interpretation layers. Technical progress expands opportunity and complexity at the same time.</w:t>
      </w:r>
    </w:p>
    <w:p w14:paraId="6EE351F1" w14:textId="77777777" w:rsidR="000E6B9B" w:rsidRDefault="00000000">
      <w:r>
        <w:t xml:space="preserve">Clinically, bioinformatics will likely become even more important in genomic medicine, rare-disease diagnosis, oncology, infectious disease surveillance, and personalized treatment. But the practical challenge is not only generating data. It is deciding what </w:t>
      </w:r>
      <w:r>
        <w:lastRenderedPageBreak/>
        <w:t>evidence is strong enough to act on. That requires a mature alliance among computation, laboratory methods, statistics, and medical judgment.</w:t>
      </w:r>
    </w:p>
    <w:p w14:paraId="21CB7E2B" w14:textId="77777777" w:rsidR="000E6B9B" w:rsidRDefault="00000000">
      <w:r>
        <w:t>The durable lesson is that bioinformatics succeeds when it treats biology, statistics, and software engineering as inseparable. A fast tool with weak assumptions is dangerous. A careful model with no reproducible workflow is also weak. The field advances when algorithms, data management, and biological interpretation are developed together.</w:t>
      </w:r>
    </w:p>
    <w:p w14:paraId="16B3F597" w14:textId="77777777" w:rsidR="000E6B9B" w:rsidRDefault="00000000">
      <w:pPr>
        <w:pStyle w:val="berschrift1"/>
      </w:pPr>
      <w:r>
        <w:t>9. Concluding remarks</w:t>
      </w:r>
    </w:p>
    <w:p w14:paraId="10E15DA7" w14:textId="77777777" w:rsidR="000E6B9B" w:rsidRDefault="00000000">
      <w:r>
        <w:t>Bioinformatics remains one of the clearest examples of how computation changes a scientific discipline from the inside. It does not merely accelerate biological analysis. It alters what questions can be asked, how evidence is generated, and what scale of inference becomes plausible. That is why the field has become foundational to modern life science.</w:t>
      </w:r>
    </w:p>
    <w:p w14:paraId="30D28132" w14:textId="77777777" w:rsidR="000E6B9B" w:rsidRDefault="00000000">
      <w:r>
        <w:t>The strongest analytical conclusion is that bioinformatics should be viewed as a discipline of structured inference under noisy, large-scale biological data. Its methods matter because biological meaning is never directly visible in raw reads, counts, or annotations. It has to be reconstructed through algorithms, models, and careful interpretation. The quality of that reconstruction determines the value of the science.</w:t>
      </w:r>
    </w:p>
    <w:p w14:paraId="16B3377B" w14:textId="77777777" w:rsidR="000E6B9B" w:rsidRDefault="00000000">
      <w:pPr>
        <w:pStyle w:val="berschrift1"/>
      </w:pPr>
      <w:r>
        <w:t>10. Expanded implications for scientific practice</w:t>
      </w:r>
    </w:p>
    <w:p w14:paraId="746414C4" w14:textId="77777777" w:rsidR="000E6B9B" w:rsidRDefault="00000000">
      <w:r>
        <w:t>Bioinformatics has also changed what counts as scientific competence in biology. It is no longer enough for many researchers to generate experimental data and outsource computation as a black box. Decisions about alignment settings, reference versions, contamination control, statistical filtering, database choice, and annotation strategy can materially change conclusions. This means biological interpretation increasingly depends on computational literacy, even when dedicated bioinformatics specialists are involved.</w:t>
      </w:r>
    </w:p>
    <w:p w14:paraId="3E7D8E0D" w14:textId="77777777" w:rsidR="000E6B9B" w:rsidRDefault="00000000">
      <w:r>
        <w:t>A second implication concerns publication quality. Many studies still describe pipelines at a level that is too vague for full reproduction, especially when custom scripts, manual filtering steps, or private reference resources are involved. As datasets become larger and claims become more clinically or translationally important, this level of opacity becomes harder to defend. Better workflow disclosure, version tracking, and data provenance are therefore not merely technical preferences. They are part of scientific rigor.</w:t>
      </w:r>
    </w:p>
    <w:p w14:paraId="71BF6375" w14:textId="77777777" w:rsidR="000E6B9B" w:rsidRDefault="00000000">
      <w:r>
        <w:lastRenderedPageBreak/>
        <w:t>Future progress in bioinformatics will likely depend on how well the field balances innovation with standardization. New sequencing methods, AI models, and multi-omics integration strategies are valuable, but they also increase the temptation to overclaim before robust validation exists. The field remains strongest when methodological novelty is matched by careful benchmarking, reproducibility, and biological interpretability.</w:t>
      </w:r>
    </w:p>
    <w:p w14:paraId="56577E6E" w14:textId="77777777" w:rsidR="000E6B9B" w:rsidRDefault="00000000">
      <w:pPr>
        <w:pStyle w:val="berschrift1"/>
      </w:pPr>
      <w:r>
        <w:t>References</w:t>
      </w:r>
    </w:p>
    <w:p w14:paraId="759A36C5" w14:textId="77777777" w:rsidR="000E6B9B" w:rsidRDefault="00000000" w:rsidP="00220A70">
      <w:pPr>
        <w:jc w:val="left"/>
      </w:pPr>
      <w:r>
        <w:t>Altschul, S. F., Gish, W., Miller, W., Myers, E. W., &amp; Lipman, D. J. (1990). Basic local alignment search tool. Journal of Molecular Biology, 215(3), 403-410.</w:t>
      </w:r>
      <w:r>
        <w:br/>
        <w:t>Clark, A. J., &amp; others. (2024). A comprehensive review of bioinformatics tools for genomic biomarker discovery. Bioengineering, 11(8), 806.</w:t>
      </w:r>
      <w:r>
        <w:br/>
        <w:t>Cock, P. J. A., Antao, T., Chang, J. T., et al. (2009). Biopython: Freely available Python tools for computational molecular biology and bioinformatics. Bioinformatics, 25(11), 1422-1423.</w:t>
      </w:r>
      <w:r>
        <w:br/>
        <w:t>Durbin, R., Eddy, S. R., Krogh, A., &amp; Mitchison, G. (1998). Biological Sequence Analysis. Cambridge University Press.</w:t>
      </w:r>
      <w:r>
        <w:br/>
        <w:t>Jiang, J., &amp; others. (2025). Artificial intelligence in bioinformatics: A survey. Briefings in Bioinformatics.</w:t>
      </w:r>
      <w:r>
        <w:br/>
        <w:t>Khan, A., &amp; others. (2025). Genomic medicine and personalized treatment. Journal of Translational Medicine.</w:t>
      </w:r>
      <w:r>
        <w:br/>
        <w:t>Langmead, B., Trapnell, C., Pop, M., &amp; Salzberg, S. L. (2009). Ultrafast and memory-efficient alignment of short DNA sequences to the human genome. Genome Biology, 10(3), R25.</w:t>
      </w:r>
      <w:r>
        <w:br/>
        <w:t>Li, H., &amp; Durbin, R. (2009). Fast and accurate short read alignment with Burrows-Wheeler transform. Bioinformatics, 25(14), 1754-1760.</w:t>
      </w:r>
      <w:r>
        <w:br/>
        <w:t>Lu, Y., &amp; others. (2025). Advances in whole genome sequencing: Methods, tools, and population genomics applications. Frontiers in Genetics.</w:t>
      </w:r>
      <w:r>
        <w:br/>
        <w:t>McKenna, A., Hanna, M., Banks, E., et al. (2010). The Genome Analysis Toolkit: A MapReduce framework for analyzing next-generation DNA sequencing data. Genome Research, 20(9), 1297-1303.</w:t>
      </w:r>
      <w:r>
        <w:br/>
        <w:t>Mount, D. W. (2004). Bioinformatics: Sequence and Genome Analysis (2nd ed.). Cold Spring Harbor Laboratory Press.</w:t>
      </w:r>
      <w:r>
        <w:br/>
        <w:t xml:space="preserve">NCBI. (2026). National Center for Biotechnology Information Resources. National Library </w:t>
      </w:r>
      <w:r>
        <w:lastRenderedPageBreak/>
        <w:t>of Medicine.</w:t>
      </w:r>
      <w:r>
        <w:br/>
        <w:t>Needleman, S. B., &amp; Wunsch, C. D. (1970). A general method applicable to the search for similarities in the amino acid sequence of two proteins. Journal of Molecular Biology, 48(3), 443-453.</w:t>
      </w:r>
      <w:r>
        <w:br/>
        <w:t>Pevsner, J. (2015). Bioinformatics and Functional Genomics (3rd ed.). Wiley-Blackwell.</w:t>
      </w:r>
      <w:r>
        <w:br/>
        <w:t>Shu, L., &amp; others. (2026). A comprehensive survey of genome language models. Briefings in Bioinformatics.</w:t>
      </w:r>
      <w:r>
        <w:br/>
        <w:t>Smith, T. F., &amp; Waterman, M. S. (1981). Identification of common molecular subsequences. Journal of Molecular Biology, 147(1), 195-197.</w:t>
      </w:r>
    </w:p>
    <w:sectPr w:rsidR="000E6B9B" w:rsidSect="00034616">
      <w:footerReference w:type="default" r:id="rId8"/>
      <w:pgSz w:w="11906" w:h="16838"/>
      <w:pgMar w:top="1531" w:right="1531" w:bottom="1531"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7C58B" w14:textId="77777777" w:rsidR="001741AC" w:rsidRDefault="001741AC">
      <w:pPr>
        <w:spacing w:after="0" w:line="240" w:lineRule="auto"/>
      </w:pPr>
      <w:r>
        <w:separator/>
      </w:r>
    </w:p>
  </w:endnote>
  <w:endnote w:type="continuationSeparator" w:id="0">
    <w:p w14:paraId="3717B81A" w14:textId="77777777" w:rsidR="001741AC" w:rsidRDefault="00174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38A2" w14:textId="3DE79F3E" w:rsidR="000E6B9B" w:rsidRDefault="00000000">
    <w:pPr>
      <w:pStyle w:val="Fuzeile"/>
      <w:jc w:val="center"/>
    </w:pPr>
    <w:r>
      <w:fldChar w:fldCharType="begin"/>
    </w:r>
    <w:r>
      <w:instrText>PAGE</w:instrText>
    </w:r>
    <w:r w:rsidR="00220A70">
      <w:fldChar w:fldCharType="separate"/>
    </w:r>
    <w:r w:rsidR="00220A7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66231" w14:textId="77777777" w:rsidR="001741AC" w:rsidRDefault="001741AC">
      <w:pPr>
        <w:spacing w:after="0" w:line="240" w:lineRule="auto"/>
      </w:pPr>
      <w:r>
        <w:separator/>
      </w:r>
    </w:p>
  </w:footnote>
  <w:footnote w:type="continuationSeparator" w:id="0">
    <w:p w14:paraId="4B620307" w14:textId="77777777" w:rsidR="001741AC" w:rsidRDefault="00174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968512515">
    <w:abstractNumId w:val="8"/>
  </w:num>
  <w:num w:numId="2" w16cid:durableId="1290477064">
    <w:abstractNumId w:val="6"/>
  </w:num>
  <w:num w:numId="3" w16cid:durableId="546336013">
    <w:abstractNumId w:val="5"/>
  </w:num>
  <w:num w:numId="4" w16cid:durableId="1960643417">
    <w:abstractNumId w:val="4"/>
  </w:num>
  <w:num w:numId="5" w16cid:durableId="1878004196">
    <w:abstractNumId w:val="7"/>
  </w:num>
  <w:num w:numId="6" w16cid:durableId="1423339054">
    <w:abstractNumId w:val="3"/>
  </w:num>
  <w:num w:numId="7" w16cid:durableId="402486138">
    <w:abstractNumId w:val="2"/>
  </w:num>
  <w:num w:numId="8" w16cid:durableId="987632232">
    <w:abstractNumId w:val="1"/>
  </w:num>
  <w:num w:numId="9" w16cid:durableId="19157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B9B"/>
    <w:rsid w:val="0015074B"/>
    <w:rsid w:val="001741AC"/>
    <w:rsid w:val="00220A70"/>
    <w:rsid w:val="0029639D"/>
    <w:rsid w:val="00326F90"/>
    <w:rsid w:val="009249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CB398-CE1C-4812-93B5-6049A001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jc w:val="both"/>
    </w:pPr>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2666</Words>
  <Characters>16796</Characters>
  <Application>Microsoft Office Word</Application>
  <DocSecurity>0</DocSecurity>
  <Lines>139</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 Geier</cp:lastModifiedBy>
  <cp:revision>2</cp:revision>
  <dcterms:created xsi:type="dcterms:W3CDTF">2013-12-23T23:15:00Z</dcterms:created>
  <dcterms:modified xsi:type="dcterms:W3CDTF">2026-03-11T13:06:00Z</dcterms:modified>
  <cp:category/>
</cp:coreProperties>
</file>