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 Informatics: Data Standards, Clinical Workflows, and the Socio-Technical Realities of Digital Health Systems</w:t>
      </w:r>
    </w:p>
    <w:p>
      <w:pPr>
        <w:jc w:val="center"/>
      </w:pPr>
      <w:r>
        <w:rPr>
          <w:rFonts w:ascii="Times New Roman" w:hAnsi="Times New Roman"/>
          <w:i/>
          <w:sz w:val="22"/>
        </w:rPr>
        <w:t>Scientific Essay</w:t>
      </w:r>
    </w:p>
    <w:p/>
    <w:p>
      <w:pPr>
        <w:pStyle w:val="Heading1"/>
      </w:pPr>
      <w:r>
        <w:t>Abstract</w:t>
      </w:r>
    </w:p>
    <w:p>
      <w:pPr>
        <w:jc w:val="both"/>
      </w:pPr>
      <w:r>
        <w:t>Health informatics concerns the collection, exchange, interpretation, and governance of health-related information within clinical and public-health settings. Although the field is often presented as a straightforward digitization project, real-world implementation is difficult because healthcare data is heterogeneous, workflows are safety-critical, and institutions operate under legal, ethical, and organizational constraints. This essay examines the foundations of health informatics, with special attention to electronic health records, interoperability standards, clinical decision support, data quality, and governance. It argues that health informatics should be understood as a socio-technical discipline: technical standards and software architecture matter, but outcomes depend equally on workflow fit, trust, training, and institutional design.</w:t>
      </w:r>
    </w:p>
    <w:p>
      <w:pPr>
        <w:pStyle w:val="Heading1"/>
      </w:pPr>
      <w:r>
        <w:t>1. Introduction</w:t>
      </w:r>
    </w:p>
    <w:p>
      <w:pPr>
        <w:jc w:val="both"/>
      </w:pPr>
      <w:r>
        <w:t>Health informatics occupies a distinctive position within information technology because the objects being managed are deeply consequential. Clinical records influence diagnosis, treatment, reimbursement, public-health surveillance, and scientific research. Errors are therefore not merely inconvenient; they can affect safety, equity, and institutional legitimacy. For this reason health informatics cannot be reduced to generic database management in hospitals. It is a field shaped by high-stakes decisions, fragmented care settings, legal obligations, professional cultures, and intense demands for interoperability (Shortliffe &amp; Cimino, 2021).</w:t>
      </w:r>
    </w:p>
    <w:p>
      <w:pPr>
        <w:jc w:val="both"/>
      </w:pPr>
      <w:r>
        <w:t>Digitization promised cleaner records, faster communication, and better decision support. In practice, these gains have often been partial and uneven. Electronic health record systems can improve access to documentation and reduce some classes of transcription error, but they can also introduce alert fatigue, documentation burden, usability problems, and interoperability gaps. The result is a classic socio-technical pattern: the technology may be capable, yet outcomes depend on how well it fits real clinical work. A digital system that ignores workflow can be formally sophisticated and practically harmful.</w:t>
      </w:r>
    </w:p>
    <w:p>
      <w:pPr>
        <w:jc w:val="both"/>
      </w:pPr>
      <w:r>
        <w:t>Health informatics is therefore best approached as the study of information moving through healthcare organizations under constraints of safety, privacy, standardization, and human judgment. The central questions are not only how to store data, but how to represent meaning, exchange it across institutions, support decisions without overwhelming clinicians, and govern secondary uses such as research and policy. These questions explain why the field spans computer science, medicine, public health, standards development, ethics, and organizational analysis.</w:t>
      </w:r>
    </w:p>
    <w:p>
      <w:pPr>
        <w:pStyle w:val="Heading1"/>
      </w:pPr>
      <w:r>
        <w:t>2. Electronic Health Records and Clinical Workflows</w:t>
      </w:r>
    </w:p>
    <w:p>
      <w:pPr>
        <w:jc w:val="both"/>
      </w:pPr>
      <w:r>
        <w:t>Electronic health records are the most visible infrastructure in contemporary health informatics. They aggregate patient histories, medication lists, lab results, imaging reports, notes, orders, and administrative data into a digital environment that supports clinical and organizational processes. Their importance lies not just in storage, but in coordination. Healthcare is distributed across departments, professions, and institutions, so an EHR functions as a shared memory system for care delivery. At least in principle, it should reduce information loss between handoffs and make longitudinal care easier to manage.</w:t>
      </w:r>
    </w:p>
    <w:p>
      <w:pPr>
        <w:jc w:val="both"/>
      </w:pPr>
      <w:r>
        <w:t>The difficulty is that clinical work is not a simple linear workflow. Different specialties observe, document, and prioritize information differently. Emergency medicine values speed and triage relevance; chronic care emphasizes continuity; intensive care focuses on monitoring and rapid response. A uniform data model can support standardization, but it can also flatten meaningful context. This is one reason note bloat and interface overload have become recurrent complaints. When systems are designed primarily for billing, compliance, or generic completeness, they risk obscuring the information most relevant to care.</w:t>
      </w:r>
    </w:p>
    <w:p>
      <w:pPr>
        <w:jc w:val="both"/>
      </w:pPr>
      <w:r>
        <w:t>Usability is therefore not cosmetic. Poor interface design can delay orders, bury critical results, or encourage copy-and-paste behavior that propagates stale information. The best health informatics thinking recognizes that data entry, review, and interpretation are embedded in time-pressured human routines. Safety depends not only on correctness of data structures, but on whether clinicians can find, trust, and act on information quickly. This is why workflow studies and usability evaluation remain essential parts of system implementation.</w:t>
      </w:r>
    </w:p>
    <w:p>
      <w:pPr>
        <w:pStyle w:val="Heading1"/>
      </w:pPr>
      <w:r>
        <w:t>3. Interoperability and Data Standards</w:t>
      </w:r>
    </w:p>
    <w:p>
      <w:pPr>
        <w:jc w:val="both"/>
      </w:pPr>
      <w:r>
        <w:t>Interoperability is one of the field's most persistent ambitions because patient care frequently crosses organizational boundaries. A person may see a general practitioner, a specialist, a hospital, a laboratory, and a pharmacy, each using different software systems and data conventions. Without shared standards, information exchange becomes slow, partial, or manually reconstructed. Health informatics has therefore invested heavily in standards such as HL7, SNOMED CT, LOINC, DICOM, ICD, and more recently FHIR. These frameworks aim to define not only formats, but also semantics and exchange patterns.</w:t>
      </w:r>
    </w:p>
    <w:p>
      <w:pPr>
        <w:jc w:val="both"/>
      </w:pPr>
      <w:r>
        <w:t>FHIR has become especially influential because it combines healthcare-specific structure with web-oriented implementation ideas. Instead of treating exchange as monolithic message transport, FHIR organizes data into resources that can be queried and linked through modern API patterns. This lowers certain barriers to integration and has encouraged broader developer participation (HL7, 2025). Yet the existence of a standard does not guarantee semantic interoperability. Two systems may both speak FHIR and still encode local workflow assumptions, optional fields, or terminology mappings in incompatible ways. In healthcare, meaning is often harder to standardize than syntax.</w:t>
      </w:r>
    </w:p>
    <w:p>
      <w:pPr>
        <w:jc w:val="both"/>
      </w:pPr>
      <w:r>
        <w:t>Interoperability is also political in the non-partisan institutional sense. Vendors, hospitals, insurers, public authorities, and standards bodies have different incentives. Some seek openness, others seek lock-in or cautious control. As a result, the pace of standard adoption depends as much on governance and procurement as on technical merit. This is why health informatics must pay attention to institutions, not just software protocols.</w:t>
      </w:r>
    </w:p>
    <w:p>
      <w:pPr>
        <w:pStyle w:val="Heading1"/>
      </w:pPr>
      <w:r>
        <w:t>4. Clinical Decision Support, Analytics, and AI</w:t>
      </w:r>
    </w:p>
    <w:p>
      <w:pPr>
        <w:jc w:val="both"/>
      </w:pPr>
      <w:r>
        <w:t>Clinical decision support systems attempt to make digital information actionable. They can remind clinicians about drug interactions, flag abnormal lab patterns, suggest preventive interventions, or support triage and diagnostic reasoning. In theory, decision support translates accumulated evidence and recorded data into more consistent care. In practice, it faces the classic challenge of relevance. A system that produces too many generic alerts quickly becomes background noise. Alert fatigue is not a marginal issue; it is a predictable consequence of poor prioritization and weak workflow integration.</w:t>
      </w:r>
    </w:p>
    <w:p>
      <w:pPr>
        <w:jc w:val="both"/>
      </w:pPr>
      <w:r>
        <w:t>The rise of predictive analytics and AI has intensified both expectations and concerns. Machine learning models may assist with risk prediction, imaging analysis, capacity planning, or documentation support. Yet these tools inherit the data quality problems of the environments that generate them. Missing values, coding bias, institution-specific practices, and shifting patient populations can all degrade performance. Moreover, clinicians need not only a score but a reason to trust it. If models are inserted into clinical settings without calibration monitoring, explanation, and clear accountability, they can create false confidence rather than safer care.</w:t>
      </w:r>
    </w:p>
    <w:p>
      <w:pPr>
        <w:jc w:val="both"/>
      </w:pPr>
      <w:r>
        <w:t>A careful informatics perspective therefore treats analytics as support infrastructure rather than magic. The right question is not whether an algorithm is sophisticated, but whether it improves decisions in a real workflow with measurable benefits and tolerable risks. This requires governance, evaluation, and often local adaptation. It also requires acknowledging that some clinical value comes from improving documentation, retrieval, and coordination rather than from algorithmic novelty.</w:t>
      </w:r>
    </w:p>
    <w:p>
      <w:pPr>
        <w:pStyle w:val="Heading1"/>
      </w:pPr>
      <w:r>
        <w:t>5. Data Quality, Privacy, and Governance</w:t>
      </w:r>
    </w:p>
    <w:p>
      <w:pPr>
        <w:jc w:val="both"/>
      </w:pPr>
      <w:r>
        <w:t>Healthcare data is notoriously messy. Records are generated for treatment, communication, billing, regulation, and institutional memory all at once. The same diagnosis may be represented differently across settings, and missingness is often systematic rather than random. Laboratory values have units and context; medication records may lag actual patient use; notes contain narrative nuance that structured fields cannot capture fully. Data quality problems therefore arise not only from technical failure but from the multiplicity of purposes embedded in healthcare documentation.</w:t>
      </w:r>
    </w:p>
    <w:p>
      <w:pPr>
        <w:jc w:val="both"/>
      </w:pPr>
      <w:r>
        <w:t>Privacy and security are equally central because health data is among the most sensitive categories of personal information. Digital systems must manage access control, auditability, consent, retention, and secure exchange. However, privacy cannot be treated simply as restriction. Good governance must also enable legitimate care coordination, public-health reporting, and research while minimizing unnecessary exposure. This is a difficult balancing act. Excessive fragmentation can impair care, while excessive openness can erode trust and violate rights. Standards-based architectures help, but governance decisions remain indispensable (WHO, 2025).</w:t>
      </w:r>
    </w:p>
    <w:p>
      <w:pPr>
        <w:jc w:val="both"/>
      </w:pPr>
      <w:r>
        <w:t>Data governance also shapes secondary use. Health systems increasingly hope to reuse routine data for quality improvement, epidemiology, and machine learning. That ambition is attractive, but routine clinical data was not created as clean research data. Without metadata, provenance tracking, harmonization, and transparent ethical oversight, secondary use can produce misleading conclusions. Health informatics therefore has to protect against two opposite errors: paralysis that prevents useful learning and opportunism that treats every stored record as immediately analysis-ready.</w:t>
      </w:r>
    </w:p>
    <w:p>
      <w:pPr>
        <w:pStyle w:val="Heading1"/>
      </w:pPr>
      <w:r>
        <w:t>6. Future Directions and Persistent Constraints</w:t>
      </w:r>
    </w:p>
    <w:p>
      <w:pPr>
        <w:jc w:val="both"/>
      </w:pPr>
      <w:r>
        <w:t>Several current trends are likely to shape the field over the coming years. First, standards-based interoperability will continue to expand, especially through FHIR profiles and implementation guides. Second, patient-facing tools such as portals, remote monitoring, and app-based services will push data flows beyond institutional walls. Third, AI will keep entering administrative and clinical tasks, from summarization to image triage. All three trends increase the need for governance because they widen the number of actors who create, access, and interpret health data.</w:t>
      </w:r>
    </w:p>
    <w:p>
      <w:pPr>
        <w:jc w:val="both"/>
      </w:pPr>
      <w:r>
        <w:t>At the same time, many old constraints will remain. Legacy systems are deeply entrenched, procurement cycles are slow, and healthcare organizations rarely have the freedom to rebuild information systems from scratch. Workforce strain also matters. Informatics solutions that demand constant clinician adaptation without reducing burden are unlikely to succeed. The field must therefore become more realistic about implementation. A technically advanced architecture that does not survive contact with staffing shortages, reimbursement rules, or local documentation practice is not a successful health informatics intervention.</w:t>
      </w:r>
    </w:p>
    <w:p>
      <w:pPr>
        <w:jc w:val="both"/>
      </w:pPr>
      <w:r>
        <w:t>The enduring lesson is that health informatics is socio-technical all the way down. Technical standards, APIs, terminologies, and models are necessary, but they work only when aligned with institutions and practice. Progress will come less from grand declarations about digital transformation than from systems that genuinely improve information quality, interoperability, and decision support in the messy reality of care delivery.</w:t>
      </w:r>
    </w:p>
    <w:p>
      <w:pPr>
        <w:pStyle w:val="Heading1"/>
      </w:pPr>
      <w:r>
        <w:t>7. Patient-Facing Systems, Public Health, and Research Reuse</w:t>
      </w:r>
    </w:p>
    <w:p>
      <w:pPr>
        <w:jc w:val="both"/>
      </w:pPr>
      <w:r>
        <w:t>Health informatics is no longer confined to clinician-facing enterprise systems. Patient portals, telemedicine platforms, wearable monitoring tools, and app-based care pathways now shape how people encounter healthcare information directly. This changes the design problem. Information must be understandable not only to trained professionals but also to patients with varied literacy, language, and digital access. A technically correct portal that presents laboratory results without context can increase anxiety rather than understanding. Consequently, patient-facing informatics requires attention to communication design, accessibility, and consent as much as to database architecture.</w:t>
      </w:r>
    </w:p>
    <w:p>
      <w:pPr>
        <w:jc w:val="both"/>
      </w:pPr>
      <w:r>
        <w:t>Public-health use adds another scale. Surveillance systems, vaccination registries, outbreak reporting, and population health analytics depend on data flows that extend beyond individual institutions. Here interoperability and timeliness can influence policy and resource allocation, not just local treatment. Yet public-health infrastructures often inherit the same fragmentation seen in clinical settings, with incompatible coding practices, delayed reporting, and uneven digital maturity. This means that health informatics must often solve coordination problems at multiple levels simultaneously: bedside care, organizational management, and population-level monitoring.</w:t>
      </w:r>
    </w:p>
    <w:p>
      <w:pPr>
        <w:jc w:val="both"/>
      </w:pPr>
      <w:r>
        <w:t>Research reuse of clinical data offers major promise but also demands caution. Routine records can support comparative effectiveness studies, service evaluation, and model development at scales difficult to achieve through bespoke data collection alone. However, the path from routine care data to research evidence is neither automatic nor neutral. Selection effects, documentation incentives, and site-specific workflows shape the data generating process. Informatics therefore has to provide provenance, metadata, governance, and methodological humility. The right goal is not maximal extraction from data, but responsible reuse that preserves validity and trust.</w:t>
      </w:r>
    </w:p>
    <w:p>
      <w:pPr>
        <w:pStyle w:val="Heading1"/>
      </w:pPr>
      <w:r>
        <w:t>8. Historical Development, Institutional Diversity, and International Perspectives</w:t>
      </w:r>
    </w:p>
    <w:p>
      <w:pPr>
        <w:jc w:val="both"/>
      </w:pPr>
      <w:r>
        <w:t>The history of health informatics shows that digitization in healthcare has always been uneven and institutionally dependent. Different countries and health systems adopted electronic records, coding systems, and exchange standards at different speeds and for different reasons. Some reforms were driven by reimbursement, others by patient safety, others by national infrastructure planning. This variation matters because it demonstrates that health informatics is never implemented in a vacuum. The same technical architecture can produce different outcomes depending on procurement models, clinical staffing, public trust, and legal obligations.</w:t>
      </w:r>
    </w:p>
    <w:p>
      <w:pPr>
        <w:jc w:val="both"/>
      </w:pPr>
      <w:r>
        <w:t>Institutional diversity within one health system can be just as significant as international variation. Large academic hospitals, outpatient practices, rehabilitation providers, laboratories, pharmacies, and public-health agencies often use different software environments and document for different operational reasons. A standard that appears straightforward from a policy perspective may encounter severe local friction once it reaches legacy databases, overloaded staff, and fragmented governance. This is why successful informatics initiatives usually combine technical standards with phased implementation, training, local adaptation, and clear accountability for data quality.</w:t>
      </w:r>
    </w:p>
    <w:p>
      <w:pPr>
        <w:jc w:val="both"/>
      </w:pPr>
      <w:r>
        <w:t>International perspectives are especially relevant because digital health agendas increasingly emphasize portability, cross-border exchange, telemedicine, and standards-based ecosystems. Organizations such as WHO and major standards bodies now frame digital health not just as internal modernization but as part of health-system resilience and equity. That framing is sensible, but it should not be romanticized. Countries differ sharply in digital capacity, infrastructure reliability, workforce availability, and legal architecture. The practical meaning of interoperability therefore varies by context. In some environments the challenge is advanced API integration; in others it is stable connectivity and basic digitization.</w:t>
      </w:r>
    </w:p>
    <w:p>
      <w:pPr>
        <w:jc w:val="both"/>
      </w:pPr>
      <w:r>
        <w:t>These differences reinforce a central lesson: health informatics is an applied field whose success depends on realism. Grand narratives about transformation often obscure the fact that information systems succeed through careful institutional fit, not rhetoric. The right ambition is not maximal digital novelty, but reliable and intelligible information flow that improves care, supports coordination, and protects trust across varied settings.</w:t>
      </w:r>
    </w:p>
    <w:p>
      <w:pPr>
        <w:pStyle w:val="Heading1"/>
      </w:pPr>
      <w:r>
        <w:t>9. Evaluation, Trust, and Long-Term System Stewardship</w:t>
      </w:r>
    </w:p>
    <w:p>
      <w:pPr>
        <w:jc w:val="both"/>
      </w:pPr>
      <w:r>
        <w:t>Health informatics systems also require a stronger culture of evaluation than many institutions currently maintain. Deploying a new record system, portal, or decision support tool should not end with installation. Organizations need to monitor documentation burden, alert relevance, patient comprehension, downtime patterns, data completeness, and whether the system is genuinely improving coordination or merely shifting work from one role to another. In other words, the success of digital health infrastructure must be observed over time rather than assumed from procurement documents or vendor promises.</w:t>
      </w:r>
    </w:p>
    <w:p>
      <w:pPr>
        <w:jc w:val="both"/>
      </w:pPr>
      <w:r>
        <w:t>Trust is the long-term resource that makes this evaluation worthwhile. Clinicians must trust that systems support rather than obstruct their work; patients must trust that digital tools handle data responsibly and present information intelligibly; institutions must trust that standards and integrations will remain governable over time. Once trust is damaged by usability failures, opaque AI claims, or privacy breaches, technical remediation becomes much harder. This is why stewardship - the patient, ongoing management of systems after initial deployment - is one of the most important and least glamorous parts of health informatics.</w:t>
      </w:r>
    </w:p>
    <w:p>
      <w:pPr>
        <w:pStyle w:val="Heading1"/>
      </w:pPr>
      <w:r>
        <w:t>7. Conclusion</w:t>
      </w:r>
    </w:p>
    <w:p>
      <w:pPr>
        <w:jc w:val="both"/>
      </w:pPr>
      <w:r>
        <w:t>Health informatics deals with one of the hardest versions of information systems design because its data is heterogeneous, its workflows are safety-critical, and its governance environment is dense. Electronic records, interoperability standards, and decision support can create real value, but only when they fit clinical work and maintain trust.</w:t>
      </w:r>
    </w:p>
    <w:p>
      <w:pPr>
        <w:jc w:val="both"/>
      </w:pPr>
      <w:r>
        <w:t>For that reason the field should resist simplistic narratives. Digitization is not automatically modernization, and more data is not automatically better care. The strongest health informatics work is pragmatic: it treats standards, usability, privacy, and organizational reality as part of a single design problem. That is why the field remains both technically demanding and institutionally important.</w:t>
      </w:r>
    </w:p>
    <w:p>
      <w:pPr>
        <w:jc w:val="both"/>
      </w:pPr>
      <w:r>
        <w:t>That realism does not make the field less ambitious. It makes it more honest. Health informatics can contribute substantially to safer care and better coordination, but only when it treats standards, workflows, institutions, and users as parts of the same design problem rather than as separate afterthoughts.</w:t>
      </w:r>
    </w:p>
    <w:p>
      <w:pPr>
        <w:jc w:val="both"/>
      </w:pPr>
      <w:r>
        <w:t>A final point concerns institutional memory. Health systems change slowly, staff turnover is high, and information infrastructure may remain in service for many years. Decisions about terminology mapping, access roles, alert thresholds, and interface conventions therefore have long afterlives. If those decisions are not documented and governed, later teams inherit opaque systems that are difficult to modify safely. Long-term stewardship is thus not bureaucratic excess but part of patient safety. A health informatics system is not finished when it goes live; it enters a prolonged phase of maintenance in which organizational memory and technical clarity become inseparable.</w:t>
      </w:r>
    </w:p>
    <w:p>
      <w:pPr>
        <w:jc w:val="both"/>
      </w:pPr>
      <w:r>
        <w:t>This stewardship perspective also clarifies why procurement language about transformation is often inadequate. Buying a platform is not the same as building an information ecology that clinicians and patients can rely on. Health informatics succeeds when institutions invest not only in software licenses, but in governance, training, terminology maintenance, interface refinement, and cross-organizational coordination. Without that longer commitment, digitization often shifts paperwork from paper to screen without delivering the promised gains in clarity or continuity.</w:t>
      </w:r>
    </w:p>
    <w:p>
      <w:pPr/>
      <w:r>
        <w:t>Another enduring challenge is temporal durability. Clinical documentation must remain interpretable across long time spans, yet software stacks, coding systems, interfaces, and institutional workflows change far more rapidly than medical record retention periods. Health informatics therefore has to solve not only immediate interoperability but also future readability, auditability, and migration. The problem is not glamorous, but it is structurally decisive: information that cannot be retrieved, contextualized, or translated into later systems has limited clinical and legal value. This is why standards work, metadata quality, and governance arrangements are not bureaucratic side issues but part of the technical core of the field.</w:t>
      </w:r>
    </w:p>
    <w:p>
      <w:pPr/>
      <w:r>
        <w:t>The same point applies to trust. Clinicians adopt systems more reliably when interfaces align with clinical reasoning, when alerts are targeted rather than indiscriminate, and when data provenance is visible enough to support judgment rather than replace it. Patients likewise benefit only when digital infrastructures improve continuity, transparency, and safety instead of merely increasing the volume of stored data. A mature health informatics perspective therefore evaluates systems not by the number of features they advertise but by whether they improve decisions, coordination, and accountability under real institutional constraints. That practical standard is demanding, but it is the only one that keeps the field anchored to healthcare rather than to software rhetoric.</w:t>
      </w:r>
    </w:p>
    <w:p>
      <w:pPr>
        <w:pStyle w:val="Heading1"/>
      </w:pPr>
      <w:r>
        <w:t>References</w:t>
      </w:r>
    </w:p>
    <w:p>
      <w:pPr>
        <w:spacing w:line="240" w:lineRule="auto" w:after="40"/>
        <w:ind w:hanging="288" w:left="288"/>
      </w:pPr>
      <w:r>
        <w:rPr>
          <w:sz w:val="20"/>
        </w:rPr>
        <w:t>Shortliffe, E. H., &amp; Cimino, J. J. (Eds.). (2021). Biomedical Informatics: Computer Applications in Health Care and Biomedicine (5th ed.). Springer.</w:t>
      </w:r>
    </w:p>
    <w:p>
      <w:pPr>
        <w:spacing w:line="240" w:lineRule="auto" w:after="40"/>
        <w:ind w:hanging="288" w:left="288"/>
      </w:pPr>
      <w:r>
        <w:rPr>
          <w:sz w:val="20"/>
        </w:rPr>
        <w:t>Hoyt, R. E., Yoshihashi, A., Bailey, N., &amp; Dayhoff, R. E. (2022). Medical Informatics: Practical Guide for the Healthcare Professional (9th ed.). Lulu.</w:t>
      </w:r>
    </w:p>
    <w:p>
      <w:pPr>
        <w:spacing w:line="240" w:lineRule="auto" w:after="40"/>
        <w:ind w:hanging="288" w:left="288"/>
      </w:pPr>
      <w:r>
        <w:rPr>
          <w:sz w:val="20"/>
        </w:rPr>
        <w:t>HL7 International. (2025). FHIR Overview. HL7 FHIR Specification, Release 5.</w:t>
      </w:r>
    </w:p>
    <w:p>
      <w:pPr>
        <w:spacing w:line="240" w:lineRule="auto" w:after="40"/>
        <w:ind w:hanging="288" w:left="288"/>
      </w:pPr>
      <w:r>
        <w:rPr>
          <w:sz w:val="20"/>
        </w:rPr>
        <w:t>Ayaz, M., Pasha, M. F., Alzahrani, M. Y., et al. (2021). The Fast Health Interoperability Resources (FHIR) standard: Systematic literature review of implementations, applications, challenges and opportunities. JMIR Medical Informatics, 9(7), e21929.</w:t>
      </w:r>
    </w:p>
    <w:p>
      <w:pPr>
        <w:spacing w:line="240" w:lineRule="auto" w:after="40"/>
        <w:ind w:hanging="288" w:left="288"/>
      </w:pPr>
      <w:r>
        <w:rPr>
          <w:sz w:val="20"/>
        </w:rPr>
        <w:t>Gazzarata, R., et al. (2024). HL7 Fast Healthcare Interoperability Resources (FHIR): A scoping review of impact in digital healthcare ecosystems. Journal of Medical Internet Research / PubMed indexed review.</w:t>
      </w:r>
    </w:p>
    <w:p>
      <w:pPr>
        <w:spacing w:line="240" w:lineRule="auto" w:after="40"/>
        <w:ind w:hanging="288" w:left="288"/>
      </w:pPr>
      <w:r>
        <w:rPr>
          <w:sz w:val="20"/>
        </w:rPr>
        <w:t>Tabari, P., et al. (2024). State-of-the-art Fast Healthcare Interoperability Resources (FHIR)-based data models and structures: A review. PMC indexed review.</w:t>
      </w:r>
    </w:p>
    <w:p>
      <w:pPr>
        <w:spacing w:line="240" w:lineRule="auto" w:after="40"/>
        <w:ind w:hanging="288" w:left="288"/>
      </w:pPr>
      <w:r>
        <w:rPr>
          <w:sz w:val="20"/>
        </w:rPr>
        <w:t>World Health Organization. (2025). Global Strategy on Digital Health 2020-2027. WHO.</w:t>
      </w:r>
    </w:p>
    <w:p>
      <w:pPr>
        <w:spacing w:line="240" w:lineRule="auto" w:after="40"/>
        <w:ind w:hanging="288" w:left="288"/>
      </w:pPr>
      <w:r>
        <w:rPr>
          <w:sz w:val="20"/>
        </w:rPr>
        <w:t>World Health Organization. (2025). Digital health topic page. WHO.</w:t>
      </w:r>
    </w:p>
    <w:p>
      <w:pPr>
        <w:spacing w:line="240" w:lineRule="auto" w:after="40"/>
        <w:ind w:hanging="288" w:left="288"/>
      </w:pPr>
      <w:r>
        <w:rPr>
          <w:sz w:val="20"/>
        </w:rPr>
        <w:t>Hersh, W. R. (2022). Health Informatics: Practical Guide (8th/updated ed.). Lulu or Oregon Health references.</w:t>
      </w:r>
    </w:p>
    <w:p>
      <w:pPr>
        <w:spacing w:line="240" w:lineRule="auto" w:after="40"/>
        <w:ind w:hanging="288" w:left="288"/>
      </w:pPr>
      <w:r>
        <w:rPr>
          <w:sz w:val="20"/>
        </w:rPr>
        <w:t>Coiera, E. (2015). Guide to Health Informatics (3rd ed.). CRC Press.</w:t>
      </w:r>
    </w:p>
    <w:p>
      <w:pPr>
        <w:spacing w:line="240" w:lineRule="auto" w:after="40"/>
        <w:ind w:hanging="288" w:left="288"/>
      </w:pPr>
      <w:r>
        <w:rPr>
          <w:sz w:val="20"/>
        </w:rPr>
        <w:t>Bates, D. W., &amp; Gawande, A. A. (2003). Improving safety with information technology. New England Journal of Medicine, 348(25), 2526-2534.</w:t>
      </w:r>
    </w:p>
    <w:p>
      <w:pPr>
        <w:spacing w:line="240" w:lineRule="auto" w:after="40"/>
        <w:ind w:hanging="288" w:left="288"/>
      </w:pPr>
      <w:r>
        <w:rPr>
          <w:sz w:val="20"/>
        </w:rPr>
        <w:t>Sittig, D. F., &amp; Singh, H. (2010). A new sociotechnical model for studying health information technology in complex adaptive healthcare systems. Quality &amp; Safety in Health Care, 19(Suppl 3), i68-i74.</w:t>
      </w:r>
    </w:p>
    <w:p>
      <w:pPr>
        <w:spacing w:line="240" w:lineRule="auto" w:after="40"/>
        <w:ind w:hanging="288" w:left="288"/>
      </w:pPr>
      <w:r>
        <w:rPr>
          <w:sz w:val="20"/>
        </w:rPr>
        <w:t>Jha, A. K., DesRoches, C. M., Campbell, E. G., et al. (2009). Use of electronic health records in U.S. hospitals. New England Journal of Medicine, 360(16), 1628-1638.</w:t>
      </w:r>
    </w:p>
    <w:p>
      <w:pPr>
        <w:spacing w:line="240" w:lineRule="auto" w:after="40"/>
        <w:ind w:hanging="288" w:left="288"/>
      </w:pPr>
      <w:r>
        <w:rPr>
          <w:sz w:val="20"/>
        </w:rPr>
        <w:t>Safran, C., Bloomrosen, M., Hammond, W. E., et al. (2007). Toward a national framework for the secondary use of health data. Journal of the American Medical Informatics Association, 14(1), 1-9.</w:t>
      </w:r>
    </w:p>
    <w:p>
      <w:pPr>
        <w:spacing w:line="240" w:lineRule="auto" w:after="40"/>
        <w:ind w:hanging="288" w:left="288"/>
      </w:pPr>
      <w:r>
        <w:rPr>
          <w:sz w:val="20"/>
        </w:rPr>
        <w:t>WHO Europe. (2025). Electronic health records in the age of AI. WHO/Europe event and policy materials.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288"/>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eastAsia="Times New Roman"/>
      <w:b/>
      <w:bCs/>
      <w:color w:val="3A3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Times New Roman"/>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