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8A"/>
        </w:rPr>
        <w:t>Entregable 5: Evaluación de Resultados</w:t>
      </w:r>
    </w:p>
    <w:p>
      <w:r>
        <w:rPr>
          <w:sz w:val="19"/>
        </w:rPr>
        <w:t>Proyecto: Alerta temprana de ausentismo escolar sobre School_Plus</w:t>
        <w:br/>
        <w:t>Presentado por: Leidy Carolina Aponte</w:t>
        <w:br/>
        <w:t>Diplomado en Inteligencia Artificial · Ing. Winder Osorio Villalobos</w:t>
        <w:br/>
        <w:t>Repositorio: https://github.com/caroaponte2614-tech/Sistema_De_Asistencia</w:t>
      </w:r>
    </w:p>
    <w:p>
      <w:pPr>
        <w:pStyle w:val="Heading2"/>
      </w:pPr>
      <w:r>
        <w:t>1. Métricas técnicas</w:t>
      </w:r>
    </w:p>
    <w:p>
      <w:r>
        <w:drawing>
          <wp:inline xmlns:a="http://schemas.openxmlformats.org/drawingml/2006/main" xmlns:pic="http://schemas.openxmlformats.org/drawingml/2006/picture">
            <wp:extent cx="5400000" cy="186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6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Random Forest: precisión 0,52 · recall 0,87 · F1 0,65 · AUC 0,90 · exactitud 0,80. Con umbral 0,4: recall 0,90 y precisión 0,47 (28 de 31 detectados, 32 falsas alarmas). La regla manual (punto rojo) queda por debajo de ambas curvas: a igual tasa de falsas alarmas, el modelo detecta mucho más .</w:t>
      </w:r>
    </w:p>
    <w:p>
      <w:pPr>
        <w:pStyle w:val="Heading2"/>
      </w:pPr>
      <w:r>
        <w:t>2. Validación manual: 25 predicciones revisadas una a una</w:t>
      </w:r>
    </w:p>
    <w:p>
      <w:r>
        <w:t>Se tomaron 25 estudiantes al azar del conjunto de prueba y se contrastó la predicción con su asistencia real de las semanas 9-16: 22 de 25 aciertos (88 %) . Los 3 errores son falsos positivos en el límite del umbral : E0302 terminó con 80,0 % exacto, E0210 con 81,5 % y E0396 con 83,1 %. Ningún estudiante con caída fuerte quedó sin alerta en la muestra.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18"/>
              </w:rPr>
              <w:t>Caso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% sem. 1-8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Prob.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Pred.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Real sem. 9-16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Juicio del revisor</w:t>
            </w:r>
          </w:p>
        </w:tc>
      </w:tr>
      <w:tr>
        <w:tc>
          <w:tcPr>
            <w:tcW w:type="dxa" w:w="1624"/>
          </w:tcPr>
          <w:p>
            <w:r>
              <w:rPr>
                <w:b w:val="0"/>
                <w:sz w:val="18"/>
              </w:rPr>
              <w:t>E0034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67,2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Riesgo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43,3 %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Correcto; caso evidente</w:t>
            </w:r>
          </w:p>
        </w:tc>
      </w:tr>
      <w:tr>
        <w:tc>
          <w:tcPr>
            <w:tcW w:type="dxa" w:w="1624"/>
          </w:tcPr>
          <w:p>
            <w:r>
              <w:rPr>
                <w:b w:val="0"/>
                <w:sz w:val="18"/>
              </w:rPr>
              <w:t>E0171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82,2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0,94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Riesgo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49,6 %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Correcto; 10 ausencias en 2 semanas</w:t>
            </w:r>
          </w:p>
        </w:tc>
      </w:tr>
      <w:tr>
        <w:tc>
          <w:tcPr>
            <w:tcW w:type="dxa" w:w="1624"/>
          </w:tcPr>
          <w:p>
            <w:r>
              <w:rPr>
                <w:b w:val="0"/>
                <w:sz w:val="18"/>
              </w:rPr>
              <w:t>E0262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85,7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0,62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Riesgo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48,7 %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Correcto; la regla manual no lo marcaba</w:t>
            </w:r>
          </w:p>
        </w:tc>
      </w:tr>
      <w:tr>
        <w:tc>
          <w:tcPr>
            <w:tcW w:type="dxa" w:w="1624"/>
          </w:tcPr>
          <w:p>
            <w:r>
              <w:rPr>
                <w:b w:val="0"/>
                <w:sz w:val="18"/>
              </w:rPr>
              <w:t>E0403 (sin celular)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75,4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0,82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Riesgo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40,7 %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Correcto</w:t>
            </w:r>
          </w:p>
        </w:tc>
      </w:tr>
      <w:tr>
        <w:tc>
          <w:tcPr>
            <w:tcW w:type="dxa" w:w="1624"/>
          </w:tcPr>
          <w:p>
            <w:r>
              <w:rPr>
                <w:b w:val="0"/>
                <w:sz w:val="18"/>
              </w:rPr>
              <w:t>E0302 (sin celular)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80,8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0,51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Riesgo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80,0 %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Falso positivo en el borde; aceptable</w:t>
            </w:r>
          </w:p>
        </w:tc>
      </w:tr>
      <w:tr>
        <w:tc>
          <w:tcPr>
            <w:tcW w:type="dxa" w:w="1624"/>
          </w:tcPr>
          <w:p>
            <w:r>
              <w:rPr>
                <w:b w:val="0"/>
                <w:sz w:val="18"/>
              </w:rPr>
              <w:t>E0396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95,8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0,71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Riesgo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83,1 %</w:t>
            </w:r>
          </w:p>
        </w:tc>
        <w:tc>
          <w:tcPr>
            <w:tcW w:type="dxa" w:w="1624"/>
          </w:tcPr>
          <w:p>
            <w:r>
              <w:rPr>
                <w:b w:val="0"/>
                <w:sz w:val="18"/>
              </w:rPr>
              <w:t>Falso positivo: tardanzas altas, pero asiste</w:t>
            </w:r>
          </w:p>
        </w:tc>
      </w:tr>
      <w:tr>
        <w:tc>
          <w:tcPr>
            <w:tcW w:type="dxa" w:w="9744"/>
            <w:gridSpan w:val="6"/>
          </w:tcPr>
          <w:p>
            <w:r>
              <w:rPr>
                <w:b w:val="0"/>
                <w:sz w:val="18"/>
              </w:rPr>
              <w:t>+ 19 casos más (tabla completa en el notebook): 17 sin riesgo correctamente descartados, 1 en riesgo detectado (E0029) y 1 falso positivo en el borde (E0210).</w:t>
            </w:r>
          </w:p>
        </w:tc>
      </w:tr>
    </w:tbl>
    <w:p>
      <w:pPr>
        <w:pStyle w:val="Heading2"/>
      </w:pPr>
      <w:r>
        <w:t>3. Casos edge: dónde falla el modelo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Caso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Qué pasó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Por qué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E0158 · prob. 0,13, real 76,9 %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Falso negativo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Su caída empieza en la semana 9: en las semanas 1-8 no hay ninguna señal. Ningún modelo semanal puede verlo en la semana 8 → hay que re-calcular cada semana.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E0144 · prob. 0,08, real 79,8 %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Falso negativo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4 faltas justificadas y quedó a 0,2 pp del umbral: caso de frontera.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E0373 · prob. 0,98, real 85,5 %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Falso positivo con alta confianza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Cayó fuerte desde la semana 3 y luego se estabilizó. El modelo no sabe si hubo intervención: una alerta exitosa “parece” un error .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E0063 (sin celular) · prob. 0,21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Falso negativo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Caída tardía (semana 11) en un grupo con datos más ruidosos.</w:t>
            </w:r>
          </w:p>
        </w:tc>
      </w:tr>
    </w:tbl>
    <w:p>
      <w:r>
        <w:t>Equidad por grupo (prueba): con celular, recall 0,92 y falsos positivos 0,20; sin celular, recall 0,60 y falsos positivos 0,45 (n = 16, muestra pequeña). Jornada mañana, recall 1,00; tarde, 0,73. Ver Entregable 6.</w:t>
      </w:r>
    </w:p>
    <w:p>
      <w:pPr>
        <w:pStyle w:val="Heading2"/>
      </w:pPr>
      <w:r>
        <w:t>4. Comparación: ¿es mejor que hacerlo manualmente?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Antes (regla manual)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Después (modelo)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Estudiantes en riesgo detectados (de 31)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16 (52 %)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27 (87 %)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Falsas alarmas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Momento de la alerta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Semanal o al cierre, según disponibilidad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Automática cada semana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Tiempo de coordinación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~6 h/semana revisando Excel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~1,5 h/semana revisando una lista priorizada</w:t>
            </w:r>
          </w:p>
        </w:tc>
      </w:tr>
    </w:tbl>
    <w:p>
      <w:r>
        <w:t>Sí es mejor: detecta 11 estudiantes más a cambio de 6 falsas alarmas adicionales, y cada falsa alarma cuesta una conversación de 10 minutos.</w:t>
      </w:r>
    </w:p>
    <w:p>
      <w:pPr>
        <w:pStyle w:val="Heading2"/>
      </w:pPr>
      <w:r>
        <w:t>5. Lecciones aprendidas</w:t>
      </w:r>
    </w:p>
    <w:p>
      <w:pPr>
        <w:pStyle w:val="ListBullet"/>
      </w:pPr>
      <w:r>
        <w:t>Bien: separar la captura (QR, determinista) de la predicción (ML) permitió reutilizar datos limpios; la tardanza resultó ser la señal temprana más fuerte.</w:t>
      </w:r>
    </w:p>
    <w:p>
      <w:pPr>
        <w:pStyle w:val="ListBullet"/>
      </w:pPr>
      <w:r>
        <w:t>A mejorar: la importancia de la tardanza (0,51) depende de un supuesto de la simulación y debe confirmarse con datos reales; la etiqueta hereda el sesgo de registro de los estudiantes sin celular.</w:t>
      </w:r>
    </w:p>
    <w:p>
      <w:pPr>
        <w:pStyle w:val="Heading2"/>
      </w:pPr>
      <w:r>
        <w:t>6. Recomendaciones para producción</w:t>
      </w:r>
    </w:p>
    <w:p>
      <w:pPr>
        <w:pStyle w:val="ListNumber"/>
      </w:pPr>
      <w:r>
        <w:t>Reentrenar con el primer periodo real cerrado y comparar contra estas métricas.</w:t>
      </w:r>
    </w:p>
    <w:p>
      <w:pPr>
        <w:pStyle w:val="ListNumber"/>
      </w:pPr>
      <w:r>
        <w:t>Calcular el riesgo cada semana , no solo en la semana 8 (resuelve casos como E0158).</w:t>
      </w:r>
    </w:p>
    <w:p>
      <w:pPr>
        <w:pStyle w:val="ListNumber"/>
      </w:pPr>
      <w:r>
        <w:t>Usar umbral 0,4 y mostrar los 3 factores que más pesaron en cada alerta.</w:t>
      </w:r>
    </w:p>
    <w:p>
      <w:pPr>
        <w:pStyle w:val="ListNumber"/>
      </w:pPr>
      <w:r>
        <w:t>Antes de usar el modelo, corregir el sesgo de origen: recordatorio al docente para marcar a mano a quien no tiene celular.</w:t>
      </w:r>
    </w:p>
    <w:p>
      <w:pPr>
        <w:pStyle w:val="ListNumber"/>
      </w:pPr>
      <w:r>
        <w:t>Registrar la intervención realizada para medir su efecto y no confundirla con un error del modelo.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