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DOCUMENTO DE LIQUIDACIÓN Y FINIQUITO</w:t>
      </w:r>
    </w:p>
    <w:p>
      <w:r>
        <w:rPr>
          <w:b/>
        </w:rPr>
        <w:t>ESTUDIO WEB M</w:t>
      </w:r>
    </w:p>
    <w:p>
      <w:r>
        <w:t>Titular: David Ortega Montesinos</w:t>
      </w:r>
    </w:p>
    <w:p>
      <w:r>
        <w:t>NIF: 12345678-Z</w:t>
      </w:r>
    </w:p>
    <w:p>
      <w:r>
        <w:t>Centro de trabajo: Calle Llull 120, 08005 Barcelona</w:t>
      </w:r>
    </w:p>
    <w:p/>
    <w:p>
      <w:r>
        <w:rPr>
          <w:b/>
        </w:rPr>
        <w:t xml:space="preserve">Trabajadora: </w:t>
      </w:r>
      <w:r>
        <w:t>Juana González Palma</w:t>
      </w:r>
    </w:p>
    <w:p>
      <w:r>
        <w:rPr>
          <w:b/>
        </w:rPr>
        <w:t xml:space="preserve">DNI: </w:t>
      </w:r>
      <w:r>
        <w:t>48273615-H</w:t>
      </w:r>
    </w:p>
    <w:p>
      <w:r>
        <w:rPr>
          <w:b/>
        </w:rPr>
        <w:t xml:space="preserve">Puesto: </w:t>
      </w:r>
      <w:r>
        <w:t>Asistente administrativa / Auxiliar administrativa, Nivel 9</w:t>
      </w:r>
    </w:p>
    <w:p>
      <w:r>
        <w:rPr>
          <w:b/>
        </w:rPr>
        <w:t xml:space="preserve">Fecha de inicio de la relación laboral: </w:t>
      </w:r>
      <w:r>
        <w:t>1 de junio de 2026</w:t>
      </w:r>
    </w:p>
    <w:p>
      <w:r>
        <w:rPr>
          <w:b/>
        </w:rPr>
        <w:t xml:space="preserve">Fecha de extinción: </w:t>
      </w:r>
      <w:r>
        <w:t>30 de junio de 2028</w:t>
      </w:r>
    </w:p>
    <w:p>
      <w:r>
        <w:t>Con motivo de la extinción de la relación laboral en la fecha indicada, se procede a la liquidación de las cantidades devengadas y pendientes de pago. Para este supuesto académico se mantienen las condiciones retributivas utilizadas en el caso, al no disponerse de las tablas salariales que pudieran resultar aplicables en junio de 2028.</w:t>
      </w:r>
    </w:p>
    <w:tbl>
      <w:tblPr>
        <w:tblStyle w:val="TableGrid"/>
        <w:tblW w:type="auto" w:w="0"/>
        <w:tblLook w:firstColumn="1" w:firstRow="1" w:lastColumn="0" w:lastRow="0" w:noHBand="0" w:noVBand="1" w:val="04A0"/>
      </w:tblPr>
      <w:tblGrid>
        <w:gridCol w:w="4419"/>
        <w:gridCol w:w="4419"/>
      </w:tblGrid>
      <w:tr>
        <w:tc>
          <w:tcPr>
            <w:tcW w:type="dxa" w:w="4419"/>
          </w:tcPr>
          <w:p>
            <w:r>
              <w:rPr>
                <w:rFonts w:ascii="Arial" w:hAnsi="Arial"/>
                <w:sz w:val="20"/>
              </w:rPr>
              <w:t>Concepto</w:t>
            </w:r>
          </w:p>
        </w:tc>
        <w:tc>
          <w:tcPr>
            <w:tcW w:type="dxa" w:w="4419"/>
          </w:tcPr>
          <w:p>
            <w:r>
              <w:rPr>
                <w:rFonts w:ascii="Arial" w:hAnsi="Arial"/>
                <w:sz w:val="20"/>
              </w:rPr>
              <w:t>Importe (€)</w:t>
            </w:r>
          </w:p>
        </w:tc>
      </w:tr>
      <w:tr>
        <w:tc>
          <w:tcPr>
            <w:tcW w:type="dxa" w:w="4419"/>
          </w:tcPr>
          <w:p>
            <w:r>
              <w:rPr>
                <w:rFonts w:ascii="Arial" w:hAnsi="Arial"/>
                <w:sz w:val="20"/>
              </w:rPr>
              <w:t>Salario y complementos correspondientes a junio de 2028</w:t>
            </w:r>
          </w:p>
        </w:tc>
        <w:tc>
          <w:tcPr>
            <w:tcW w:type="dxa" w:w="4419"/>
          </w:tcPr>
          <w:p>
            <w:r>
              <w:rPr>
                <w:rFonts w:ascii="Arial" w:hAnsi="Arial"/>
                <w:sz w:val="20"/>
              </w:rPr>
              <w:t>1.522,95</w:t>
            </w:r>
          </w:p>
        </w:tc>
      </w:tr>
      <w:tr>
        <w:tc>
          <w:tcPr>
            <w:tcW w:type="dxa" w:w="4419"/>
          </w:tcPr>
          <w:p>
            <w:r>
              <w:rPr>
                <w:rFonts w:ascii="Arial" w:hAnsi="Arial"/>
                <w:sz w:val="20"/>
              </w:rPr>
              <w:t>Vacaciones devengadas y no disfrutadas: 5 días</w:t>
            </w:r>
          </w:p>
        </w:tc>
        <w:tc>
          <w:tcPr>
            <w:tcW w:type="dxa" w:w="4419"/>
          </w:tcPr>
          <w:p>
            <w:r>
              <w:rPr>
                <w:rFonts w:ascii="Arial" w:hAnsi="Arial"/>
                <w:sz w:val="20"/>
              </w:rPr>
              <w:t>292,39</w:t>
            </w:r>
          </w:p>
        </w:tc>
      </w:tr>
      <w:tr>
        <w:tc>
          <w:tcPr>
            <w:tcW w:type="dxa" w:w="4419"/>
          </w:tcPr>
          <w:p>
            <w:r>
              <w:rPr>
                <w:rFonts w:ascii="Arial" w:hAnsi="Arial"/>
                <w:sz w:val="20"/>
              </w:rPr>
              <w:t>Parte proporcional pendiente de pagas extraordinarias</w:t>
            </w:r>
          </w:p>
        </w:tc>
        <w:tc>
          <w:tcPr>
            <w:tcW w:type="dxa" w:w="4419"/>
          </w:tcPr>
          <w:p>
            <w:r>
              <w:rPr>
                <w:rFonts w:ascii="Arial" w:hAnsi="Arial"/>
                <w:sz w:val="20"/>
              </w:rPr>
              <w:t>0,00</w:t>
            </w:r>
          </w:p>
        </w:tc>
      </w:tr>
      <w:tr>
        <w:tc>
          <w:tcPr>
            <w:tcW w:type="dxa" w:w="4419"/>
          </w:tcPr>
          <w:p>
            <w:r>
              <w:rPr>
                <w:rFonts w:ascii="Arial" w:hAnsi="Arial"/>
                <w:sz w:val="20"/>
              </w:rPr>
              <w:t>FINIQUITO BRUTO</w:t>
            </w:r>
          </w:p>
        </w:tc>
        <w:tc>
          <w:tcPr>
            <w:tcW w:type="dxa" w:w="4419"/>
          </w:tcPr>
          <w:p>
            <w:r>
              <w:rPr>
                <w:rFonts w:ascii="Arial" w:hAnsi="Arial"/>
                <w:sz w:val="20"/>
              </w:rPr>
              <w:t>1.815,34</w:t>
            </w:r>
          </w:p>
        </w:tc>
      </w:tr>
      <w:tr>
        <w:tc>
          <w:tcPr>
            <w:tcW w:type="dxa" w:w="4419"/>
          </w:tcPr>
          <w:p>
            <w:r>
              <w:rPr>
                <w:rFonts w:ascii="Arial" w:hAnsi="Arial"/>
                <w:sz w:val="20"/>
              </w:rPr>
              <w:t>Deducciones de Seguridad Social</w:t>
            </w:r>
          </w:p>
        </w:tc>
        <w:tc>
          <w:tcPr>
            <w:tcW w:type="dxa" w:w="4419"/>
          </w:tcPr>
          <w:p>
            <w:r>
              <w:rPr>
                <w:rFonts w:ascii="Arial" w:hAnsi="Arial"/>
                <w:sz w:val="20"/>
              </w:rPr>
              <w:t>Según tipos vigentes en junio de 2028</w:t>
            </w:r>
          </w:p>
        </w:tc>
      </w:tr>
      <w:tr>
        <w:tc>
          <w:tcPr>
            <w:tcW w:type="dxa" w:w="4419"/>
          </w:tcPr>
          <w:p>
            <w:r>
              <w:rPr>
                <w:rFonts w:ascii="Arial" w:hAnsi="Arial"/>
                <w:sz w:val="20"/>
              </w:rPr>
              <w:t>Retención de IRPF</w:t>
            </w:r>
          </w:p>
        </w:tc>
        <w:tc>
          <w:tcPr>
            <w:tcW w:type="dxa" w:w="4419"/>
          </w:tcPr>
          <w:p>
            <w:r>
              <w:rPr>
                <w:rFonts w:ascii="Arial" w:hAnsi="Arial"/>
                <w:sz w:val="20"/>
              </w:rPr>
              <w:t>Según situación fiscal y normativa vigente en junio de 2028</w:t>
            </w:r>
          </w:p>
        </w:tc>
      </w:tr>
      <w:tr>
        <w:tc>
          <w:tcPr>
            <w:tcW w:type="dxa" w:w="4419"/>
          </w:tcPr>
          <w:p>
            <w:r>
              <w:rPr>
                <w:rFonts w:ascii="Arial" w:hAnsi="Arial"/>
                <w:sz w:val="20"/>
              </w:rPr>
              <w:t>LÍQUIDO DEL FINIQUITO</w:t>
            </w:r>
          </w:p>
        </w:tc>
        <w:tc>
          <w:tcPr>
            <w:tcW w:type="dxa" w:w="4419"/>
          </w:tcPr>
          <w:p>
            <w:r>
              <w:rPr>
                <w:rFonts w:ascii="Arial" w:hAnsi="Arial"/>
                <w:sz w:val="20"/>
              </w:rPr>
              <w:t>A determinar conforme a normativa vigente</w:t>
            </w:r>
          </w:p>
        </w:tc>
      </w:tr>
      <w:tr>
        <w:tc>
          <w:tcPr>
            <w:tcW w:type="dxa" w:w="4419"/>
          </w:tcPr>
          <w:p>
            <w:r>
              <w:rPr>
                <w:rFonts w:ascii="Arial" w:hAnsi="Arial"/>
                <w:sz w:val="20"/>
              </w:rPr>
              <w:t>Indemnización legal por despido objetivo</w:t>
            </w:r>
          </w:p>
        </w:tc>
        <w:tc>
          <w:tcPr>
            <w:tcW w:type="dxa" w:w="4419"/>
          </w:tcPr>
          <w:p>
            <w:r>
              <w:rPr>
                <w:rFonts w:ascii="Arial" w:hAnsi="Arial"/>
                <w:sz w:val="20"/>
              </w:rPr>
              <w:t>2.436,56</w:t>
            </w:r>
          </w:p>
        </w:tc>
      </w:tr>
      <w:tr>
        <w:tc>
          <w:tcPr>
            <w:tcW w:type="dxa" w:w="4419"/>
          </w:tcPr>
          <w:p>
            <w:r>
              <w:rPr>
                <w:rFonts w:ascii="Arial" w:hAnsi="Arial"/>
                <w:sz w:val="20"/>
              </w:rPr>
              <w:t>TOTAL BRUTO DE LA LIQUIDACIÓN</w:t>
            </w:r>
          </w:p>
        </w:tc>
        <w:tc>
          <w:tcPr>
            <w:tcW w:type="dxa" w:w="4419"/>
          </w:tcPr>
          <w:p>
            <w:r>
              <w:rPr>
                <w:rFonts w:ascii="Arial" w:hAnsi="Arial"/>
                <w:sz w:val="20"/>
              </w:rPr>
              <w:t>4.251,90</w:t>
            </w:r>
          </w:p>
        </w:tc>
      </w:tr>
    </w:tbl>
    <w:p>
      <w:r>
        <w:t>La indemnización se presenta separadamente de los conceptos salariales del finiquito. Las deducciones que procedan se aplicarán únicamente a los conceptos legalmente sujetos a ellas conforme a la normativa vigente en la fecha efectiva de extinción.</w:t>
      </w:r>
    </w:p>
    <w:p>
      <w:r>
        <w:t>La trabajadora declara recibir el presente documento de liquidación, sin que la firma de recepción implique necesariamente conformidad con su contenido ni renuncia a los derechos que legalmente pudieran corresponderle.</w:t>
      </w:r>
    </w:p>
    <w:p>
      <w:r>
        <w:t>Barcelona, 30 de junio de 2028.</w:t>
      </w:r>
    </w:p>
    <w:tbl>
      <w:tblPr>
        <w:tblW w:type="auto" w:w="0"/>
        <w:tblLayout w:type="autofit"/>
        <w:tblLook w:firstColumn="1" w:firstRow="1" w:lastColumn="0" w:lastRow="0" w:noHBand="0" w:noVBand="1" w:val="04A0"/>
      </w:tblPr>
      <w:tblGrid>
        <w:gridCol w:w="4419"/>
        <w:gridCol w:w="4419"/>
      </w:tblGrid>
      <w:tr>
        <w:tc>
          <w:tcPr>
            <w:tcW w:type="dxa" w:w="4419"/>
          </w:tcPr>
          <w:p>
            <w:r>
              <w:rPr>
                <w:rFonts w:ascii="Arial" w:hAnsi="Arial"/>
                <w:sz w:val="20"/>
              </w:rPr>
              <w:br/>
              <w:br/>
              <w:t>____________________________</w:t>
            </w:r>
          </w:p>
        </w:tc>
        <w:tc>
          <w:tcPr>
            <w:tcW w:type="dxa" w:w="4419"/>
          </w:tcPr>
          <w:p>
            <w:r>
              <w:rPr>
                <w:rFonts w:ascii="Arial" w:hAnsi="Arial"/>
                <w:sz w:val="20"/>
              </w:rPr>
              <w:br/>
              <w:br/>
              <w:t>____________________________</w:t>
            </w:r>
          </w:p>
        </w:tc>
      </w:tr>
      <w:tr>
        <w:tc>
          <w:tcPr>
            <w:tcW w:type="dxa" w:w="4419"/>
          </w:tcPr>
          <w:p>
            <w:pPr>
              <w:jc w:val="center"/>
            </w:pPr>
            <w:r>
              <w:rPr>
                <w:rFonts w:ascii="Arial" w:hAnsi="Arial"/>
                <w:sz w:val="20"/>
              </w:rPr>
              <w:t>Por Estudio Web M</w:t>
              <w:br/>
              <w:t>David Ortega Montesinos</w:t>
            </w:r>
          </w:p>
        </w:tc>
        <w:tc>
          <w:tcPr>
            <w:tcW w:type="dxa" w:w="4419"/>
          </w:tcPr>
          <w:p>
            <w:pPr>
              <w:jc w:val="center"/>
            </w:pPr>
            <w:r>
              <w:rPr>
                <w:rFonts w:ascii="Arial" w:hAnsi="Arial"/>
                <w:sz w:val="20"/>
              </w:rPr>
              <w:t>La trabajadora</w:t>
              <w:br/>
              <w:t>Juana González Palma</w:t>
            </w:r>
          </w:p>
        </w:tc>
      </w:tr>
    </w:tbl>
    <w:p>
      <w:r>
        <w:rPr>
          <w:b/>
        </w:rPr>
        <w:t xml:space="preserve">Nota académica: </w:t>
      </w:r>
      <w:r>
        <w:t>los datos identificativos no proporcionados en el enunciado han sido recreados exclusivamente con fines académicos. Los importes se corresponden con los cálculos desarrollados para el caso práctico.</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