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1E3A8A"/>
          <w:sz w:val="48"/>
        </w:rPr>
        <w:t>Guide Pratique &amp; Mode d'Emploi : Libérer Votre Potentiel Créatif</w:t>
      </w:r>
    </w:p>
    <w:p>
      <w:pPr>
        <w:spacing w:after="400"/>
      </w:pPr>
      <w:r>
        <w:rPr>
          <w:i/>
          <w:color w:val="64748B"/>
          <w:sz w:val="22"/>
        </w:rPr>
        <w:t>Document de Synthèse Opérationnelle &amp; Pratique | Stratégies pour Innover dans un Monde Hyper-Connecté / Date / Client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F1F5F9"/>
          </w:tcPr>
          <w:p>
            <w:r>
              <w:rPr>
                <w:color w:val="64748B"/>
                <w:sz w:val="19"/>
              </w:rPr>
              <w:t>Format : Guide Opérationnel</w:t>
            </w:r>
          </w:p>
        </w:tc>
        <w:tc>
          <w:tcPr>
            <w:tcW w:type="dxa" w:w="3120"/>
            <w:shd w:fill="F1F5F9"/>
          </w:tcPr>
          <w:p>
            <w:r>
              <w:rPr>
                <w:color w:val="64748B"/>
                <w:sz w:val="19"/>
              </w:rPr>
              <w:t>Usage : Équipes &amp; Direction</w:t>
            </w:r>
          </w:p>
        </w:tc>
        <w:tc>
          <w:tcPr>
            <w:tcW w:type="dxa" w:w="3120"/>
            <w:shd w:fill="F1F5F9"/>
          </w:tcPr>
          <w:p>
            <w:r>
              <w:rPr>
                <w:color w:val="64748B"/>
                <w:sz w:val="19"/>
              </w:rPr>
              <w:t>Origine : Restitution Vidéo</w:t>
            </w:r>
          </w:p>
        </w:tc>
      </w:tr>
    </w:tbl>
    <w:p>
      <w:pPr>
        <w:spacing w:after="280"/>
      </w:pPr>
    </w:p>
    <w:p>
      <w:pPr>
        <w:pStyle w:val="Heading1"/>
        <w:spacing w:before="320" w:after="160"/>
      </w:pPr>
      <w:r>
        <w:rPr>
          <w:b/>
          <w:color w:val="1E3A8A"/>
          <w:sz w:val="32"/>
        </w:rPr>
        <w:t>1. Contexte &amp; Enjeux Stratégiques</w:t>
      </w:r>
    </w:p>
    <w:p>
      <w:pPr>
        <w:spacing w:line="288" w:lineRule="auto" w:after="160"/>
      </w:pPr>
      <w:r>
        <w:rPr>
          <w:color w:val="334155"/>
          <w:sz w:val="22"/>
        </w:rPr>
        <w:t>Dans un monde où l'information circule à une vitesse fulgurante, il est crucial de trouver des moyens de stimuler notre créativité.</w:t>
      </w:r>
    </w:p>
    <w:p>
      <w:pPr>
        <w:spacing w:line="288" w:lineRule="auto" w:after="160"/>
      </w:pPr>
      <w:r>
        <w:rPr>
          <w:color w:val="334155"/>
          <w:sz w:val="22"/>
        </w:rPr>
        <w:t>Chris Lewis, dans son livre *Too Fast to Think*, met en lumière les défis que pose cette hyper-connectivité sur notre capacité à innover.</w:t>
      </w:r>
    </w:p>
    <w:p>
      <w:pPr>
        <w:pStyle w:val="ListBullet"/>
        <w:spacing w:after="80"/>
      </w:pPr>
      <w:r>
        <w:rPr>
          <w:color w:val="334155"/>
          <w:sz w:val="21"/>
        </w:rPr>
        <w:t>L'importance de la créativité dans un environnement professionnel compétitif.</w:t>
      </w:r>
    </w:p>
    <w:p>
      <w:pPr>
        <w:pStyle w:val="ListBullet"/>
        <w:spacing w:after="80"/>
      </w:pPr>
      <w:r>
        <w:rPr>
          <w:color w:val="334155"/>
          <w:sz w:val="21"/>
        </w:rPr>
        <w:t>Les effets néfastes du stress et de la surcharge d'informations sur la pensée créative.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</w:tcPr>
          <w:p>
            <w:pPr>
              <w:spacing w:after="40"/>
            </w:pPr>
            <w:r>
              <w:rPr>
                <w:i/>
                <w:color w:val="0284C7"/>
                <w:sz w:val="20"/>
              </w:rPr>
              <w:t>📌 Point de vigilance : Ne pas négliger le temps de déconnexion.</w:t>
            </w:r>
          </w:p>
        </w:tc>
      </w:tr>
    </w:tbl>
    <w:p>
      <w:pPr>
        <w:spacing w:after="160"/>
      </w:pP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6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keyframe_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6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8"/>
        </w:rPr>
        <w:t>Illustration : slide_keyframe_01.jpg</w:t>
      </w:r>
    </w:p>
    <w:p>
      <w:pPr>
        <w:pStyle w:val="Heading1"/>
        <w:spacing w:before="320" w:after="160"/>
      </w:pPr>
      <w:r>
        <w:rPr>
          <w:b/>
          <w:color w:val="1E3A8A"/>
          <w:sz w:val="32"/>
        </w:rPr>
        <w:t>2. Mode d'Emploi &amp; Démarche Pas-à-Pas</w:t>
      </w:r>
    </w:p>
    <w:p>
      <w:pPr>
        <w:spacing w:line="288" w:lineRule="auto" w:after="160"/>
      </w:pPr>
      <w:r>
        <w:rPr>
          <w:color w:val="334155"/>
          <w:sz w:val="22"/>
        </w:rPr>
        <w:t>Pour libérer votre créativité, suivez ces trois stratégies clés :</w:t>
      </w:r>
    </w:p>
    <w:p>
      <w:pPr>
        <w:spacing w:line="288" w:lineRule="auto" w:after="160"/>
      </w:pPr>
      <w:r>
        <w:rPr>
          <w:color w:val="334155"/>
          <w:sz w:val="22"/>
        </w:rPr>
        <w:t>1. **Trouver le Silence** : Accordez-vous des moments de calme pour réfléchir et laisser votre esprit vagabonder.</w:t>
      </w:r>
    </w:p>
    <w:p>
      <w:pPr>
        <w:spacing w:line="288" w:lineRule="auto" w:after="160"/>
      </w:pPr>
      <w:r>
        <w:rPr>
          <w:color w:val="334155"/>
          <w:sz w:val="22"/>
        </w:rPr>
        <w:t>2. **Exploiter le Pouvoir des Rêves** : Laissez libre cours à votre imagination sans jugement.</w:t>
      </w:r>
    </w:p>
    <w:p>
      <w:pPr>
        <w:spacing w:line="288" w:lineRule="auto" w:after="160"/>
      </w:pPr>
      <w:r>
        <w:rPr>
          <w:color w:val="334155"/>
          <w:sz w:val="22"/>
        </w:rPr>
        <w:t>3. **Lâcher Prise** : Acceptez l'imperfection et priorisez votre bien-être.</w:t>
      </w:r>
    </w:p>
    <w:p>
      <w:pPr>
        <w:pStyle w:val="ListBullet"/>
        <w:spacing w:after="80"/>
      </w:pPr>
      <w:r>
        <w:rPr>
          <w:color w:val="334155"/>
          <w:sz w:val="21"/>
        </w:rPr>
        <w:t>Étape 1 : Créez des moments de silence dans votre journée.</w:t>
      </w:r>
    </w:p>
    <w:p>
      <w:pPr>
        <w:pStyle w:val="ListBullet"/>
        <w:spacing w:after="80"/>
      </w:pPr>
      <w:r>
        <w:rPr>
          <w:color w:val="334155"/>
          <w:sz w:val="21"/>
        </w:rPr>
        <w:t>Étape 2 : Pratiquez des activités créatives sans contraintes.</w:t>
      </w:r>
    </w:p>
    <w:p>
      <w:pPr>
        <w:pStyle w:val="ListBullet"/>
        <w:spacing w:after="80"/>
      </w:pPr>
      <w:r>
        <w:rPr>
          <w:color w:val="334155"/>
          <w:sz w:val="21"/>
        </w:rPr>
        <w:t>Étape 3 : Établissez des limites pour préserver votre énergie.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</w:tcPr>
          <w:p>
            <w:pPr>
              <w:spacing w:after="40"/>
            </w:pPr>
            <w:r>
              <w:rPr>
                <w:i/>
                <w:color w:val="0284C7"/>
                <w:sz w:val="20"/>
              </w:rPr>
              <w:t>📌 Bonne pratique : Intégrez des pauses créatives dans votre emploi du temps.</w:t>
            </w:r>
          </w:p>
        </w:tc>
      </w:tr>
    </w:tbl>
    <w:p>
      <w:pPr>
        <w:spacing w:after="160"/>
      </w:pP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8267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_keyframe_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6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4748B"/>
          <w:sz w:val="18"/>
        </w:rPr>
        <w:t>Illustration : slide_keyframe_02.jpg</w:t>
      </w:r>
    </w:p>
    <w:p>
      <w:pPr>
        <w:pStyle w:val="Heading1"/>
        <w:spacing w:before="320" w:after="160"/>
      </w:pPr>
      <w:r>
        <w:rPr>
          <w:b/>
          <w:color w:val="1E3A8A"/>
          <w:sz w:val="32"/>
        </w:rPr>
        <w:t>3. Décisions Clés &amp; Plan d'Action</w:t>
      </w:r>
    </w:p>
    <w:p>
      <w:pPr>
        <w:spacing w:line="288" w:lineRule="auto" w:after="160"/>
      </w:pPr>
      <w:r>
        <w:rPr>
          <w:color w:val="334155"/>
          <w:sz w:val="22"/>
        </w:rPr>
        <w:t>Pour mettre en œuvre ces stratégies, il est essentiel de prendre des décisions conscientes sur votre emploi du temps et vos priorités.</w:t>
      </w:r>
    </w:p>
    <w:p>
      <w:pPr>
        <w:spacing w:line="288" w:lineRule="auto" w:after="160"/>
      </w:pPr>
      <w:r>
        <w:rPr>
          <w:color w:val="334155"/>
          <w:sz w:val="22"/>
        </w:rPr>
        <w:t>Établissez un plan d'action qui inclut des moments de déconnexion, des activités créatives et des pratiques de bien-être.</w:t>
      </w:r>
    </w:p>
    <w:p>
      <w:pPr>
        <w:pStyle w:val="ListBullet"/>
        <w:spacing w:after="80"/>
      </w:pPr>
      <w:r>
        <w:rPr>
          <w:color w:val="334155"/>
          <w:sz w:val="21"/>
        </w:rPr>
        <w:t>Action 1 : Planifiez des pauses régulières dans votre journée.</w:t>
      </w:r>
    </w:p>
    <w:p>
      <w:pPr>
        <w:pStyle w:val="ListBullet"/>
        <w:spacing w:after="80"/>
      </w:pPr>
      <w:r>
        <w:rPr>
          <w:color w:val="334155"/>
          <w:sz w:val="21"/>
        </w:rPr>
        <w:t>Action 2 : Engagez-vous dans des activités qui nourrissent votre créativité.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