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/>
          <w:bCs/>
        </w:rPr>
        <w:t xml:space="preserve">Disability-Related SS/SSI Receipt and Per-Capita Income, by Immigration Status (2025)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CPS ASEC, 2025 (income year 2024). SS and SSI restricted to disability/blindness reason codes (WHYSS, WHYSSI). Dollar figures are per-capita among the disabled population, including non-recipients.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500"/>
        <w:gridCol w:w="900"/>
        <w:gridCol w:w="900"/>
        <w:gridCol w:w="1500"/>
        <w:gridCol w:w="1500"/>
        <w:gridCol w:w="1300"/>
        <w:gridCol w:w="1300"/>
        <w:gridCol w:w="1400"/>
        <w:gridCol w:w="1200"/>
      </w:tblGrid>
      <w:tr>
        <w:trPr>
          <w:tblHeader/>
        </w:trPr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Disabled Pop.</w:t>
            </w:r>
          </w:p>
        </w:tc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 SS</w:t>
            </w:r>
          </w:p>
        </w:tc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 SSI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SS Recipient Pop.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SSI Recipient Pop.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 Capita SS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 Capita SSI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 Capita Other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 Capita Any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Native-born citizens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12,874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31,199,006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1,135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3,822,644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2,787,677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$2,181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$957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$613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$3,750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Legal immigrants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1,455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3,528,650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349,963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263,354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$1,794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$747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$412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$2,954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Illegal immigrants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365,954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$226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$226</w:t>
            </w:r>
          </w:p>
        </w:tc>
      </w:tr>
    </w:tbl>
    <w:p>
      <w:pPr>
        <w:spacing w:before="200"/>
      </w:pPr>
      <w:r>
        <w:rPr>
          <w:i/>
          <w:iCs/>
          <w:color w:val="777777"/>
          <w:sz w:val="16"/>
          <w:szCs w:val="16"/>
        </w:rPr>
        <w:t xml:space="preserve">Source: Authors' analysis of CPS ASEC (2025), via IPUMS.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2026-08-19T20:41:21.814Z</dcterms:created>
  <dcterms:modified xsi:type="dcterms:W3CDTF">2026-08-19T20:41:21.824Z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