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Style w:val="GlobalFund"/>
        <w:tblpPr w:leftFromText="181" w:rightFromText="181" w:vertAnchor="page" w:horzAnchor="page" w:tblpYSpec="top"/>
        <w:tblOverlap w:val="never"/>
        <w:tblW w:w="11901" w:type="dxa"/>
        <w:tblLayout w:type="fixed"/>
        <w:tblCellMar>
          <w:right w:w="0" w:type="dxa"/>
        </w:tblCellMar>
        <w:tblLook w:val="04A0" w:firstRow="1" w:lastRow="0" w:firstColumn="1" w:lastColumn="0" w:noHBand="0" w:noVBand="1"/>
      </w:tblPr>
      <w:tblGrid>
        <w:gridCol w:w="11901"/>
      </w:tblGrid>
      <w:tr w:rsidR="007043C7" w:rsidRPr="00B271DB" w14:paraId="33D35476" w14:textId="77777777" w:rsidTr="007F6CC2">
        <w:trPr>
          <w:cnfStyle w:val="100000000000" w:firstRow="1" w:lastRow="0" w:firstColumn="0" w:lastColumn="0" w:oddVBand="0" w:evenVBand="0" w:oddHBand="0" w:evenHBand="0" w:firstRowFirstColumn="0" w:firstRowLastColumn="0" w:lastRowFirstColumn="0" w:lastRowLastColumn="0"/>
          <w:trHeight w:hRule="exact" w:val="5103"/>
        </w:trPr>
        <w:tc>
          <w:tcPr>
            <w:tcW w:w="9638" w:type="dxa"/>
            <w:tcBorders>
              <w:bottom w:val="none" w:sz="0" w:space="0" w:color="auto"/>
            </w:tcBorders>
          </w:tcPr>
          <w:tbl>
            <w:tblPr>
              <w:tblStyle w:val="TableGrid"/>
              <w:tblpPr w:leftFromText="180" w:rightFromText="180" w:vertAnchor="text" w:horzAnchor="margin" w:tblpXSpec="center" w:tblpY="2284"/>
              <w:tblOverlap w:val="never"/>
              <w:tblW w:w="9298" w:type="dxa"/>
              <w:tblBorders>
                <w:top w:val="single" w:sz="6" w:space="0" w:color="1E1E1E" w:themeColor="background2"/>
                <w:left w:val="none" w:sz="0" w:space="0" w:color="auto"/>
                <w:bottom w:val="single" w:sz="6" w:space="0" w:color="1E1E1E" w:themeColor="background2"/>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298"/>
            </w:tblGrid>
            <w:tr w:rsidR="00AF19B0" w:rsidRPr="00B271DB" w14:paraId="3F26895E" w14:textId="77777777" w:rsidTr="009A6DE4">
              <w:tc>
                <w:tcPr>
                  <w:tcW w:w="9298" w:type="dxa"/>
                  <w:vAlign w:val="center"/>
                </w:tcPr>
                <w:p w14:paraId="6908ABDC" w14:textId="757CC16A" w:rsidR="00B175AC" w:rsidRPr="00B271DB" w:rsidRDefault="000824DB" w:rsidP="009B6C0D">
                  <w:pPr>
                    <w:pStyle w:val="CoverPageTitle"/>
                    <w:spacing w:before="0" w:after="0"/>
                    <w:rPr>
                      <w:color w:val="003F72"/>
                    </w:rPr>
                  </w:pPr>
                  <w:r>
                    <w:rPr>
                      <w:color w:val="003F72"/>
                    </w:rPr>
                    <w:t xml:space="preserve"> </w:t>
                  </w:r>
                  <w:r w:rsidR="009A6DE4" w:rsidRPr="00B271DB">
                    <w:rPr>
                      <w:color w:val="003F72"/>
                    </w:rPr>
                    <w:t>Funding Request</w:t>
                  </w:r>
                  <w:r w:rsidR="000E5BFC" w:rsidRPr="00B271DB">
                    <w:rPr>
                      <w:color w:val="003F72"/>
                    </w:rPr>
                    <w:t xml:space="preserve"> Form</w:t>
                  </w:r>
                </w:p>
                <w:p w14:paraId="0CB60D3D" w14:textId="1BD85F09" w:rsidR="00C11349" w:rsidRPr="00B271DB" w:rsidRDefault="00C11349" w:rsidP="009B6C0D">
                  <w:pPr>
                    <w:pStyle w:val="CoverPageTitle"/>
                    <w:spacing w:before="0" w:after="0"/>
                    <w:rPr>
                      <w:color w:val="003F72"/>
                      <w:sz w:val="40"/>
                      <w:szCs w:val="40"/>
                    </w:rPr>
                  </w:pPr>
                  <w:r w:rsidRPr="00B271DB">
                    <w:rPr>
                      <w:color w:val="003F72"/>
                      <w:sz w:val="40"/>
                      <w:szCs w:val="40"/>
                    </w:rPr>
                    <w:t xml:space="preserve">Allocation </w:t>
                  </w:r>
                  <w:r w:rsidR="00255C18">
                    <w:rPr>
                      <w:color w:val="003F72"/>
                      <w:sz w:val="40"/>
                      <w:szCs w:val="40"/>
                    </w:rPr>
                    <w:t>Period</w:t>
                  </w:r>
                  <w:r w:rsidRPr="00B271DB">
                    <w:rPr>
                      <w:color w:val="003F72"/>
                      <w:sz w:val="40"/>
                      <w:szCs w:val="40"/>
                    </w:rPr>
                    <w:t xml:space="preserve"> 202</w:t>
                  </w:r>
                  <w:r w:rsidR="005C25F4">
                    <w:rPr>
                      <w:color w:val="003F72"/>
                      <w:sz w:val="40"/>
                      <w:szCs w:val="40"/>
                    </w:rPr>
                    <w:t>1</w:t>
                  </w:r>
                  <w:r w:rsidRPr="00B271DB">
                    <w:rPr>
                      <w:color w:val="003F72"/>
                      <w:sz w:val="40"/>
                      <w:szCs w:val="40"/>
                    </w:rPr>
                    <w:t>-202</w:t>
                  </w:r>
                  <w:r w:rsidR="005C25F4">
                    <w:rPr>
                      <w:color w:val="003F72"/>
                      <w:sz w:val="40"/>
                      <w:szCs w:val="40"/>
                    </w:rPr>
                    <w:t>3</w:t>
                  </w:r>
                </w:p>
              </w:tc>
            </w:tr>
          </w:tbl>
          <w:p w14:paraId="4470BB6E" w14:textId="77777777" w:rsidR="007043C7" w:rsidRPr="00B271DB" w:rsidRDefault="00D2069F" w:rsidP="009B6C0D">
            <w:pPr>
              <w:pStyle w:val="NormalNoSpace"/>
              <w:jc w:val="center"/>
              <w:rPr>
                <w:caps w:val="0"/>
              </w:rPr>
            </w:pPr>
            <w:r w:rsidRPr="00B271DB">
              <w:rPr>
                <w:noProof/>
                <w:lang w:val="en-PH" w:eastAsia="en-PH"/>
              </w:rPr>
              <mc:AlternateContent>
                <mc:Choice Requires="wps">
                  <w:drawing>
                    <wp:anchor distT="0" distB="0" distL="114300" distR="114300" simplePos="0" relativeHeight="251658240" behindDoc="0" locked="0" layoutInCell="1" allowOverlap="1" wp14:anchorId="18AB035E" wp14:editId="0336A1DB">
                      <wp:simplePos x="0" y="0"/>
                      <wp:positionH relativeFrom="margin">
                        <wp:align>right</wp:align>
                      </wp:positionH>
                      <wp:positionV relativeFrom="margin">
                        <wp:align>center</wp:align>
                      </wp:positionV>
                      <wp:extent cx="574040" cy="10899648"/>
                      <wp:effectExtent l="0" t="0" r="0" b="0"/>
                      <wp:wrapNone/>
                      <wp:docPr id="203" name="Rectangle 203"/>
                      <wp:cNvGraphicFramePr/>
                      <a:graphic xmlns:a="http://schemas.openxmlformats.org/drawingml/2006/main">
                        <a:graphicData uri="http://schemas.microsoft.com/office/word/2010/wordprocessingShape">
                          <wps:wsp>
                            <wps:cNvSpPr/>
                            <wps:spPr>
                              <a:xfrm>
                                <a:off x="0" y="0"/>
                                <a:ext cx="574040" cy="10899648"/>
                              </a:xfrm>
                              <a:prstGeom prst="rect">
                                <a:avLst/>
                              </a:prstGeom>
                              <a:solidFill>
                                <a:srgbClr val="003F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9F123" w14:textId="2E9F262F" w:rsidR="008D5A79" w:rsidRPr="009F52F1" w:rsidRDefault="008D5A79" w:rsidP="0086619D">
                                  <w:pPr>
                                    <w:jc w:val="center"/>
                                    <w:rPr>
                                      <w:color w:val="FFFFFF" w:themeColor="background1"/>
                                      <w:sz w:val="48"/>
                                      <w:szCs w:val="48"/>
                                    </w:rPr>
                                  </w:pPr>
                                  <w:r>
                                    <w:rPr>
                                      <w:color w:val="FFFFFF" w:themeColor="background1"/>
                                      <w:sz w:val="48"/>
                                      <w:szCs w:val="48"/>
                                    </w:rPr>
                                    <w:t>Full Review</w:t>
                                  </w:r>
                                </w:p>
                              </w:txbxContent>
                            </wps:txbx>
                            <wps:bodyPr rot="0" spcFirstLastPara="0" vertOverflow="overflow" horzOverflow="overflow" vert="vert" wrap="square" lIns="91440" tIns="182880" rIns="109728"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B035E" id="Rectangle 203" o:spid="_x0000_s1026" style="position:absolute;left:0;text-align:left;margin-left:-6pt;margin-top:0;width:45.2pt;height:858.25pt;z-index:251658240;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" fillcolor="#003f72" stroked="f" strokeweight="1pt">
                      <v:textbox style="layout-flow:vertical" inset=",14.4pt,8.64pt,18pt">
                        <w:txbxContent>
                          <w:p w14:paraId="44A9F123" w14:textId="2E9F262F" w:rsidR="008D5A79" w:rsidRPr="009F52F1" w:rsidRDefault="008D5A79" w:rsidP="0086619D">
                            <w:pPr>
                              <w:jc w:val="center"/>
                              <w:rPr>
                                <w:color w:val="FFFFFF" w:themeColor="background1"/>
                                <w:sz w:val="48"/>
                                <w:szCs w:val="48"/>
                              </w:rPr>
                            </w:pPr>
                            <w:r>
                              <w:rPr>
                                <w:color w:val="FFFFFF" w:themeColor="background1"/>
                                <w:sz w:val="48"/>
                                <w:szCs w:val="48"/>
                              </w:rPr>
                              <w:t>Full Review</w:t>
                            </w:r>
                          </w:p>
                        </w:txbxContent>
                      </v:textbox>
                      <w10:wrap anchorx="margin" anchory="margin"/>
                    </v:rect>
                  </w:pict>
                </mc:Fallback>
              </mc:AlternateContent>
            </w:r>
          </w:p>
        </w:tc>
      </w:tr>
    </w:tbl>
    <w:p w14:paraId="4D5C031D" w14:textId="77777777" w:rsidR="007043C7" w:rsidRPr="00B271DB" w:rsidRDefault="007043C7" w:rsidP="009B6C0D">
      <w:pPr>
        <w:pStyle w:val="Tiny"/>
      </w:pPr>
      <w:bookmarkStart w:id="0" w:name="_Hlk14265535"/>
    </w:p>
    <w:p w14:paraId="5DF05DFA" w14:textId="77777777" w:rsidR="009A28E5" w:rsidRPr="00B271DB" w:rsidRDefault="009A28E5" w:rsidP="009B6C0D">
      <w:pPr>
        <w:spacing w:after="0"/>
      </w:pPr>
      <w:bookmarkStart w:id="1" w:name="_Hlk15390092"/>
    </w:p>
    <w:p w14:paraId="695235FB" w14:textId="2CCBA7EB" w:rsidR="009F52F1" w:rsidRPr="00B271DB" w:rsidRDefault="00E0219C" w:rsidP="009B6C0D">
      <w:pPr>
        <w:tabs>
          <w:tab w:val="left" w:pos="1925"/>
        </w:tabs>
        <w:spacing w:after="0"/>
      </w:pPr>
      <w:r>
        <w:tab/>
      </w:r>
    </w:p>
    <w:p w14:paraId="11EDC92F" w14:textId="77777777" w:rsidR="009F52F1" w:rsidRPr="00B271DB" w:rsidRDefault="009F52F1" w:rsidP="009B6C0D">
      <w:pPr>
        <w:spacing w:after="0"/>
      </w:pPr>
    </w:p>
    <w:p w14:paraId="6A4BD23C" w14:textId="77777777" w:rsidR="009F52F1" w:rsidRPr="00B271DB" w:rsidRDefault="009F52F1" w:rsidP="009B6C0D">
      <w:pPr>
        <w:spacing w:after="0"/>
      </w:pPr>
    </w:p>
    <w:p w14:paraId="79CD308B" w14:textId="77777777" w:rsidR="009F52F1" w:rsidRPr="00B271DB" w:rsidRDefault="009F52F1" w:rsidP="009B6C0D">
      <w:pPr>
        <w:spacing w:after="0"/>
      </w:pPr>
    </w:p>
    <w:p w14:paraId="4FCC4226" w14:textId="77777777" w:rsidR="009F52F1" w:rsidRPr="00B271DB" w:rsidRDefault="009F52F1" w:rsidP="009B6C0D">
      <w:pPr>
        <w:spacing w:after="0"/>
      </w:pPr>
    </w:p>
    <w:p w14:paraId="302C03B8" w14:textId="4E7B6848" w:rsidR="002F44D7" w:rsidRDefault="00F42618" w:rsidP="009B6C0D">
      <w:pPr>
        <w:spacing w:after="0"/>
        <w:rPr>
          <w:rFonts w:cs="Arial"/>
          <w:i/>
          <w:iCs/>
        </w:rPr>
      </w:pPr>
      <w:bookmarkStart w:id="2" w:name="_Hlk14265541"/>
      <w:bookmarkStart w:id="3" w:name="_Hlk15384019"/>
      <w:bookmarkEnd w:id="0"/>
      <w:r>
        <w:rPr>
          <w:rFonts w:cs="Arial"/>
          <w:i/>
          <w:iCs/>
        </w:rPr>
        <w:t>R</w:t>
      </w:r>
      <w:r w:rsidR="00FA73DE" w:rsidRPr="00B271DB">
        <w:rPr>
          <w:rFonts w:cs="Arial"/>
          <w:i/>
          <w:iCs/>
        </w:rPr>
        <w:t>efer to the “</w:t>
      </w:r>
      <w:r w:rsidR="005432BD">
        <w:rPr>
          <w:rFonts w:cs="Arial"/>
          <w:i/>
          <w:iCs/>
        </w:rPr>
        <w:t>Full Review</w:t>
      </w:r>
      <w:r w:rsidR="00FA73DE" w:rsidRPr="00B271DB">
        <w:rPr>
          <w:rFonts w:cs="Arial"/>
          <w:i/>
          <w:iCs/>
        </w:rPr>
        <w:t xml:space="preserve">” </w:t>
      </w:r>
      <w:r w:rsidR="00CA301B" w:rsidRPr="00B271DB">
        <w:rPr>
          <w:rFonts w:cs="Arial"/>
          <w:i/>
          <w:iCs/>
        </w:rPr>
        <w:t xml:space="preserve">Instructions </w:t>
      </w:r>
      <w:r w:rsidR="00FA73DE" w:rsidRPr="00B271DB">
        <w:rPr>
          <w:rFonts w:cs="Arial"/>
          <w:i/>
          <w:iCs/>
        </w:rPr>
        <w:t xml:space="preserve">to complete this </w:t>
      </w:r>
      <w:r w:rsidR="005441EB">
        <w:rPr>
          <w:rFonts w:cs="Arial"/>
          <w:i/>
          <w:iCs/>
        </w:rPr>
        <w:t>f</w:t>
      </w:r>
      <w:r w:rsidR="00FA73DE" w:rsidRPr="00B271DB">
        <w:rPr>
          <w:rFonts w:cs="Arial"/>
          <w:i/>
          <w:iCs/>
        </w:rPr>
        <w:t>orm.</w:t>
      </w:r>
    </w:p>
    <w:p w14:paraId="6F5C6806" w14:textId="77777777" w:rsidR="002F44D7" w:rsidRDefault="002F44D7" w:rsidP="009B6C0D">
      <w:pPr>
        <w:spacing w:after="0"/>
        <w:rPr>
          <w:rFonts w:cs="Arial"/>
          <w:i/>
          <w:iCs/>
        </w:rPr>
      </w:pPr>
    </w:p>
    <w:p w14:paraId="67247401" w14:textId="09F74640" w:rsidR="00304EE8" w:rsidRPr="005A02BE" w:rsidRDefault="009F52F1" w:rsidP="009B6C0D">
      <w:pPr>
        <w:pStyle w:val="Title"/>
        <w:spacing w:after="0"/>
        <w:rPr>
          <w:sz w:val="36"/>
          <w:szCs w:val="36"/>
        </w:rPr>
      </w:pPr>
      <w:bookmarkStart w:id="4" w:name="_Hlk15379923"/>
      <w:bookmarkEnd w:id="2"/>
      <w:r w:rsidRPr="005A02BE">
        <w:rPr>
          <w:rStyle w:val="Heading1Char"/>
          <w:rFonts w:cstheme="majorBidi"/>
          <w:b w:val="0"/>
          <w:bCs w:val="0"/>
          <w:noProof w:val="0"/>
          <w:sz w:val="36"/>
          <w:szCs w:val="36"/>
          <w:shd w:val="clear" w:color="auto" w:fill="auto"/>
        </w:rPr>
        <w:t>Summary Information</w:t>
      </w:r>
    </w:p>
    <w:tbl>
      <w:tblPr>
        <w:tblStyle w:val="TableGrid"/>
        <w:tblW w:w="0" w:type="auto"/>
        <w:tblLook w:val="04A0" w:firstRow="1" w:lastRow="0" w:firstColumn="1" w:lastColumn="0" w:noHBand="0" w:noVBand="1"/>
      </w:tblPr>
      <w:tblGrid>
        <w:gridCol w:w="4255"/>
        <w:gridCol w:w="5373"/>
      </w:tblGrid>
      <w:tr w:rsidR="0098553B" w:rsidRPr="00B271DB" w14:paraId="4A2FAC0B" w14:textId="77777777" w:rsidTr="00CD615D">
        <w:trPr>
          <w:trHeight w:val="461"/>
        </w:trPr>
        <w:tc>
          <w:tcPr>
            <w:tcW w:w="4320" w:type="dxa"/>
            <w:shd w:val="clear" w:color="auto" w:fill="F2F2F2" w:themeFill="background1" w:themeFillShade="F2"/>
            <w:vAlign w:val="center"/>
          </w:tcPr>
          <w:p w14:paraId="251C7E66" w14:textId="77777777" w:rsidR="0098553B" w:rsidRPr="00B271DB" w:rsidRDefault="0098553B" w:rsidP="00CD615D">
            <w:pPr>
              <w:rPr>
                <w:rFonts w:cs="Arial"/>
                <w:b/>
              </w:rPr>
            </w:pPr>
            <w:r w:rsidRPr="00B271DB">
              <w:rPr>
                <w:rFonts w:eastAsiaTheme="minorEastAsia"/>
                <w:b/>
                <w:bCs/>
              </w:rPr>
              <w:t>Country(s)</w:t>
            </w:r>
          </w:p>
        </w:tc>
        <w:tc>
          <w:tcPr>
            <w:tcW w:w="5472" w:type="dxa"/>
          </w:tcPr>
          <w:p w14:paraId="5129C321" w14:textId="764F2E4B" w:rsidR="0098553B" w:rsidRPr="00B271DB" w:rsidRDefault="00742AD4" w:rsidP="00CD615D">
            <w:pPr>
              <w:rPr>
                <w:rFonts w:cs="Arial"/>
              </w:rPr>
            </w:pPr>
            <w:r>
              <w:rPr>
                <w:rFonts w:cs="Arial"/>
              </w:rPr>
              <w:t>Philippines</w:t>
            </w:r>
          </w:p>
        </w:tc>
      </w:tr>
      <w:tr w:rsidR="0098553B" w:rsidRPr="00B271DB" w14:paraId="3AB792AF" w14:textId="77777777" w:rsidTr="00CD615D">
        <w:trPr>
          <w:trHeight w:val="461"/>
        </w:trPr>
        <w:tc>
          <w:tcPr>
            <w:tcW w:w="4320" w:type="dxa"/>
            <w:shd w:val="clear" w:color="auto" w:fill="F2F2F2" w:themeFill="background1" w:themeFillShade="F2"/>
            <w:vAlign w:val="center"/>
          </w:tcPr>
          <w:p w14:paraId="21E800C8" w14:textId="77777777" w:rsidR="0098553B" w:rsidRPr="00B271DB" w:rsidRDefault="0098553B" w:rsidP="00CD615D">
            <w:pPr>
              <w:rPr>
                <w:rFonts w:cs="Arial"/>
                <w:b/>
              </w:rPr>
            </w:pPr>
            <w:r w:rsidRPr="00B271DB">
              <w:rPr>
                <w:b/>
                <w:bCs/>
              </w:rPr>
              <w:t>Component(s)</w:t>
            </w:r>
          </w:p>
        </w:tc>
        <w:tc>
          <w:tcPr>
            <w:tcW w:w="5472" w:type="dxa"/>
          </w:tcPr>
          <w:p w14:paraId="5C72C9E1" w14:textId="70B4CD8C" w:rsidR="0098553B" w:rsidRPr="00B271DB" w:rsidRDefault="00742AD4" w:rsidP="00CD615D">
            <w:pPr>
              <w:rPr>
                <w:rFonts w:cs="Arial"/>
              </w:rPr>
            </w:pPr>
            <w:r>
              <w:rPr>
                <w:rFonts w:cs="Arial"/>
              </w:rPr>
              <w:t>Tuberculosis</w:t>
            </w:r>
          </w:p>
        </w:tc>
      </w:tr>
      <w:tr w:rsidR="0098553B" w:rsidRPr="00B271DB" w14:paraId="49E281F2" w14:textId="77777777" w:rsidTr="00CD615D">
        <w:trPr>
          <w:trHeight w:val="461"/>
        </w:trPr>
        <w:tc>
          <w:tcPr>
            <w:tcW w:w="4320" w:type="dxa"/>
            <w:shd w:val="clear" w:color="auto" w:fill="F2F2F2" w:themeFill="background1" w:themeFillShade="F2"/>
            <w:vAlign w:val="center"/>
          </w:tcPr>
          <w:p w14:paraId="2F83042A" w14:textId="77777777" w:rsidR="0098553B" w:rsidRPr="00B271DB" w:rsidRDefault="0098553B" w:rsidP="00CD615D">
            <w:pPr>
              <w:rPr>
                <w:rFonts w:cs="Arial"/>
                <w:b/>
              </w:rPr>
            </w:pPr>
            <w:r w:rsidRPr="00B271DB">
              <w:rPr>
                <w:b/>
                <w:bCs/>
              </w:rPr>
              <w:t>Planned grant(s) start date</w:t>
            </w:r>
            <w:r>
              <w:rPr>
                <w:b/>
                <w:bCs/>
              </w:rPr>
              <w:t>(s)</w:t>
            </w:r>
          </w:p>
        </w:tc>
        <w:tc>
          <w:tcPr>
            <w:tcW w:w="5472" w:type="dxa"/>
          </w:tcPr>
          <w:p w14:paraId="504388C3" w14:textId="30D9FDF3" w:rsidR="0098553B" w:rsidRPr="00B271DB" w:rsidRDefault="00214BAD" w:rsidP="00CD615D">
            <w:pPr>
              <w:rPr>
                <w:rFonts w:cs="Arial"/>
              </w:rPr>
            </w:pPr>
            <w:r>
              <w:rPr>
                <w:rFonts w:cs="Arial"/>
              </w:rPr>
              <w:t xml:space="preserve">01 </w:t>
            </w:r>
            <w:r w:rsidR="00742AD4">
              <w:rPr>
                <w:rFonts w:cs="Arial"/>
              </w:rPr>
              <w:t>January 2021</w:t>
            </w:r>
          </w:p>
        </w:tc>
      </w:tr>
      <w:tr w:rsidR="0098553B" w:rsidRPr="00B271DB" w14:paraId="3CC5F4AB" w14:textId="77777777" w:rsidTr="00CD615D">
        <w:trPr>
          <w:trHeight w:val="461"/>
        </w:trPr>
        <w:tc>
          <w:tcPr>
            <w:tcW w:w="4320" w:type="dxa"/>
            <w:shd w:val="clear" w:color="auto" w:fill="F2F2F2" w:themeFill="background1" w:themeFillShade="F2"/>
            <w:vAlign w:val="center"/>
          </w:tcPr>
          <w:p w14:paraId="11A00A57" w14:textId="77777777" w:rsidR="0098553B" w:rsidRPr="00B271DB" w:rsidRDefault="0098553B" w:rsidP="00CD615D">
            <w:pPr>
              <w:rPr>
                <w:rFonts w:cs="Arial"/>
                <w:b/>
              </w:rPr>
            </w:pPr>
            <w:r w:rsidRPr="00B271DB">
              <w:rPr>
                <w:b/>
                <w:bCs/>
              </w:rPr>
              <w:t>Planned grant(s) end date</w:t>
            </w:r>
            <w:r>
              <w:rPr>
                <w:b/>
                <w:bCs/>
              </w:rPr>
              <w:t>(s)</w:t>
            </w:r>
          </w:p>
        </w:tc>
        <w:tc>
          <w:tcPr>
            <w:tcW w:w="5472" w:type="dxa"/>
          </w:tcPr>
          <w:p w14:paraId="43B974E3" w14:textId="0A6D7411" w:rsidR="0098553B" w:rsidRPr="00B271DB" w:rsidRDefault="00214BAD" w:rsidP="00CD615D">
            <w:pPr>
              <w:rPr>
                <w:rFonts w:cs="Arial"/>
              </w:rPr>
            </w:pPr>
            <w:r>
              <w:rPr>
                <w:rFonts w:cs="Arial"/>
              </w:rPr>
              <w:t xml:space="preserve">31 </w:t>
            </w:r>
            <w:r w:rsidR="00742AD4">
              <w:rPr>
                <w:rFonts w:cs="Arial"/>
              </w:rPr>
              <w:t>December 2023</w:t>
            </w:r>
          </w:p>
        </w:tc>
      </w:tr>
      <w:tr w:rsidR="0098553B" w:rsidRPr="00B271DB" w14:paraId="6DE13238" w14:textId="77777777" w:rsidTr="00CD615D">
        <w:trPr>
          <w:trHeight w:val="461"/>
        </w:trPr>
        <w:tc>
          <w:tcPr>
            <w:tcW w:w="4320" w:type="dxa"/>
            <w:shd w:val="clear" w:color="auto" w:fill="F2F2F2" w:themeFill="background1" w:themeFillShade="F2"/>
            <w:vAlign w:val="center"/>
          </w:tcPr>
          <w:p w14:paraId="1148138C" w14:textId="77777777" w:rsidR="0098553B" w:rsidRPr="00B271DB" w:rsidRDefault="0098553B" w:rsidP="00CD615D">
            <w:pPr>
              <w:rPr>
                <w:rFonts w:cs="Arial"/>
                <w:b/>
              </w:rPr>
            </w:pPr>
            <w:r w:rsidRPr="00B271DB">
              <w:rPr>
                <w:b/>
                <w:bCs/>
              </w:rPr>
              <w:t>Principal Recipient</w:t>
            </w:r>
            <w:r>
              <w:rPr>
                <w:b/>
                <w:bCs/>
              </w:rPr>
              <w:t>(s)</w:t>
            </w:r>
            <w:r w:rsidRPr="00B271DB">
              <w:rPr>
                <w:b/>
                <w:bCs/>
              </w:rPr>
              <w:t xml:space="preserve"> </w:t>
            </w:r>
          </w:p>
        </w:tc>
        <w:tc>
          <w:tcPr>
            <w:tcW w:w="5472" w:type="dxa"/>
          </w:tcPr>
          <w:p w14:paraId="1522AA05" w14:textId="5EB7D4B2" w:rsidR="0098553B" w:rsidRPr="00B271DB" w:rsidRDefault="00742AD4" w:rsidP="00CD615D">
            <w:pPr>
              <w:rPr>
                <w:rFonts w:cs="Arial"/>
              </w:rPr>
            </w:pPr>
            <w:r>
              <w:rPr>
                <w:rFonts w:cs="Arial"/>
              </w:rPr>
              <w:t>Philippine Business for Social Progress, Inc. (PBSP)</w:t>
            </w:r>
          </w:p>
        </w:tc>
      </w:tr>
      <w:tr w:rsidR="0098553B" w:rsidRPr="00B271DB" w14:paraId="56D0E5B2" w14:textId="77777777" w:rsidTr="00CD615D">
        <w:trPr>
          <w:trHeight w:val="461"/>
        </w:trPr>
        <w:tc>
          <w:tcPr>
            <w:tcW w:w="4320" w:type="dxa"/>
            <w:shd w:val="clear" w:color="auto" w:fill="F2F2F2" w:themeFill="background1" w:themeFillShade="F2"/>
            <w:vAlign w:val="center"/>
          </w:tcPr>
          <w:p w14:paraId="73507538" w14:textId="77777777" w:rsidR="0098553B" w:rsidRPr="00B271DB" w:rsidRDefault="0098553B" w:rsidP="00CD615D">
            <w:pPr>
              <w:rPr>
                <w:rFonts w:cs="Arial"/>
                <w:b/>
              </w:rPr>
            </w:pPr>
            <w:r w:rsidRPr="00B271DB">
              <w:rPr>
                <w:b/>
                <w:bCs/>
              </w:rPr>
              <w:t>Currency</w:t>
            </w:r>
          </w:p>
        </w:tc>
        <w:tc>
          <w:tcPr>
            <w:tcW w:w="5472" w:type="dxa"/>
          </w:tcPr>
          <w:p w14:paraId="70ADCE51" w14:textId="669A87FC" w:rsidR="0098553B" w:rsidRPr="00B271DB" w:rsidRDefault="00742AD4" w:rsidP="00CD615D">
            <w:pPr>
              <w:rPr>
                <w:rFonts w:cs="Arial"/>
              </w:rPr>
            </w:pPr>
            <w:r>
              <w:rPr>
                <w:rFonts w:cs="Arial"/>
              </w:rPr>
              <w:t>USD</w:t>
            </w:r>
          </w:p>
        </w:tc>
      </w:tr>
      <w:tr w:rsidR="0098553B" w:rsidRPr="00B271DB" w14:paraId="17F5F7B4" w14:textId="77777777" w:rsidTr="00CD615D">
        <w:trPr>
          <w:trHeight w:val="461"/>
        </w:trPr>
        <w:tc>
          <w:tcPr>
            <w:tcW w:w="4320" w:type="dxa"/>
            <w:shd w:val="clear" w:color="auto" w:fill="F2F2F2" w:themeFill="background1" w:themeFillShade="F2"/>
            <w:vAlign w:val="center"/>
          </w:tcPr>
          <w:p w14:paraId="2708C9A3" w14:textId="77777777" w:rsidR="0098553B" w:rsidRPr="00B271DB" w:rsidRDefault="0098553B" w:rsidP="00CD615D">
            <w:pPr>
              <w:rPr>
                <w:rFonts w:cs="Arial"/>
                <w:b/>
              </w:rPr>
            </w:pPr>
            <w:r w:rsidRPr="00B271DB">
              <w:rPr>
                <w:b/>
                <w:bCs/>
              </w:rPr>
              <w:t>Allocation Funding Request Amount</w:t>
            </w:r>
          </w:p>
        </w:tc>
        <w:tc>
          <w:tcPr>
            <w:tcW w:w="5472" w:type="dxa"/>
          </w:tcPr>
          <w:p w14:paraId="172C423E" w14:textId="506EF97E" w:rsidR="0098553B" w:rsidRPr="00B271DB" w:rsidRDefault="002B3677" w:rsidP="00CD615D">
            <w:pPr>
              <w:rPr>
                <w:rFonts w:cs="Arial"/>
              </w:rPr>
            </w:pPr>
            <w:r>
              <w:rPr>
                <w:rFonts w:cs="Arial"/>
              </w:rPr>
              <w:t>119,096,167</w:t>
            </w:r>
          </w:p>
        </w:tc>
      </w:tr>
      <w:tr w:rsidR="0098553B" w:rsidRPr="00B271DB" w14:paraId="5289D2CA" w14:textId="77777777" w:rsidTr="00CD615D">
        <w:trPr>
          <w:trHeight w:val="461"/>
        </w:trPr>
        <w:tc>
          <w:tcPr>
            <w:tcW w:w="4320" w:type="dxa"/>
            <w:shd w:val="clear" w:color="auto" w:fill="F2F2F2" w:themeFill="background1" w:themeFillShade="F2"/>
            <w:vAlign w:val="center"/>
          </w:tcPr>
          <w:p w14:paraId="522C6A30" w14:textId="77777777" w:rsidR="0098553B" w:rsidRPr="00B271DB" w:rsidRDefault="0098553B" w:rsidP="00CD615D">
            <w:pPr>
              <w:rPr>
                <w:rFonts w:cs="Arial"/>
                <w:b/>
              </w:rPr>
            </w:pPr>
            <w:r w:rsidRPr="00B271DB">
              <w:rPr>
                <w:b/>
                <w:bCs/>
              </w:rPr>
              <w:t>Prioritized Above Allocation Request (PAAR) Amount</w:t>
            </w:r>
            <w:r w:rsidRPr="00B271DB">
              <w:rPr>
                <w:rStyle w:val="FootnoteReference"/>
                <w:b/>
                <w:bCs/>
              </w:rPr>
              <w:footnoteReference w:id="2"/>
            </w:r>
            <w:r>
              <w:rPr>
                <w:b/>
                <w:bCs/>
              </w:rPr>
              <w:t xml:space="preserve"> </w:t>
            </w:r>
          </w:p>
        </w:tc>
        <w:tc>
          <w:tcPr>
            <w:tcW w:w="5472" w:type="dxa"/>
          </w:tcPr>
          <w:p w14:paraId="0CF29D51" w14:textId="409F7C4A" w:rsidR="00385DDA" w:rsidRPr="00B271DB" w:rsidRDefault="00385DDA" w:rsidP="00CD615D">
            <w:pPr>
              <w:rPr>
                <w:rFonts w:cs="Arial"/>
              </w:rPr>
            </w:pPr>
            <w:r>
              <w:rPr>
                <w:rFonts w:cs="Arial"/>
              </w:rPr>
              <w:t>59,718,547</w:t>
            </w:r>
          </w:p>
        </w:tc>
      </w:tr>
      <w:tr w:rsidR="0098553B" w:rsidRPr="00B271DB" w14:paraId="0C66D1B8" w14:textId="77777777" w:rsidTr="00CD615D">
        <w:trPr>
          <w:trHeight w:val="461"/>
        </w:trPr>
        <w:tc>
          <w:tcPr>
            <w:tcW w:w="4320" w:type="dxa"/>
            <w:shd w:val="clear" w:color="auto" w:fill="F2F2F2" w:themeFill="background1" w:themeFillShade="F2"/>
            <w:vAlign w:val="center"/>
          </w:tcPr>
          <w:p w14:paraId="0C68693A" w14:textId="77777777" w:rsidR="0098553B" w:rsidRDefault="0098553B" w:rsidP="00CD615D">
            <w:pPr>
              <w:spacing w:after="0"/>
              <w:rPr>
                <w:b/>
                <w:bCs/>
              </w:rPr>
            </w:pPr>
            <w:r w:rsidRPr="00B271DB">
              <w:rPr>
                <w:b/>
                <w:bCs/>
              </w:rPr>
              <w:t>Matching Funds</w:t>
            </w:r>
            <w:r>
              <w:rPr>
                <w:b/>
                <w:bCs/>
              </w:rPr>
              <w:t xml:space="preserve"> Request</w:t>
            </w:r>
            <w:r w:rsidRPr="00B271DB">
              <w:rPr>
                <w:b/>
                <w:bCs/>
              </w:rPr>
              <w:t xml:space="preserve"> Amount</w:t>
            </w:r>
            <w:r>
              <w:rPr>
                <w:rStyle w:val="FootnoteReference"/>
                <w:b/>
                <w:bCs/>
              </w:rPr>
              <w:footnoteReference w:id="3"/>
            </w:r>
            <w:r>
              <w:rPr>
                <w:b/>
                <w:bCs/>
              </w:rPr>
              <w:t xml:space="preserve"> </w:t>
            </w:r>
          </w:p>
          <w:p w14:paraId="1C998162" w14:textId="77777777" w:rsidR="0098553B" w:rsidRPr="00890D60" w:rsidRDefault="0098553B" w:rsidP="00CD615D">
            <w:pPr>
              <w:rPr>
                <w:rFonts w:cs="Arial"/>
              </w:rPr>
            </w:pPr>
            <w:r w:rsidRPr="00890D60">
              <w:rPr>
                <w:bCs/>
              </w:rPr>
              <w:t>(if applicable)</w:t>
            </w:r>
          </w:p>
        </w:tc>
        <w:tc>
          <w:tcPr>
            <w:tcW w:w="5472" w:type="dxa"/>
          </w:tcPr>
          <w:p w14:paraId="48053FA1" w14:textId="0C6EAF86" w:rsidR="0098553B" w:rsidRPr="00B271DB" w:rsidRDefault="00640174" w:rsidP="00CD615D">
            <w:pPr>
              <w:rPr>
                <w:rFonts w:cs="Arial"/>
              </w:rPr>
            </w:pPr>
            <w:r>
              <w:rPr>
                <w:rFonts w:cs="Arial"/>
              </w:rPr>
              <w:t>10,000,000</w:t>
            </w:r>
          </w:p>
        </w:tc>
      </w:tr>
    </w:tbl>
    <w:p w14:paraId="76B244C2" w14:textId="77777777" w:rsidR="00ED424B" w:rsidRDefault="00ED424B" w:rsidP="00ED424B">
      <w:pPr>
        <w:rPr>
          <w:rFonts w:eastAsiaTheme="majorEastAsia" w:cs="Arial"/>
          <w:b/>
          <w:sz w:val="32"/>
          <w:szCs w:val="32"/>
        </w:rPr>
      </w:pPr>
    </w:p>
    <w:p w14:paraId="3004B73F" w14:textId="77777777" w:rsidR="00ED424B" w:rsidRDefault="00ED424B" w:rsidP="00ED424B">
      <w:pPr>
        <w:rPr>
          <w:rFonts w:eastAsiaTheme="majorEastAsia" w:cs="Arial"/>
          <w:b/>
          <w:sz w:val="32"/>
          <w:szCs w:val="32"/>
        </w:rPr>
      </w:pPr>
    </w:p>
    <w:p w14:paraId="1B6D1A53" w14:textId="3172301F" w:rsidR="001A1211" w:rsidRPr="00B271DB" w:rsidRDefault="001A1211" w:rsidP="009B6C0D">
      <w:pPr>
        <w:spacing w:after="0"/>
        <w:jc w:val="center"/>
        <w:sectPr w:rsidR="001A1211" w:rsidRPr="00B271DB" w:rsidSect="00B816D4">
          <w:headerReference w:type="default" r:id="rId14"/>
          <w:footerReference w:type="default" r:id="rId15"/>
          <w:endnotePr>
            <w:numFmt w:val="chicago"/>
          </w:endnotePr>
          <w:pgSz w:w="11906" w:h="16838" w:code="9"/>
          <w:pgMar w:top="851" w:right="1134" w:bottom="360" w:left="1134" w:header="720" w:footer="288" w:gutter="0"/>
          <w:cols w:space="708"/>
          <w:docGrid w:linePitch="360"/>
        </w:sectPr>
      </w:pPr>
      <w:r w:rsidRPr="009F52F1">
        <w:rPr>
          <w:noProof/>
          <w:lang w:val="en-PH" w:eastAsia="en-PH"/>
        </w:rPr>
        <w:drawing>
          <wp:anchor distT="0" distB="0" distL="114300" distR="114300" simplePos="0" relativeHeight="251659264" behindDoc="1" locked="0" layoutInCell="1" allowOverlap="1" wp14:anchorId="04ACDE05" wp14:editId="3A49BC0F">
            <wp:simplePos x="0" y="0"/>
            <wp:positionH relativeFrom="margin">
              <wp:posOffset>1707515</wp:posOffset>
            </wp:positionH>
            <wp:positionV relativeFrom="paragraph">
              <wp:posOffset>567690</wp:posOffset>
            </wp:positionV>
            <wp:extent cx="2700000" cy="328154"/>
            <wp:effectExtent l="0" t="0" r="5715" b="0"/>
            <wp:wrapTight wrapText="bothSides">
              <wp:wrapPolygon edited="0">
                <wp:start x="152" y="0"/>
                <wp:lineTo x="0" y="1256"/>
                <wp:lineTo x="0" y="15070"/>
                <wp:lineTo x="610" y="20093"/>
                <wp:lineTo x="610" y="20093"/>
                <wp:lineTo x="1829" y="20093"/>
                <wp:lineTo x="21493" y="18837"/>
                <wp:lineTo x="21493" y="1256"/>
                <wp:lineTo x="2287" y="0"/>
                <wp:lineTo x="152"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945991581" name="Picture 1"/>
                    <pic:cNvPicPr/>
                  </pic:nvPicPr>
                  <pic:blipFill>
                    <a:blip r:embed="rId16">
                      <a:extLst>
                        <a:ext uri="{28A0092B-C50C-407E-A947-70E740481C1C}">
                          <a14:useLocalDpi xmlns:a14="http://schemas.microsoft.com/office/drawing/2010/main" val="0"/>
                        </a:ext>
                      </a:extLst>
                    </a:blip>
                    <a:srcRect/>
                    <a:stretch/>
                  </pic:blipFill>
                  <pic:spPr>
                    <a:xfrm>
                      <a:off x="0" y="0"/>
                      <a:ext cx="2700000" cy="328154"/>
                    </a:xfrm>
                    <a:prstGeom prst="rect">
                      <a:avLst/>
                    </a:prstGeom>
                  </pic:spPr>
                </pic:pic>
              </a:graphicData>
            </a:graphic>
            <wp14:sizeRelH relativeFrom="page">
              <wp14:pctWidth>0</wp14:pctWidth>
            </wp14:sizeRelH>
            <wp14:sizeRelV relativeFrom="page">
              <wp14:pctHeight>0</wp14:pctHeight>
            </wp14:sizeRelV>
          </wp:anchor>
        </w:drawing>
      </w:r>
    </w:p>
    <w:bookmarkEnd w:id="1"/>
    <w:bookmarkEnd w:id="3"/>
    <w:bookmarkEnd w:id="4"/>
    <w:p w14:paraId="197DAC1D" w14:textId="009CB92A" w:rsidR="0098274C" w:rsidRPr="005305D5" w:rsidRDefault="009B6C0D" w:rsidP="009B6C0D">
      <w:pPr>
        <w:pStyle w:val="Heading1"/>
        <w:numPr>
          <w:ilvl w:val="0"/>
          <w:numId w:val="0"/>
        </w:numPr>
        <w:spacing w:before="0"/>
        <w:ind w:left="567" w:hanging="567"/>
      </w:pPr>
      <w:r>
        <w:lastRenderedPageBreak/>
        <w:t xml:space="preserve">Section 1: </w:t>
      </w:r>
      <w:r w:rsidR="0098274C" w:rsidRPr="005305D5">
        <w:t>Context Related to the Funding Request</w:t>
      </w:r>
    </w:p>
    <w:p w14:paraId="1B38B6AE" w14:textId="77777777" w:rsidR="009B6C0D" w:rsidRDefault="009B6C0D" w:rsidP="009B6C0D">
      <w:pPr>
        <w:spacing w:after="0"/>
      </w:pPr>
    </w:p>
    <w:p w14:paraId="05408C70" w14:textId="1DBA9D7E" w:rsidR="0098274C" w:rsidRPr="005305D5" w:rsidRDefault="003B4F1C" w:rsidP="009B6C0D">
      <w:pPr>
        <w:spacing w:after="0"/>
      </w:pPr>
      <w:r>
        <w:t xml:space="preserve">To respond to the questions below, refer to the </w:t>
      </w:r>
      <w:r w:rsidRPr="004A7723">
        <w:rPr>
          <w:i/>
        </w:rPr>
        <w:t>Instructions</w:t>
      </w:r>
      <w:r w:rsidR="004A7723" w:rsidRPr="00E230C4">
        <w:t xml:space="preserve"> and</w:t>
      </w:r>
      <w:r>
        <w:t xml:space="preserve"> </w:t>
      </w:r>
      <w:r w:rsidRPr="00CD7709">
        <w:rPr>
          <w:b/>
        </w:rPr>
        <w:t>Essential Data Table</w:t>
      </w:r>
      <w:r w:rsidR="00CD7709" w:rsidRPr="00CD7709">
        <w:rPr>
          <w:b/>
        </w:rPr>
        <w:t>(</w:t>
      </w:r>
      <w:r w:rsidR="004A7723" w:rsidRPr="00CD7709">
        <w:rPr>
          <w:b/>
        </w:rPr>
        <w:t>s</w:t>
      </w:r>
      <w:r w:rsidR="00CD7709" w:rsidRPr="00CD7709">
        <w:rPr>
          <w:b/>
        </w:rPr>
        <w:t>)</w:t>
      </w:r>
      <w:r w:rsidRPr="00CD7709">
        <w:rPr>
          <w:b/>
        </w:rPr>
        <w:t xml:space="preserve">. </w:t>
      </w:r>
    </w:p>
    <w:p w14:paraId="18584522" w14:textId="77777777" w:rsidR="0098274C" w:rsidRPr="005305D5" w:rsidRDefault="0098274C" w:rsidP="009B6C0D">
      <w:pPr>
        <w:spacing w:after="0"/>
      </w:pPr>
    </w:p>
    <w:p w14:paraId="0D60F5C8" w14:textId="468AABC6" w:rsidR="0098274C" w:rsidRPr="005305D5" w:rsidRDefault="0098274C" w:rsidP="00E07C20">
      <w:pPr>
        <w:pStyle w:val="Heading2"/>
        <w:numPr>
          <w:ilvl w:val="1"/>
          <w:numId w:val="24"/>
        </w:numPr>
        <w:shd w:val="clear" w:color="auto" w:fill="D9D9D9" w:themeFill="background1" w:themeFillShade="D9"/>
        <w:spacing w:before="0" w:after="0" w:line="240" w:lineRule="auto"/>
        <w:contextualSpacing/>
      </w:pPr>
      <w:r w:rsidRPr="005305D5">
        <w:t>Key References on Country Context</w:t>
      </w:r>
    </w:p>
    <w:p w14:paraId="4188E57B" w14:textId="77777777" w:rsidR="009B6C0D" w:rsidRDefault="009B6C0D" w:rsidP="009B6C0D">
      <w:pPr>
        <w:spacing w:after="0"/>
      </w:pPr>
    </w:p>
    <w:p w14:paraId="5BC1B79F" w14:textId="3BD874F4" w:rsidR="0098274C" w:rsidRDefault="00515F88" w:rsidP="009B6C0D">
      <w:pPr>
        <w:spacing w:after="0"/>
      </w:pPr>
      <w:r>
        <w:t>L</w:t>
      </w:r>
      <w:r w:rsidR="0098274C" w:rsidRPr="005305D5">
        <w:t xml:space="preserve">ist key reference documents </w:t>
      </w:r>
      <w:r w:rsidR="004F2E1A" w:rsidRPr="001155D7">
        <w:rPr>
          <w:u w:val="single"/>
        </w:rPr>
        <w:t xml:space="preserve">referred to </w:t>
      </w:r>
      <w:r w:rsidRPr="001155D7">
        <w:rPr>
          <w:u w:val="single"/>
        </w:rPr>
        <w:t>in this funding request</w:t>
      </w:r>
      <w:r>
        <w:t xml:space="preserve"> </w:t>
      </w:r>
      <w:r w:rsidR="001155D7">
        <w:t xml:space="preserve">that </w:t>
      </w:r>
      <w:r w:rsidR="0098274C" w:rsidRPr="005305D5">
        <w:t xml:space="preserve">provide the country’s contextual </w:t>
      </w:r>
      <w:r w:rsidR="00FB3731">
        <w:t>cross-cutting</w:t>
      </w:r>
      <w:r w:rsidR="00FB3731" w:rsidRPr="005305D5">
        <w:t xml:space="preserve"> </w:t>
      </w:r>
      <w:r w:rsidR="004F2E1A">
        <w:t>and</w:t>
      </w:r>
      <w:r w:rsidR="00FB3731" w:rsidRPr="005305D5">
        <w:t xml:space="preserve"> disease-specific information</w:t>
      </w:r>
      <w:r w:rsidR="00FB3731">
        <w:t xml:space="preserve">. </w:t>
      </w:r>
      <w:r w:rsidR="00CA301B">
        <w:t>A list of</w:t>
      </w:r>
      <w:r w:rsidR="0098274C" w:rsidRPr="005305D5">
        <w:t xml:space="preserve"> which </w:t>
      </w:r>
      <w:r w:rsidR="00FB3731">
        <w:t xml:space="preserve">types of </w:t>
      </w:r>
      <w:r w:rsidR="0098274C" w:rsidRPr="005305D5">
        <w:t>documents can be used</w:t>
      </w:r>
      <w:r w:rsidR="00CA301B">
        <w:t xml:space="preserve"> is included in</w:t>
      </w:r>
      <w:r w:rsidR="0098274C" w:rsidRPr="005305D5">
        <w:t xml:space="preserve"> the </w:t>
      </w:r>
      <w:r w:rsidR="0098274C" w:rsidRPr="00EC4612">
        <w:rPr>
          <w:i/>
        </w:rPr>
        <w:t>Instructions</w:t>
      </w:r>
      <w:r w:rsidR="0098274C" w:rsidRPr="005305D5">
        <w:t>.</w:t>
      </w:r>
    </w:p>
    <w:p w14:paraId="7A0B833D" w14:textId="77777777" w:rsidR="009B6C0D" w:rsidRPr="005305D5" w:rsidRDefault="009B6C0D" w:rsidP="009B6C0D">
      <w:pPr>
        <w:spacing w:after="0"/>
      </w:pPr>
    </w:p>
    <w:tbl>
      <w:tblPr>
        <w:tblW w:w="10774" w:type="dxa"/>
        <w:tblInd w:w="-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5274"/>
        <w:gridCol w:w="3035"/>
        <w:gridCol w:w="2465"/>
      </w:tblGrid>
      <w:tr w:rsidR="0098274C" w:rsidRPr="005305D5" w14:paraId="71D6E360" w14:textId="77777777" w:rsidTr="007067E7">
        <w:trPr>
          <w:trHeight w:val="819"/>
        </w:trPr>
        <w:tc>
          <w:tcPr>
            <w:tcW w:w="5274" w:type="dxa"/>
            <w:tcBorders>
              <w:top w:val="single" w:sz="4" w:space="0" w:color="808080" w:themeColor="background1" w:themeShade="80"/>
              <w:left w:val="single" w:sz="4" w:space="0" w:color="808080" w:themeColor="background1" w:themeShade="80"/>
            </w:tcBorders>
            <w:shd w:val="clear" w:color="auto" w:fill="F9FBFD"/>
            <w:vAlign w:val="center"/>
          </w:tcPr>
          <w:p w14:paraId="02977F44" w14:textId="1314E5C3" w:rsidR="0098274C" w:rsidRPr="00BE70C9" w:rsidRDefault="0098274C" w:rsidP="009B6C0D">
            <w:pPr>
              <w:spacing w:after="0"/>
              <w:rPr>
                <w:b/>
                <w:bCs/>
              </w:rPr>
            </w:pPr>
            <w:r w:rsidRPr="00BE70C9">
              <w:rPr>
                <w:b/>
                <w:bCs/>
              </w:rPr>
              <w:t xml:space="preserve">Reference </w:t>
            </w:r>
            <w:r w:rsidR="007067E7">
              <w:rPr>
                <w:b/>
                <w:bCs/>
              </w:rPr>
              <w:t>D</w:t>
            </w:r>
            <w:r w:rsidRPr="00BE70C9">
              <w:rPr>
                <w:b/>
                <w:bCs/>
              </w:rPr>
              <w:t>ocument</w:t>
            </w:r>
          </w:p>
        </w:tc>
        <w:tc>
          <w:tcPr>
            <w:tcW w:w="3035" w:type="dxa"/>
            <w:tcBorders>
              <w:top w:val="single" w:sz="4" w:space="0" w:color="808080" w:themeColor="background1" w:themeShade="80"/>
            </w:tcBorders>
            <w:shd w:val="clear" w:color="auto" w:fill="F9FBFD"/>
            <w:vAlign w:val="center"/>
          </w:tcPr>
          <w:p w14:paraId="08FA09A8" w14:textId="77777777" w:rsidR="0098274C" w:rsidRPr="00BE70C9" w:rsidRDefault="0098274C" w:rsidP="009B6C0D">
            <w:pPr>
              <w:spacing w:after="0"/>
              <w:rPr>
                <w:b/>
                <w:bCs/>
              </w:rPr>
            </w:pPr>
            <w:r w:rsidRPr="00BE70C9">
              <w:rPr>
                <w:b/>
                <w:bCs/>
              </w:rPr>
              <w:t>Link/Attachment reference</w:t>
            </w:r>
          </w:p>
        </w:tc>
        <w:tc>
          <w:tcPr>
            <w:tcW w:w="2465" w:type="dxa"/>
            <w:tcBorders>
              <w:top w:val="single" w:sz="4" w:space="0" w:color="808080" w:themeColor="background1" w:themeShade="80"/>
              <w:right w:val="single" w:sz="4" w:space="0" w:color="808080" w:themeColor="background1" w:themeShade="80"/>
            </w:tcBorders>
            <w:shd w:val="clear" w:color="auto" w:fill="F9FBFD"/>
            <w:vAlign w:val="center"/>
          </w:tcPr>
          <w:p w14:paraId="7B511D1D" w14:textId="77777777" w:rsidR="0098274C" w:rsidRPr="00BE70C9" w:rsidRDefault="0098274C" w:rsidP="009B6C0D">
            <w:pPr>
              <w:spacing w:after="0"/>
              <w:rPr>
                <w:b/>
                <w:bCs/>
              </w:rPr>
            </w:pPr>
            <w:r w:rsidRPr="00BE70C9">
              <w:rPr>
                <w:b/>
                <w:bCs/>
              </w:rPr>
              <w:t>Relevant section(s) and/or page(s)</w:t>
            </w:r>
          </w:p>
        </w:tc>
      </w:tr>
      <w:tr w:rsidR="007067E7" w:rsidRPr="005305D5" w14:paraId="050A2837" w14:textId="77777777" w:rsidTr="007067E7">
        <w:trPr>
          <w:trHeight w:val="522"/>
        </w:trPr>
        <w:tc>
          <w:tcPr>
            <w:tcW w:w="5274" w:type="dxa"/>
            <w:tcBorders>
              <w:left w:val="single" w:sz="4" w:space="0" w:color="808080" w:themeColor="background1" w:themeShade="80"/>
            </w:tcBorders>
            <w:vAlign w:val="center"/>
          </w:tcPr>
          <w:p w14:paraId="5BDDC28C" w14:textId="0B195366" w:rsidR="007067E7" w:rsidRPr="005305D5" w:rsidRDefault="007067E7" w:rsidP="00E07C20">
            <w:pPr>
              <w:pStyle w:val="ListParagraph"/>
              <w:numPr>
                <w:ilvl w:val="0"/>
                <w:numId w:val="31"/>
              </w:numPr>
              <w:spacing w:after="0"/>
            </w:pPr>
            <w:r>
              <w:t>UHC Law and IRR</w:t>
            </w:r>
          </w:p>
        </w:tc>
        <w:tc>
          <w:tcPr>
            <w:tcW w:w="3035" w:type="dxa"/>
            <w:shd w:val="clear" w:color="auto" w:fill="FFFFFF" w:themeFill="text2" w:themeFillTint="33"/>
            <w:vAlign w:val="center"/>
          </w:tcPr>
          <w:p w14:paraId="657D6B9E" w14:textId="48E9066E" w:rsidR="007067E7" w:rsidRPr="005305D5" w:rsidRDefault="007067E7" w:rsidP="007067E7">
            <w:pPr>
              <w:spacing w:after="0"/>
            </w:pPr>
          </w:p>
        </w:tc>
        <w:tc>
          <w:tcPr>
            <w:tcW w:w="2465" w:type="dxa"/>
            <w:tcBorders>
              <w:right w:val="single" w:sz="4" w:space="0" w:color="808080" w:themeColor="background1" w:themeShade="80"/>
            </w:tcBorders>
            <w:vAlign w:val="center"/>
          </w:tcPr>
          <w:p w14:paraId="179688C8" w14:textId="3D306999" w:rsidR="007067E7" w:rsidRPr="005305D5" w:rsidRDefault="00FC1EBC" w:rsidP="007067E7">
            <w:pPr>
              <w:spacing w:after="0"/>
            </w:pPr>
            <w:r>
              <w:t>Full document</w:t>
            </w:r>
          </w:p>
        </w:tc>
      </w:tr>
      <w:tr w:rsidR="007067E7" w:rsidRPr="005305D5" w14:paraId="014CC339" w14:textId="77777777" w:rsidTr="007067E7">
        <w:trPr>
          <w:trHeight w:val="559"/>
        </w:trPr>
        <w:tc>
          <w:tcPr>
            <w:tcW w:w="5274" w:type="dxa"/>
            <w:tcBorders>
              <w:left w:val="single" w:sz="4" w:space="0" w:color="808080" w:themeColor="background1" w:themeShade="80"/>
            </w:tcBorders>
            <w:vAlign w:val="center"/>
          </w:tcPr>
          <w:p w14:paraId="71B58B5D" w14:textId="65A12733" w:rsidR="007067E7" w:rsidRPr="005305D5" w:rsidRDefault="007067E7" w:rsidP="00E07C20">
            <w:pPr>
              <w:pStyle w:val="ListParagraph"/>
              <w:numPr>
                <w:ilvl w:val="0"/>
                <w:numId w:val="31"/>
              </w:numPr>
              <w:spacing w:after="0"/>
            </w:pPr>
            <w:r>
              <w:t>Philippine Health Agenda (2017-2022)</w:t>
            </w:r>
          </w:p>
        </w:tc>
        <w:tc>
          <w:tcPr>
            <w:tcW w:w="3035" w:type="dxa"/>
            <w:shd w:val="clear" w:color="auto" w:fill="FFFFFF" w:themeFill="text2" w:themeFillTint="33"/>
            <w:vAlign w:val="center"/>
          </w:tcPr>
          <w:p w14:paraId="5CB05044" w14:textId="2EA896E8" w:rsidR="007067E7" w:rsidRPr="005305D5"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730426AE" w14:textId="43F87616" w:rsidR="007067E7" w:rsidRPr="005305D5" w:rsidRDefault="00FC1EBC" w:rsidP="007067E7">
            <w:pPr>
              <w:spacing w:after="0"/>
            </w:pPr>
            <w:r>
              <w:t>Full document</w:t>
            </w:r>
          </w:p>
        </w:tc>
      </w:tr>
      <w:tr w:rsidR="007067E7" w:rsidRPr="005305D5" w14:paraId="03919E9F" w14:textId="77777777" w:rsidTr="007067E7">
        <w:trPr>
          <w:trHeight w:val="553"/>
        </w:trPr>
        <w:tc>
          <w:tcPr>
            <w:tcW w:w="5274" w:type="dxa"/>
            <w:tcBorders>
              <w:left w:val="single" w:sz="4" w:space="0" w:color="808080" w:themeColor="background1" w:themeShade="80"/>
            </w:tcBorders>
            <w:vAlign w:val="center"/>
          </w:tcPr>
          <w:p w14:paraId="78EA054B" w14:textId="7269C3BD" w:rsidR="007067E7" w:rsidRPr="00497BDB" w:rsidRDefault="007067E7" w:rsidP="00E07C20">
            <w:pPr>
              <w:pStyle w:val="ListParagraph"/>
              <w:numPr>
                <w:ilvl w:val="0"/>
                <w:numId w:val="31"/>
              </w:numPr>
              <w:spacing w:after="0"/>
              <w:rPr>
                <w:i/>
                <w:iCs/>
              </w:rPr>
            </w:pPr>
            <w:r w:rsidRPr="00497BDB">
              <w:t>National Objectives for Health (2017-2022)</w:t>
            </w:r>
          </w:p>
        </w:tc>
        <w:tc>
          <w:tcPr>
            <w:tcW w:w="3035" w:type="dxa"/>
            <w:shd w:val="clear" w:color="auto" w:fill="FFFFFF" w:themeFill="text2" w:themeFillTint="33"/>
            <w:vAlign w:val="center"/>
          </w:tcPr>
          <w:p w14:paraId="44DA192A" w14:textId="14B2202B" w:rsidR="007067E7" w:rsidRPr="005305D5"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7E043C7E" w14:textId="3C4A2235" w:rsidR="007067E7" w:rsidRPr="005305D5" w:rsidRDefault="00FC1EBC" w:rsidP="007067E7">
            <w:pPr>
              <w:spacing w:after="0"/>
            </w:pPr>
            <w:r>
              <w:t xml:space="preserve">Full document </w:t>
            </w:r>
          </w:p>
        </w:tc>
      </w:tr>
      <w:tr w:rsidR="007067E7" w:rsidRPr="005305D5" w14:paraId="5C650092" w14:textId="77777777" w:rsidTr="007067E7">
        <w:trPr>
          <w:trHeight w:val="553"/>
        </w:trPr>
        <w:tc>
          <w:tcPr>
            <w:tcW w:w="5274" w:type="dxa"/>
            <w:tcBorders>
              <w:left w:val="single" w:sz="4" w:space="0" w:color="808080" w:themeColor="background1" w:themeShade="80"/>
            </w:tcBorders>
            <w:vAlign w:val="center"/>
          </w:tcPr>
          <w:p w14:paraId="4FC68841" w14:textId="5E871F4C" w:rsidR="007067E7" w:rsidRPr="00497BDB" w:rsidRDefault="007067E7" w:rsidP="00E07C20">
            <w:pPr>
              <w:pStyle w:val="ListParagraph"/>
              <w:numPr>
                <w:ilvl w:val="0"/>
                <w:numId w:val="31"/>
              </w:numPr>
              <w:spacing w:after="0"/>
              <w:rPr>
                <w:i/>
                <w:iCs/>
              </w:rPr>
            </w:pPr>
            <w:r w:rsidRPr="00497BDB">
              <w:t>Philippine Health Systems Review (2018)</w:t>
            </w:r>
          </w:p>
        </w:tc>
        <w:tc>
          <w:tcPr>
            <w:tcW w:w="3035" w:type="dxa"/>
            <w:shd w:val="clear" w:color="auto" w:fill="FFFFFF" w:themeFill="text2" w:themeFillTint="33"/>
            <w:vAlign w:val="center"/>
          </w:tcPr>
          <w:p w14:paraId="0E66102A" w14:textId="1088DBF4" w:rsidR="007067E7" w:rsidRPr="005305D5"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7C86D9F8" w14:textId="7C2363E6" w:rsidR="007067E7" w:rsidRPr="005305D5" w:rsidRDefault="00FC1EBC" w:rsidP="007067E7">
            <w:pPr>
              <w:spacing w:after="0"/>
            </w:pPr>
            <w:r>
              <w:t>Full document</w:t>
            </w:r>
          </w:p>
        </w:tc>
      </w:tr>
      <w:tr w:rsidR="007067E7" w:rsidRPr="005305D5" w14:paraId="1AA211CF" w14:textId="77777777" w:rsidTr="007067E7">
        <w:trPr>
          <w:trHeight w:val="553"/>
        </w:trPr>
        <w:tc>
          <w:tcPr>
            <w:tcW w:w="5274" w:type="dxa"/>
            <w:tcBorders>
              <w:left w:val="single" w:sz="4" w:space="0" w:color="808080" w:themeColor="background1" w:themeShade="80"/>
            </w:tcBorders>
            <w:vAlign w:val="center"/>
          </w:tcPr>
          <w:p w14:paraId="4D6DE08E" w14:textId="3AD480F2" w:rsidR="007067E7" w:rsidRPr="00497BDB" w:rsidRDefault="007067E7" w:rsidP="00E07C20">
            <w:pPr>
              <w:pStyle w:val="ListParagraph"/>
              <w:numPr>
                <w:ilvl w:val="0"/>
                <w:numId w:val="31"/>
              </w:numPr>
              <w:spacing w:after="0"/>
              <w:rPr>
                <w:i/>
                <w:iCs/>
              </w:rPr>
            </w:pPr>
            <w:r w:rsidRPr="00497BDB">
              <w:t>Stigma Assessment Study 2019</w:t>
            </w:r>
          </w:p>
        </w:tc>
        <w:tc>
          <w:tcPr>
            <w:tcW w:w="3035" w:type="dxa"/>
            <w:shd w:val="clear" w:color="auto" w:fill="FFFFFF" w:themeFill="text2" w:themeFillTint="33"/>
            <w:vAlign w:val="center"/>
          </w:tcPr>
          <w:p w14:paraId="0B4C8B78" w14:textId="7F9B016B" w:rsidR="007067E7" w:rsidRPr="005305D5"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128F32F1" w14:textId="69094DBA" w:rsidR="007067E7" w:rsidRPr="005305D5" w:rsidRDefault="00497BDB" w:rsidP="007067E7">
            <w:pPr>
              <w:spacing w:after="0"/>
            </w:pPr>
            <w:r>
              <w:t>Slide 16-29</w:t>
            </w:r>
          </w:p>
        </w:tc>
      </w:tr>
      <w:tr w:rsidR="007067E7" w:rsidRPr="005305D5" w14:paraId="11CFABFF" w14:textId="77777777" w:rsidTr="007067E7">
        <w:trPr>
          <w:trHeight w:val="553"/>
        </w:trPr>
        <w:tc>
          <w:tcPr>
            <w:tcW w:w="5274" w:type="dxa"/>
            <w:tcBorders>
              <w:left w:val="single" w:sz="4" w:space="0" w:color="808080" w:themeColor="background1" w:themeShade="80"/>
            </w:tcBorders>
            <w:vAlign w:val="center"/>
          </w:tcPr>
          <w:p w14:paraId="33868CAF" w14:textId="7AA53A51" w:rsidR="007067E7" w:rsidRDefault="007067E7" w:rsidP="00E07C20">
            <w:pPr>
              <w:pStyle w:val="ListParagraph"/>
              <w:numPr>
                <w:ilvl w:val="0"/>
                <w:numId w:val="31"/>
              </w:numPr>
              <w:spacing w:after="0"/>
            </w:pPr>
            <w:r>
              <w:t>Human Rights Baseline Assessment 2018</w:t>
            </w:r>
          </w:p>
        </w:tc>
        <w:tc>
          <w:tcPr>
            <w:tcW w:w="3035" w:type="dxa"/>
            <w:shd w:val="clear" w:color="auto" w:fill="FFFFFF" w:themeFill="text2" w:themeFillTint="33"/>
            <w:vAlign w:val="center"/>
          </w:tcPr>
          <w:p w14:paraId="4BCFF448" w14:textId="5E71272B" w:rsidR="007067E7"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03DB5EC7" w14:textId="3635606C" w:rsidR="007067E7" w:rsidRPr="005305D5" w:rsidRDefault="00FC1EBC" w:rsidP="007067E7">
            <w:pPr>
              <w:spacing w:after="0"/>
            </w:pPr>
            <w:r>
              <w:t>Page 13-19</w:t>
            </w:r>
          </w:p>
        </w:tc>
      </w:tr>
      <w:tr w:rsidR="007067E7" w:rsidRPr="005305D5" w14:paraId="53C69A98" w14:textId="77777777" w:rsidTr="007067E7">
        <w:trPr>
          <w:trHeight w:val="553"/>
        </w:trPr>
        <w:tc>
          <w:tcPr>
            <w:tcW w:w="5274" w:type="dxa"/>
            <w:tcBorders>
              <w:left w:val="single" w:sz="4" w:space="0" w:color="808080" w:themeColor="background1" w:themeShade="80"/>
            </w:tcBorders>
            <w:vAlign w:val="center"/>
          </w:tcPr>
          <w:p w14:paraId="17124655" w14:textId="188C57F9" w:rsidR="007067E7" w:rsidRDefault="007067E7" w:rsidP="00E07C20">
            <w:pPr>
              <w:pStyle w:val="ListParagraph"/>
              <w:numPr>
                <w:ilvl w:val="0"/>
                <w:numId w:val="31"/>
              </w:numPr>
              <w:spacing w:after="0"/>
            </w:pPr>
            <w:r>
              <w:t>TB Gender Analysis 2019</w:t>
            </w:r>
          </w:p>
        </w:tc>
        <w:tc>
          <w:tcPr>
            <w:tcW w:w="3035" w:type="dxa"/>
            <w:shd w:val="clear" w:color="auto" w:fill="FFFFFF" w:themeFill="text2" w:themeFillTint="33"/>
            <w:vAlign w:val="center"/>
          </w:tcPr>
          <w:p w14:paraId="3320E9D2" w14:textId="35F87F9A" w:rsidR="007067E7"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10B6E6F2" w14:textId="50CD6604" w:rsidR="007067E7" w:rsidRPr="005305D5" w:rsidRDefault="00FC1EBC" w:rsidP="007067E7">
            <w:pPr>
              <w:spacing w:after="0"/>
            </w:pPr>
            <w:r>
              <w:t>Page 17</w:t>
            </w:r>
          </w:p>
        </w:tc>
      </w:tr>
      <w:tr w:rsidR="007067E7" w:rsidRPr="005305D5" w14:paraId="4DF33161" w14:textId="77777777" w:rsidTr="007067E7">
        <w:trPr>
          <w:trHeight w:val="553"/>
        </w:trPr>
        <w:tc>
          <w:tcPr>
            <w:tcW w:w="5274" w:type="dxa"/>
            <w:tcBorders>
              <w:left w:val="single" w:sz="4" w:space="0" w:color="808080" w:themeColor="background1" w:themeShade="80"/>
            </w:tcBorders>
            <w:vAlign w:val="center"/>
          </w:tcPr>
          <w:p w14:paraId="58939098" w14:textId="5B17AE4B" w:rsidR="007067E7" w:rsidRDefault="007067E7" w:rsidP="00E07C20">
            <w:pPr>
              <w:pStyle w:val="ListParagraph"/>
              <w:numPr>
                <w:ilvl w:val="0"/>
                <w:numId w:val="31"/>
              </w:numPr>
              <w:spacing w:after="0"/>
            </w:pPr>
            <w:r>
              <w:t>TB Catastrophic Cost Study 2017</w:t>
            </w:r>
          </w:p>
        </w:tc>
        <w:tc>
          <w:tcPr>
            <w:tcW w:w="3035" w:type="dxa"/>
            <w:shd w:val="clear" w:color="auto" w:fill="FFFFFF" w:themeFill="text2" w:themeFillTint="33"/>
            <w:vAlign w:val="center"/>
          </w:tcPr>
          <w:p w14:paraId="301F067D" w14:textId="19440EC4" w:rsidR="007067E7"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3148B923" w14:textId="6FD82A5B" w:rsidR="007067E7" w:rsidRPr="005305D5" w:rsidRDefault="00FC1EBC" w:rsidP="007067E7">
            <w:pPr>
              <w:spacing w:after="0"/>
            </w:pPr>
            <w:r>
              <w:t>Page 29</w:t>
            </w:r>
          </w:p>
        </w:tc>
      </w:tr>
      <w:tr w:rsidR="007067E7" w:rsidRPr="005305D5" w14:paraId="231CC08B" w14:textId="77777777" w:rsidTr="007067E7">
        <w:trPr>
          <w:trHeight w:val="553"/>
        </w:trPr>
        <w:tc>
          <w:tcPr>
            <w:tcW w:w="5274" w:type="dxa"/>
            <w:tcBorders>
              <w:left w:val="single" w:sz="4" w:space="0" w:color="808080" w:themeColor="background1" w:themeShade="80"/>
            </w:tcBorders>
            <w:vAlign w:val="center"/>
          </w:tcPr>
          <w:p w14:paraId="16252D02" w14:textId="1FC393E9" w:rsidR="007067E7" w:rsidRDefault="007067E7" w:rsidP="00E07C20">
            <w:pPr>
              <w:pStyle w:val="ListParagraph"/>
              <w:numPr>
                <w:ilvl w:val="0"/>
                <w:numId w:val="31"/>
              </w:numPr>
              <w:spacing w:after="0"/>
            </w:pPr>
            <w:r>
              <w:t>Philippine TB Law</w:t>
            </w:r>
          </w:p>
        </w:tc>
        <w:tc>
          <w:tcPr>
            <w:tcW w:w="3035" w:type="dxa"/>
            <w:shd w:val="clear" w:color="auto" w:fill="FFFFFF" w:themeFill="text2" w:themeFillTint="33"/>
            <w:vAlign w:val="center"/>
          </w:tcPr>
          <w:p w14:paraId="2B3C5276" w14:textId="5AF72669" w:rsidR="007067E7" w:rsidRDefault="007067E7" w:rsidP="007067E7">
            <w:pPr>
              <w:spacing w:after="0"/>
            </w:pPr>
          </w:p>
        </w:tc>
        <w:tc>
          <w:tcPr>
            <w:tcW w:w="2465" w:type="dxa"/>
            <w:tcBorders>
              <w:right w:val="single" w:sz="4" w:space="0" w:color="808080" w:themeColor="background1" w:themeShade="80"/>
            </w:tcBorders>
            <w:vAlign w:val="center"/>
          </w:tcPr>
          <w:p w14:paraId="44343D34" w14:textId="101EE4AF" w:rsidR="007067E7" w:rsidRPr="005305D5" w:rsidRDefault="00FC1EBC" w:rsidP="007067E7">
            <w:pPr>
              <w:spacing w:after="0"/>
            </w:pPr>
            <w:r>
              <w:t>Full document</w:t>
            </w:r>
          </w:p>
        </w:tc>
      </w:tr>
      <w:tr w:rsidR="007067E7" w:rsidRPr="005305D5" w14:paraId="47399223" w14:textId="77777777" w:rsidTr="007067E7">
        <w:trPr>
          <w:trHeight w:val="553"/>
        </w:trPr>
        <w:tc>
          <w:tcPr>
            <w:tcW w:w="5274" w:type="dxa"/>
            <w:tcBorders>
              <w:left w:val="single" w:sz="4" w:space="0" w:color="808080" w:themeColor="background1" w:themeShade="80"/>
            </w:tcBorders>
            <w:vAlign w:val="center"/>
          </w:tcPr>
          <w:p w14:paraId="2E58E0FB" w14:textId="2BD60794" w:rsidR="007067E7" w:rsidRDefault="007067E7" w:rsidP="00E07C20">
            <w:pPr>
              <w:pStyle w:val="ListParagraph"/>
              <w:numPr>
                <w:ilvl w:val="0"/>
                <w:numId w:val="31"/>
              </w:numPr>
              <w:spacing w:after="0"/>
            </w:pPr>
            <w:r>
              <w:t xml:space="preserve">Updated Philippine Strategic TB Elimination Plan </w:t>
            </w:r>
            <w:r w:rsidR="00F10338">
              <w:t xml:space="preserve">Phase </w:t>
            </w:r>
            <w:r>
              <w:t>1 (20</w:t>
            </w:r>
            <w:r w:rsidR="0012085B">
              <w:t>20</w:t>
            </w:r>
            <w:r>
              <w:t>-2023)</w:t>
            </w:r>
          </w:p>
        </w:tc>
        <w:tc>
          <w:tcPr>
            <w:tcW w:w="3035" w:type="dxa"/>
            <w:shd w:val="clear" w:color="auto" w:fill="FFFFFF" w:themeFill="text2" w:themeFillTint="33"/>
            <w:vAlign w:val="center"/>
          </w:tcPr>
          <w:p w14:paraId="22BBC425" w14:textId="568966D4" w:rsidR="007067E7"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18607372" w14:textId="2F38457A" w:rsidR="007067E7" w:rsidRPr="005305D5" w:rsidRDefault="00FC1EBC" w:rsidP="007067E7">
            <w:pPr>
              <w:spacing w:after="0"/>
            </w:pPr>
            <w:r>
              <w:t>Full document</w:t>
            </w:r>
          </w:p>
        </w:tc>
      </w:tr>
      <w:tr w:rsidR="007067E7" w:rsidRPr="005305D5" w14:paraId="3D7F3B35" w14:textId="77777777" w:rsidTr="007067E7">
        <w:trPr>
          <w:trHeight w:val="553"/>
        </w:trPr>
        <w:tc>
          <w:tcPr>
            <w:tcW w:w="5274" w:type="dxa"/>
            <w:tcBorders>
              <w:left w:val="single" w:sz="4" w:space="0" w:color="808080" w:themeColor="background1" w:themeShade="80"/>
            </w:tcBorders>
            <w:vAlign w:val="center"/>
          </w:tcPr>
          <w:p w14:paraId="0490C110" w14:textId="073995D1" w:rsidR="007067E7" w:rsidRDefault="007067E7" w:rsidP="00E07C20">
            <w:pPr>
              <w:pStyle w:val="ListParagraph"/>
              <w:numPr>
                <w:ilvl w:val="0"/>
                <w:numId w:val="31"/>
              </w:numPr>
              <w:spacing w:after="0"/>
            </w:pPr>
            <w:r>
              <w:t>Philippine TB Laboratory Network Strategic Plan (201</w:t>
            </w:r>
            <w:r w:rsidR="00601832">
              <w:t>8-2022</w:t>
            </w:r>
            <w:r>
              <w:t>)</w:t>
            </w:r>
          </w:p>
        </w:tc>
        <w:tc>
          <w:tcPr>
            <w:tcW w:w="3035" w:type="dxa"/>
            <w:shd w:val="clear" w:color="auto" w:fill="FFFFFF" w:themeFill="text2" w:themeFillTint="33"/>
            <w:vAlign w:val="center"/>
          </w:tcPr>
          <w:p w14:paraId="404B3205" w14:textId="703AC74D" w:rsidR="007067E7"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1FCAADEE" w14:textId="10AFCF11" w:rsidR="007067E7" w:rsidRPr="005305D5" w:rsidRDefault="0057536C" w:rsidP="007067E7">
            <w:pPr>
              <w:spacing w:after="0"/>
            </w:pPr>
            <w:r>
              <w:t xml:space="preserve">Full document </w:t>
            </w:r>
          </w:p>
        </w:tc>
      </w:tr>
      <w:tr w:rsidR="008846BB" w:rsidRPr="005305D5" w14:paraId="1E2ECDE3" w14:textId="77777777" w:rsidTr="007067E7">
        <w:trPr>
          <w:trHeight w:val="553"/>
        </w:trPr>
        <w:tc>
          <w:tcPr>
            <w:tcW w:w="5274" w:type="dxa"/>
            <w:tcBorders>
              <w:left w:val="single" w:sz="4" w:space="0" w:color="808080" w:themeColor="background1" w:themeShade="80"/>
            </w:tcBorders>
            <w:vAlign w:val="center"/>
          </w:tcPr>
          <w:p w14:paraId="7E4EF63D" w14:textId="387E334A" w:rsidR="008846BB" w:rsidRDefault="008846BB" w:rsidP="00E07C20">
            <w:pPr>
              <w:pStyle w:val="ListParagraph"/>
              <w:numPr>
                <w:ilvl w:val="0"/>
                <w:numId w:val="31"/>
              </w:numPr>
              <w:spacing w:after="0"/>
            </w:pPr>
            <w:r>
              <w:t>NTP Manual of Procedures, 6</w:t>
            </w:r>
            <w:r w:rsidRPr="008846BB">
              <w:rPr>
                <w:vertAlign w:val="superscript"/>
              </w:rPr>
              <w:t>th</w:t>
            </w:r>
            <w:r>
              <w:t xml:space="preserve"> Edition 2019</w:t>
            </w:r>
          </w:p>
        </w:tc>
        <w:tc>
          <w:tcPr>
            <w:tcW w:w="3035" w:type="dxa"/>
            <w:shd w:val="clear" w:color="auto" w:fill="FFFFFF" w:themeFill="text2" w:themeFillTint="33"/>
            <w:vAlign w:val="center"/>
          </w:tcPr>
          <w:p w14:paraId="3649795F" w14:textId="77777777" w:rsidR="008846BB" w:rsidRDefault="008846BB" w:rsidP="007067E7">
            <w:pPr>
              <w:pStyle w:val="ListParagraph"/>
              <w:spacing w:after="0"/>
              <w:ind w:left="360"/>
            </w:pPr>
          </w:p>
        </w:tc>
        <w:tc>
          <w:tcPr>
            <w:tcW w:w="2465" w:type="dxa"/>
            <w:tcBorders>
              <w:right w:val="single" w:sz="4" w:space="0" w:color="808080" w:themeColor="background1" w:themeShade="80"/>
            </w:tcBorders>
            <w:vAlign w:val="center"/>
          </w:tcPr>
          <w:p w14:paraId="3BC20B0D" w14:textId="0AE8F6B4" w:rsidR="008846BB" w:rsidRPr="005305D5" w:rsidRDefault="00FC1EBC" w:rsidP="007067E7">
            <w:pPr>
              <w:spacing w:after="0"/>
            </w:pPr>
            <w:r>
              <w:t xml:space="preserve">Full </w:t>
            </w:r>
            <w:r w:rsidR="0057536C">
              <w:t>d</w:t>
            </w:r>
            <w:r>
              <w:t xml:space="preserve">ocument </w:t>
            </w:r>
          </w:p>
        </w:tc>
      </w:tr>
      <w:tr w:rsidR="007067E7" w:rsidRPr="005305D5" w14:paraId="623B0A66" w14:textId="77777777" w:rsidTr="007067E7">
        <w:trPr>
          <w:trHeight w:val="553"/>
        </w:trPr>
        <w:tc>
          <w:tcPr>
            <w:tcW w:w="5274" w:type="dxa"/>
            <w:tcBorders>
              <w:left w:val="single" w:sz="4" w:space="0" w:color="808080" w:themeColor="background1" w:themeShade="80"/>
            </w:tcBorders>
            <w:vAlign w:val="center"/>
          </w:tcPr>
          <w:p w14:paraId="453CD8B3" w14:textId="6475C44E" w:rsidR="007067E7" w:rsidRDefault="007067E7" w:rsidP="00E07C20">
            <w:pPr>
              <w:pStyle w:val="ListParagraph"/>
              <w:numPr>
                <w:ilvl w:val="0"/>
                <w:numId w:val="31"/>
              </w:numPr>
              <w:spacing w:after="0"/>
            </w:pPr>
            <w:r>
              <w:t>National TB Prevalence Survey 201</w:t>
            </w:r>
            <w:r w:rsidR="00C8719A">
              <w:t>6</w:t>
            </w:r>
          </w:p>
        </w:tc>
        <w:tc>
          <w:tcPr>
            <w:tcW w:w="3035" w:type="dxa"/>
            <w:shd w:val="clear" w:color="auto" w:fill="FFFFFF" w:themeFill="text2" w:themeFillTint="33"/>
            <w:vAlign w:val="center"/>
          </w:tcPr>
          <w:p w14:paraId="4A522983" w14:textId="19FCD195" w:rsidR="007067E7"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4D0F624D" w14:textId="3631361E" w:rsidR="007067E7" w:rsidRPr="005305D5" w:rsidRDefault="0057536C" w:rsidP="007067E7">
            <w:pPr>
              <w:spacing w:after="0"/>
            </w:pPr>
            <w:r>
              <w:t>Page 5-10</w:t>
            </w:r>
          </w:p>
        </w:tc>
      </w:tr>
      <w:tr w:rsidR="007067E7" w:rsidRPr="005305D5" w14:paraId="2C7E83FD" w14:textId="77777777" w:rsidTr="007067E7">
        <w:trPr>
          <w:trHeight w:val="553"/>
        </w:trPr>
        <w:tc>
          <w:tcPr>
            <w:tcW w:w="5274" w:type="dxa"/>
            <w:tcBorders>
              <w:left w:val="single" w:sz="4" w:space="0" w:color="808080" w:themeColor="background1" w:themeShade="80"/>
            </w:tcBorders>
            <w:vAlign w:val="center"/>
          </w:tcPr>
          <w:p w14:paraId="77533BAC" w14:textId="710F44F3" w:rsidR="007067E7" w:rsidRDefault="007067E7" w:rsidP="00E07C20">
            <w:pPr>
              <w:pStyle w:val="ListParagraph"/>
              <w:numPr>
                <w:ilvl w:val="0"/>
                <w:numId w:val="31"/>
              </w:numPr>
              <w:spacing w:after="0"/>
            </w:pPr>
            <w:r>
              <w:t xml:space="preserve">Joint Program Review </w:t>
            </w:r>
            <w:r w:rsidR="0012085B">
              <w:t xml:space="preserve">and Epidemiologic Analysis </w:t>
            </w:r>
            <w:r>
              <w:t>2019</w:t>
            </w:r>
          </w:p>
        </w:tc>
        <w:tc>
          <w:tcPr>
            <w:tcW w:w="3035" w:type="dxa"/>
            <w:shd w:val="clear" w:color="auto" w:fill="FFFFFF" w:themeFill="text2" w:themeFillTint="33"/>
            <w:vAlign w:val="center"/>
          </w:tcPr>
          <w:p w14:paraId="4F252534" w14:textId="1300F74E" w:rsidR="007067E7"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5F110F22" w14:textId="378100C8" w:rsidR="007067E7" w:rsidRPr="005305D5" w:rsidRDefault="00FC1EBC" w:rsidP="007067E7">
            <w:pPr>
              <w:spacing w:after="0"/>
            </w:pPr>
            <w:r>
              <w:t xml:space="preserve">Full Document </w:t>
            </w:r>
          </w:p>
        </w:tc>
      </w:tr>
      <w:tr w:rsidR="007067E7" w:rsidRPr="005305D5" w14:paraId="0FC1193E" w14:textId="77777777" w:rsidTr="007067E7">
        <w:trPr>
          <w:trHeight w:val="553"/>
        </w:trPr>
        <w:tc>
          <w:tcPr>
            <w:tcW w:w="5274" w:type="dxa"/>
            <w:tcBorders>
              <w:left w:val="single" w:sz="4" w:space="0" w:color="808080" w:themeColor="background1" w:themeShade="80"/>
            </w:tcBorders>
            <w:vAlign w:val="center"/>
          </w:tcPr>
          <w:p w14:paraId="0C35D3BB" w14:textId="57A16569" w:rsidR="007067E7" w:rsidRDefault="007067E7" w:rsidP="00E07C20">
            <w:pPr>
              <w:pStyle w:val="ListParagraph"/>
              <w:numPr>
                <w:ilvl w:val="0"/>
                <w:numId w:val="31"/>
              </w:numPr>
              <w:spacing w:after="0"/>
            </w:pPr>
            <w:r>
              <w:t>Quality of TB Service Assessment 2019</w:t>
            </w:r>
          </w:p>
        </w:tc>
        <w:tc>
          <w:tcPr>
            <w:tcW w:w="3035" w:type="dxa"/>
            <w:shd w:val="clear" w:color="auto" w:fill="FFFFFF" w:themeFill="text2" w:themeFillTint="33"/>
            <w:vAlign w:val="center"/>
          </w:tcPr>
          <w:p w14:paraId="080866A2" w14:textId="271C2B54" w:rsidR="007067E7"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45560315" w14:textId="3261B526" w:rsidR="007067E7" w:rsidRPr="005305D5" w:rsidRDefault="0057536C" w:rsidP="007067E7">
            <w:pPr>
              <w:spacing w:after="0"/>
            </w:pPr>
            <w:r>
              <w:t>Page 11-14</w:t>
            </w:r>
          </w:p>
        </w:tc>
      </w:tr>
      <w:tr w:rsidR="007067E7" w:rsidRPr="005305D5" w14:paraId="28719356" w14:textId="77777777" w:rsidTr="007067E7">
        <w:trPr>
          <w:trHeight w:val="553"/>
        </w:trPr>
        <w:tc>
          <w:tcPr>
            <w:tcW w:w="5274" w:type="dxa"/>
            <w:tcBorders>
              <w:left w:val="single" w:sz="4" w:space="0" w:color="808080" w:themeColor="background1" w:themeShade="80"/>
            </w:tcBorders>
            <w:vAlign w:val="center"/>
          </w:tcPr>
          <w:p w14:paraId="5D1E3BA7" w14:textId="65BC5E49" w:rsidR="007067E7" w:rsidRDefault="007067E7" w:rsidP="00E07C20">
            <w:pPr>
              <w:pStyle w:val="ListParagraph"/>
              <w:numPr>
                <w:ilvl w:val="0"/>
                <w:numId w:val="31"/>
              </w:numPr>
              <w:spacing w:after="0"/>
            </w:pPr>
            <w:r>
              <w:t>Regional GLC Mission Report on Social Protection 2018</w:t>
            </w:r>
          </w:p>
        </w:tc>
        <w:tc>
          <w:tcPr>
            <w:tcW w:w="3035" w:type="dxa"/>
            <w:shd w:val="clear" w:color="auto" w:fill="FFFFFF" w:themeFill="text2" w:themeFillTint="33"/>
            <w:vAlign w:val="center"/>
          </w:tcPr>
          <w:p w14:paraId="6BE36F80" w14:textId="7EB6EDA2" w:rsidR="007067E7"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0F3968AE" w14:textId="4AA4F5B9" w:rsidR="007067E7" w:rsidRPr="005305D5" w:rsidRDefault="0057536C" w:rsidP="007067E7">
            <w:pPr>
              <w:spacing w:after="0"/>
            </w:pPr>
            <w:r>
              <w:t>Page 3-5</w:t>
            </w:r>
          </w:p>
        </w:tc>
      </w:tr>
      <w:tr w:rsidR="00601832" w:rsidRPr="005305D5" w14:paraId="2CAC18CB" w14:textId="77777777" w:rsidTr="007067E7">
        <w:trPr>
          <w:trHeight w:val="553"/>
        </w:trPr>
        <w:tc>
          <w:tcPr>
            <w:tcW w:w="5274" w:type="dxa"/>
            <w:tcBorders>
              <w:left w:val="single" w:sz="4" w:space="0" w:color="808080" w:themeColor="background1" w:themeShade="80"/>
            </w:tcBorders>
            <w:vAlign w:val="center"/>
          </w:tcPr>
          <w:p w14:paraId="35A0CFAB" w14:textId="773FDFAF" w:rsidR="00601832" w:rsidRDefault="00601832" w:rsidP="00E07C20">
            <w:pPr>
              <w:pStyle w:val="ListParagraph"/>
              <w:numPr>
                <w:ilvl w:val="0"/>
                <w:numId w:val="31"/>
              </w:numPr>
              <w:spacing w:after="0"/>
            </w:pPr>
            <w:r>
              <w:t>A</w:t>
            </w:r>
            <w:r w:rsidR="006E3AE9">
              <w:t>uTuMN</w:t>
            </w:r>
            <w:r>
              <w:t xml:space="preserve"> Modelling </w:t>
            </w:r>
            <w:r w:rsidR="008846BB">
              <w:t>2017</w:t>
            </w:r>
          </w:p>
        </w:tc>
        <w:tc>
          <w:tcPr>
            <w:tcW w:w="3035" w:type="dxa"/>
            <w:shd w:val="clear" w:color="auto" w:fill="FFFFFF" w:themeFill="text2" w:themeFillTint="33"/>
            <w:vAlign w:val="center"/>
          </w:tcPr>
          <w:p w14:paraId="754BA191" w14:textId="77777777" w:rsidR="00601832" w:rsidRDefault="00601832" w:rsidP="007067E7">
            <w:pPr>
              <w:pStyle w:val="ListParagraph"/>
              <w:spacing w:after="0"/>
              <w:ind w:left="360"/>
            </w:pPr>
          </w:p>
        </w:tc>
        <w:tc>
          <w:tcPr>
            <w:tcW w:w="2465" w:type="dxa"/>
            <w:tcBorders>
              <w:right w:val="single" w:sz="4" w:space="0" w:color="808080" w:themeColor="background1" w:themeShade="80"/>
            </w:tcBorders>
            <w:vAlign w:val="center"/>
          </w:tcPr>
          <w:p w14:paraId="71823EB2" w14:textId="3AB52812" w:rsidR="00601832" w:rsidRPr="005305D5" w:rsidRDefault="008846BB" w:rsidP="007067E7">
            <w:pPr>
              <w:spacing w:after="0"/>
            </w:pPr>
            <w:r>
              <w:t>Page 4-5</w:t>
            </w:r>
          </w:p>
        </w:tc>
      </w:tr>
      <w:tr w:rsidR="00C8719A" w:rsidRPr="005305D5" w14:paraId="4098DD1B" w14:textId="77777777" w:rsidTr="007067E7">
        <w:trPr>
          <w:trHeight w:val="553"/>
        </w:trPr>
        <w:tc>
          <w:tcPr>
            <w:tcW w:w="5274" w:type="dxa"/>
            <w:tcBorders>
              <w:left w:val="single" w:sz="4" w:space="0" w:color="808080" w:themeColor="background1" w:themeShade="80"/>
            </w:tcBorders>
            <w:vAlign w:val="center"/>
          </w:tcPr>
          <w:p w14:paraId="69C5FA57" w14:textId="39DD06D8" w:rsidR="00C8719A" w:rsidRDefault="00C8719A" w:rsidP="00E07C20">
            <w:pPr>
              <w:pStyle w:val="ListParagraph"/>
              <w:numPr>
                <w:ilvl w:val="0"/>
                <w:numId w:val="31"/>
              </w:numPr>
              <w:spacing w:after="0"/>
            </w:pPr>
            <w:r>
              <w:t>VALUE TB 2019</w:t>
            </w:r>
          </w:p>
        </w:tc>
        <w:tc>
          <w:tcPr>
            <w:tcW w:w="3035" w:type="dxa"/>
            <w:shd w:val="clear" w:color="auto" w:fill="FFFFFF" w:themeFill="text2" w:themeFillTint="33"/>
            <w:vAlign w:val="center"/>
          </w:tcPr>
          <w:p w14:paraId="6B21C780" w14:textId="77777777" w:rsidR="00C8719A" w:rsidRDefault="00C8719A" w:rsidP="007067E7">
            <w:pPr>
              <w:pStyle w:val="ListParagraph"/>
              <w:spacing w:after="0"/>
              <w:ind w:left="360"/>
            </w:pPr>
          </w:p>
        </w:tc>
        <w:tc>
          <w:tcPr>
            <w:tcW w:w="2465" w:type="dxa"/>
            <w:tcBorders>
              <w:right w:val="single" w:sz="4" w:space="0" w:color="808080" w:themeColor="background1" w:themeShade="80"/>
            </w:tcBorders>
            <w:vAlign w:val="center"/>
          </w:tcPr>
          <w:p w14:paraId="09EF68EC" w14:textId="4017AB2C" w:rsidR="00C8719A" w:rsidRDefault="0057536C" w:rsidP="007067E7">
            <w:pPr>
              <w:spacing w:after="0"/>
            </w:pPr>
            <w:r>
              <w:t>Slide 33-95</w:t>
            </w:r>
          </w:p>
        </w:tc>
      </w:tr>
      <w:tr w:rsidR="00721D89" w:rsidRPr="005305D5" w14:paraId="1C18D48A" w14:textId="77777777" w:rsidTr="007067E7">
        <w:trPr>
          <w:trHeight w:val="553"/>
        </w:trPr>
        <w:tc>
          <w:tcPr>
            <w:tcW w:w="5274" w:type="dxa"/>
            <w:tcBorders>
              <w:left w:val="single" w:sz="4" w:space="0" w:color="808080" w:themeColor="background1" w:themeShade="80"/>
            </w:tcBorders>
            <w:vAlign w:val="center"/>
          </w:tcPr>
          <w:p w14:paraId="3D1ED4BD" w14:textId="2BBA5F38" w:rsidR="00721D89" w:rsidRDefault="00721D89" w:rsidP="00E07C20">
            <w:pPr>
              <w:pStyle w:val="ListParagraph"/>
              <w:numPr>
                <w:ilvl w:val="0"/>
                <w:numId w:val="31"/>
              </w:numPr>
              <w:spacing w:after="0"/>
            </w:pPr>
            <w:r>
              <w:t>PPM Action Plan 2017</w:t>
            </w:r>
          </w:p>
        </w:tc>
        <w:tc>
          <w:tcPr>
            <w:tcW w:w="3035" w:type="dxa"/>
            <w:shd w:val="clear" w:color="auto" w:fill="FFFFFF" w:themeFill="text2" w:themeFillTint="33"/>
            <w:vAlign w:val="center"/>
          </w:tcPr>
          <w:p w14:paraId="62D43C09" w14:textId="77777777" w:rsidR="00721D89" w:rsidRDefault="00721D89" w:rsidP="007067E7">
            <w:pPr>
              <w:pStyle w:val="ListParagraph"/>
              <w:spacing w:after="0"/>
              <w:ind w:left="360"/>
            </w:pPr>
          </w:p>
        </w:tc>
        <w:tc>
          <w:tcPr>
            <w:tcW w:w="2465" w:type="dxa"/>
            <w:tcBorders>
              <w:right w:val="single" w:sz="4" w:space="0" w:color="808080" w:themeColor="background1" w:themeShade="80"/>
            </w:tcBorders>
            <w:vAlign w:val="center"/>
          </w:tcPr>
          <w:p w14:paraId="03101C42" w14:textId="03A7FE05" w:rsidR="00721D89" w:rsidRPr="005305D5" w:rsidRDefault="0057536C" w:rsidP="007067E7">
            <w:pPr>
              <w:spacing w:after="0"/>
            </w:pPr>
            <w:r>
              <w:t>Full document</w:t>
            </w:r>
          </w:p>
        </w:tc>
      </w:tr>
      <w:tr w:rsidR="007067E7" w:rsidRPr="005305D5" w14:paraId="07D5C2BE" w14:textId="77777777" w:rsidTr="007067E7">
        <w:trPr>
          <w:trHeight w:val="553"/>
        </w:trPr>
        <w:tc>
          <w:tcPr>
            <w:tcW w:w="5274" w:type="dxa"/>
            <w:tcBorders>
              <w:left w:val="single" w:sz="4" w:space="0" w:color="808080" w:themeColor="background1" w:themeShade="80"/>
            </w:tcBorders>
            <w:vAlign w:val="center"/>
          </w:tcPr>
          <w:p w14:paraId="5C2F1D3B" w14:textId="2D9D164B" w:rsidR="007067E7" w:rsidRDefault="007067E7" w:rsidP="00E07C20">
            <w:pPr>
              <w:pStyle w:val="ListParagraph"/>
              <w:numPr>
                <w:ilvl w:val="0"/>
                <w:numId w:val="31"/>
              </w:numPr>
              <w:spacing w:after="0"/>
            </w:pPr>
            <w:r>
              <w:lastRenderedPageBreak/>
              <w:t>WHO Report/Country Profile 201</w:t>
            </w:r>
            <w:r w:rsidR="00D95C97">
              <w:t>9</w:t>
            </w:r>
          </w:p>
        </w:tc>
        <w:tc>
          <w:tcPr>
            <w:tcW w:w="3035" w:type="dxa"/>
            <w:shd w:val="clear" w:color="auto" w:fill="FFFFFF" w:themeFill="text2" w:themeFillTint="33"/>
            <w:vAlign w:val="center"/>
          </w:tcPr>
          <w:p w14:paraId="16815254" w14:textId="4AC761ED" w:rsidR="007067E7"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7A401796" w14:textId="63226354" w:rsidR="007067E7" w:rsidRPr="005305D5" w:rsidRDefault="00FC1EBC" w:rsidP="007067E7">
            <w:pPr>
              <w:spacing w:after="0"/>
            </w:pPr>
            <w:r>
              <w:t>Full document</w:t>
            </w:r>
          </w:p>
        </w:tc>
      </w:tr>
      <w:tr w:rsidR="007067E7" w:rsidRPr="005305D5" w14:paraId="5B88E0EC" w14:textId="77777777" w:rsidTr="007067E7">
        <w:trPr>
          <w:trHeight w:val="553"/>
        </w:trPr>
        <w:tc>
          <w:tcPr>
            <w:tcW w:w="5274" w:type="dxa"/>
            <w:tcBorders>
              <w:left w:val="single" w:sz="4" w:space="0" w:color="808080" w:themeColor="background1" w:themeShade="80"/>
            </w:tcBorders>
            <w:vAlign w:val="center"/>
          </w:tcPr>
          <w:p w14:paraId="3B6A8557" w14:textId="109EF8BC" w:rsidR="007067E7" w:rsidRDefault="007067E7" w:rsidP="00E07C20">
            <w:pPr>
              <w:pStyle w:val="ListParagraph"/>
              <w:numPr>
                <w:ilvl w:val="0"/>
                <w:numId w:val="31"/>
              </w:numPr>
              <w:spacing w:after="0"/>
            </w:pPr>
            <w:r>
              <w:t xml:space="preserve">WHO Report/TB SDG Monitoring </w:t>
            </w:r>
          </w:p>
        </w:tc>
        <w:tc>
          <w:tcPr>
            <w:tcW w:w="3035" w:type="dxa"/>
            <w:shd w:val="clear" w:color="auto" w:fill="FFFFFF" w:themeFill="text2" w:themeFillTint="33"/>
            <w:vAlign w:val="center"/>
          </w:tcPr>
          <w:p w14:paraId="008A2A7C" w14:textId="5E04A786" w:rsidR="007067E7"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4F8C7C49" w14:textId="3A81656D" w:rsidR="007067E7" w:rsidRPr="005305D5" w:rsidRDefault="00FC1EBC" w:rsidP="007067E7">
            <w:pPr>
              <w:spacing w:after="0"/>
            </w:pPr>
            <w:r>
              <w:t xml:space="preserve">Full document </w:t>
            </w:r>
          </w:p>
        </w:tc>
      </w:tr>
      <w:tr w:rsidR="007067E7" w:rsidRPr="005305D5" w14:paraId="75FF6D1E" w14:textId="77777777" w:rsidTr="007067E7">
        <w:trPr>
          <w:trHeight w:val="553"/>
        </w:trPr>
        <w:tc>
          <w:tcPr>
            <w:tcW w:w="5274" w:type="dxa"/>
            <w:tcBorders>
              <w:left w:val="single" w:sz="4" w:space="0" w:color="808080" w:themeColor="background1" w:themeShade="80"/>
            </w:tcBorders>
            <w:vAlign w:val="center"/>
          </w:tcPr>
          <w:p w14:paraId="2D6C302C" w14:textId="3DB8ED95" w:rsidR="007067E7" w:rsidRDefault="007067E7" w:rsidP="00E07C20">
            <w:pPr>
              <w:pStyle w:val="ListParagraph"/>
              <w:numPr>
                <w:ilvl w:val="0"/>
                <w:numId w:val="31"/>
              </w:numPr>
              <w:spacing w:after="0"/>
            </w:pPr>
            <w:r>
              <w:t>WHO Report/TB Financing 2017</w:t>
            </w:r>
          </w:p>
        </w:tc>
        <w:tc>
          <w:tcPr>
            <w:tcW w:w="3035" w:type="dxa"/>
            <w:shd w:val="clear" w:color="auto" w:fill="FFFFFF" w:themeFill="text2" w:themeFillTint="33"/>
            <w:vAlign w:val="center"/>
          </w:tcPr>
          <w:p w14:paraId="2A80C1E8" w14:textId="739BA521" w:rsidR="007067E7" w:rsidRDefault="007067E7" w:rsidP="007067E7">
            <w:pPr>
              <w:pStyle w:val="ListParagraph"/>
              <w:spacing w:after="0"/>
              <w:ind w:left="360"/>
            </w:pPr>
          </w:p>
        </w:tc>
        <w:tc>
          <w:tcPr>
            <w:tcW w:w="2465" w:type="dxa"/>
            <w:tcBorders>
              <w:right w:val="single" w:sz="4" w:space="0" w:color="808080" w:themeColor="background1" w:themeShade="80"/>
            </w:tcBorders>
            <w:vAlign w:val="center"/>
          </w:tcPr>
          <w:p w14:paraId="289BA46B" w14:textId="44B41C21" w:rsidR="007067E7" w:rsidRPr="005305D5" w:rsidRDefault="00FC1EBC" w:rsidP="007067E7">
            <w:pPr>
              <w:spacing w:after="0"/>
            </w:pPr>
            <w:r>
              <w:t xml:space="preserve">Full document </w:t>
            </w:r>
          </w:p>
        </w:tc>
      </w:tr>
    </w:tbl>
    <w:p w14:paraId="047EDC28" w14:textId="7EC45173" w:rsidR="0098274C" w:rsidRDefault="0098274C" w:rsidP="009B6729">
      <w:pPr>
        <w:spacing w:after="0"/>
      </w:pPr>
    </w:p>
    <w:p w14:paraId="284F4C2C" w14:textId="1D7DA696" w:rsidR="009B6729" w:rsidRPr="009B6729" w:rsidRDefault="009B6729" w:rsidP="009B6729">
      <w:pPr>
        <w:spacing w:after="0"/>
        <w:rPr>
          <w:b/>
          <w:bCs/>
          <w:color w:val="FF0000"/>
        </w:rPr>
      </w:pPr>
      <w:r w:rsidRPr="009B6729">
        <w:rPr>
          <w:b/>
          <w:bCs/>
          <w:color w:val="FF0000"/>
        </w:rPr>
        <w:t xml:space="preserve">SEE ANNEXES VIA </w:t>
      </w:r>
      <w:r>
        <w:rPr>
          <w:b/>
          <w:bCs/>
          <w:color w:val="FF0000"/>
        </w:rPr>
        <w:t xml:space="preserve">THIS </w:t>
      </w:r>
      <w:r w:rsidRPr="009B6729">
        <w:rPr>
          <w:b/>
          <w:bCs/>
          <w:color w:val="FF0000"/>
        </w:rPr>
        <w:t>LINK:</w:t>
      </w:r>
      <w:bookmarkStart w:id="7" w:name="_GoBack"/>
      <w:bookmarkEnd w:id="7"/>
    </w:p>
    <w:p w14:paraId="3448240A" w14:textId="77777777" w:rsidR="009B6729" w:rsidRPr="009B6729" w:rsidRDefault="009B6729" w:rsidP="009B6729">
      <w:pPr>
        <w:spacing w:after="0"/>
        <w:rPr>
          <w:b/>
          <w:bCs/>
          <w:color w:val="FF0000"/>
        </w:rPr>
      </w:pPr>
    </w:p>
    <w:p w14:paraId="4C7594D3" w14:textId="4E9B642E" w:rsidR="009B6729" w:rsidRPr="009B6729" w:rsidRDefault="009B6729" w:rsidP="009B6729">
      <w:pPr>
        <w:spacing w:after="0"/>
        <w:rPr>
          <w:b/>
          <w:bCs/>
          <w:color w:val="FF0000"/>
        </w:rPr>
      </w:pPr>
      <w:r w:rsidRPr="009B6729">
        <w:rPr>
          <w:b/>
          <w:bCs/>
          <w:color w:val="FF0000"/>
        </w:rPr>
        <w:t>https://www.dropbox.com/sh/m030phe06egjwz6/AADyCsTEpVge0SZuWUtuX-1ga?dl=0</w:t>
      </w:r>
    </w:p>
    <w:p w14:paraId="355DA25B" w14:textId="77777777" w:rsidR="00DE1608" w:rsidRPr="005305D5" w:rsidRDefault="00DE1608" w:rsidP="009B6C0D">
      <w:pPr>
        <w:pStyle w:val="ListParagraph"/>
        <w:spacing w:after="0"/>
      </w:pPr>
    </w:p>
    <w:p w14:paraId="11D0AC52" w14:textId="3C056797" w:rsidR="0098274C" w:rsidRPr="005305D5" w:rsidRDefault="0098274C" w:rsidP="00E07C20">
      <w:pPr>
        <w:pStyle w:val="Heading2"/>
        <w:numPr>
          <w:ilvl w:val="1"/>
          <w:numId w:val="24"/>
        </w:numPr>
        <w:shd w:val="clear" w:color="auto" w:fill="D9D9D9" w:themeFill="background1" w:themeFillShade="D9"/>
        <w:spacing w:before="0" w:after="0" w:line="240" w:lineRule="auto"/>
        <w:contextualSpacing/>
      </w:pPr>
      <w:r w:rsidRPr="005305D5">
        <w:t>Summary of Country Context</w:t>
      </w:r>
    </w:p>
    <w:p w14:paraId="1CB8ECC5" w14:textId="77777777" w:rsidR="009B6C0D" w:rsidRDefault="009B6C0D" w:rsidP="009B6C0D">
      <w:pPr>
        <w:spacing w:after="0"/>
        <w:jc w:val="both"/>
      </w:pPr>
    </w:p>
    <w:p w14:paraId="5898BB00" w14:textId="04611D97" w:rsidR="009E6642" w:rsidRPr="004F1255" w:rsidRDefault="000C4A65" w:rsidP="009B6C0D">
      <w:pPr>
        <w:spacing w:after="0"/>
        <w:jc w:val="both"/>
      </w:pPr>
      <w:r w:rsidRPr="004F1255">
        <w:t>E</w:t>
      </w:r>
      <w:r w:rsidR="0098274C" w:rsidRPr="004F1255">
        <w:t xml:space="preserve">xplain critical elements of the </w:t>
      </w:r>
      <w:r w:rsidR="0098274C" w:rsidRPr="002F3609">
        <w:rPr>
          <w:b/>
        </w:rPr>
        <w:t>country context</w:t>
      </w:r>
      <w:r w:rsidR="0098274C" w:rsidRPr="004F1255">
        <w:t xml:space="preserve"> that informed the development of this funding request</w:t>
      </w:r>
      <w:r w:rsidR="00A321C0" w:rsidRPr="004F1255">
        <w:t xml:space="preserve">. </w:t>
      </w:r>
    </w:p>
    <w:p w14:paraId="184A0E5E" w14:textId="7D5FFCE8" w:rsidR="00A321C0" w:rsidRDefault="00A321C0" w:rsidP="009B6C0D">
      <w:pPr>
        <w:spacing w:after="0"/>
        <w:jc w:val="both"/>
      </w:pPr>
      <w:r w:rsidRPr="004F1255">
        <w:t>The following points should be addressed in the response:</w:t>
      </w:r>
    </w:p>
    <w:p w14:paraId="66764B16" w14:textId="77777777" w:rsidR="009B6C0D" w:rsidRPr="004F1255" w:rsidRDefault="009B6C0D" w:rsidP="009B6C0D">
      <w:pPr>
        <w:spacing w:after="0"/>
        <w:jc w:val="both"/>
      </w:pPr>
    </w:p>
    <w:p w14:paraId="50DE380F" w14:textId="22613C63" w:rsidR="00A321C0" w:rsidRPr="004F1255" w:rsidRDefault="00CA301B" w:rsidP="00E07C20">
      <w:pPr>
        <w:pStyle w:val="ListParagraph"/>
        <w:numPr>
          <w:ilvl w:val="0"/>
          <w:numId w:val="23"/>
        </w:numPr>
        <w:spacing w:after="0"/>
        <w:jc w:val="both"/>
      </w:pPr>
      <w:r>
        <w:t>T</w:t>
      </w:r>
      <w:r w:rsidR="00A321C0" w:rsidRPr="004F1255">
        <w:t>he epidemiological context and other relevant disease</w:t>
      </w:r>
      <w:r w:rsidR="003D64DD" w:rsidRPr="004F1255">
        <w:t>-specific</w:t>
      </w:r>
      <w:r w:rsidR="003440ED" w:rsidRPr="004F1255">
        <w:t xml:space="preserve"> </w:t>
      </w:r>
      <w:proofErr w:type="gramStart"/>
      <w:r w:rsidR="003440ED" w:rsidRPr="004F1255">
        <w:t>information</w:t>
      </w:r>
      <w:r w:rsidR="00A321C0" w:rsidRPr="004F1255">
        <w:t>;</w:t>
      </w:r>
      <w:proofErr w:type="gramEnd"/>
      <w:r w:rsidR="00A321C0" w:rsidRPr="004F1255">
        <w:t xml:space="preserve"> </w:t>
      </w:r>
    </w:p>
    <w:p w14:paraId="49150285" w14:textId="1AAD6CF6" w:rsidR="00A321C0" w:rsidRPr="004F1255" w:rsidRDefault="00CA301B" w:rsidP="00E07C20">
      <w:pPr>
        <w:pStyle w:val="ListParagraph"/>
        <w:numPr>
          <w:ilvl w:val="0"/>
          <w:numId w:val="23"/>
        </w:numPr>
        <w:spacing w:after="0"/>
        <w:jc w:val="both"/>
      </w:pPr>
      <w:r>
        <w:t>I</w:t>
      </w:r>
      <w:r w:rsidR="00A321C0" w:rsidRPr="004F1255">
        <w:t xml:space="preserve">nformation on </w:t>
      </w:r>
      <w:r w:rsidR="003440ED" w:rsidRPr="004F1255">
        <w:t xml:space="preserve">disease-specific and </w:t>
      </w:r>
      <w:r w:rsidR="00A321C0" w:rsidRPr="004F1255">
        <w:t>the overall health system</w:t>
      </w:r>
      <w:r w:rsidR="003440ED" w:rsidRPr="004F1255">
        <w:t>s</w:t>
      </w:r>
      <w:r w:rsidR="00460061" w:rsidRPr="004F1255">
        <w:t xml:space="preserve">, along with the linkages between </w:t>
      </w:r>
      <w:proofErr w:type="gramStart"/>
      <w:r w:rsidR="00460061" w:rsidRPr="004F1255">
        <w:t>the</w:t>
      </w:r>
      <w:r w:rsidR="003440ED" w:rsidRPr="004F1255">
        <w:t>m</w:t>
      </w:r>
      <w:r w:rsidR="00A321C0" w:rsidRPr="004F1255">
        <w:t>;</w:t>
      </w:r>
      <w:proofErr w:type="gramEnd"/>
      <w:r w:rsidR="00A321C0" w:rsidRPr="004F1255">
        <w:t xml:space="preserve"> </w:t>
      </w:r>
    </w:p>
    <w:p w14:paraId="3B7D3323" w14:textId="1812910B" w:rsidR="003440ED" w:rsidRPr="004F1255" w:rsidRDefault="00CA301B" w:rsidP="00E07C20">
      <w:pPr>
        <w:pStyle w:val="ListParagraph"/>
        <w:numPr>
          <w:ilvl w:val="0"/>
          <w:numId w:val="23"/>
        </w:numPr>
        <w:spacing w:after="0"/>
        <w:jc w:val="both"/>
      </w:pPr>
      <w:r>
        <w:t>R</w:t>
      </w:r>
      <w:r w:rsidR="003440ED" w:rsidRPr="004F1255">
        <w:t>elevant key and</w:t>
      </w:r>
      <w:r w:rsidR="002F6CF4">
        <w:t>/or</w:t>
      </w:r>
      <w:r w:rsidR="003440ED" w:rsidRPr="004F1255">
        <w:t xml:space="preserve"> vulnerable </w:t>
      </w:r>
      <w:proofErr w:type="gramStart"/>
      <w:r w:rsidR="003440ED" w:rsidRPr="004F1255">
        <w:t>populations</w:t>
      </w:r>
      <w:r w:rsidR="008D56C7">
        <w:t>;</w:t>
      </w:r>
      <w:proofErr w:type="gramEnd"/>
      <w:r w:rsidR="003440ED" w:rsidRPr="004F1255">
        <w:t xml:space="preserve"> </w:t>
      </w:r>
    </w:p>
    <w:p w14:paraId="4D1FA686" w14:textId="312333C1" w:rsidR="003440ED" w:rsidRPr="004F1255" w:rsidRDefault="00CA301B" w:rsidP="00E07C20">
      <w:pPr>
        <w:pStyle w:val="ListParagraph"/>
        <w:numPr>
          <w:ilvl w:val="0"/>
          <w:numId w:val="23"/>
        </w:numPr>
        <w:spacing w:after="0"/>
        <w:jc w:val="both"/>
      </w:pPr>
      <w:r>
        <w:t>H</w:t>
      </w:r>
      <w:r w:rsidR="003440ED" w:rsidRPr="004F1255">
        <w:t xml:space="preserve">uman rights, gender and age-related barriers and inequities in access to </w:t>
      </w:r>
      <w:proofErr w:type="gramStart"/>
      <w:r w:rsidR="003440ED" w:rsidRPr="004F1255">
        <w:t>services;</w:t>
      </w:r>
      <w:proofErr w:type="gramEnd"/>
      <w:r w:rsidR="003440ED" w:rsidRPr="004F1255">
        <w:t xml:space="preserve"> </w:t>
      </w:r>
    </w:p>
    <w:p w14:paraId="5244303B" w14:textId="5BE000FE" w:rsidR="003440ED" w:rsidRPr="004F1255" w:rsidRDefault="00CA301B" w:rsidP="00E07C20">
      <w:pPr>
        <w:pStyle w:val="ListParagraph"/>
        <w:numPr>
          <w:ilvl w:val="0"/>
          <w:numId w:val="23"/>
        </w:numPr>
        <w:spacing w:after="0"/>
        <w:jc w:val="both"/>
      </w:pPr>
      <w:r>
        <w:t>S</w:t>
      </w:r>
      <w:r w:rsidR="003440ED" w:rsidRPr="004F1255">
        <w:t xml:space="preserve">ocio-economic, geographic, and other barriers and inequities in access to health </w:t>
      </w:r>
      <w:proofErr w:type="gramStart"/>
      <w:r w:rsidR="003440ED" w:rsidRPr="004F1255">
        <w:t>services</w:t>
      </w:r>
      <w:r w:rsidR="000F55C3">
        <w:t>;</w:t>
      </w:r>
      <w:proofErr w:type="gramEnd"/>
      <w:r w:rsidR="003440ED" w:rsidRPr="004F1255">
        <w:t xml:space="preserve"> </w:t>
      </w:r>
    </w:p>
    <w:p w14:paraId="1CFB2133" w14:textId="21746F4D" w:rsidR="003440ED" w:rsidRPr="004F1255" w:rsidRDefault="00CA301B" w:rsidP="00E07C20">
      <w:pPr>
        <w:pStyle w:val="ListParagraph"/>
        <w:numPr>
          <w:ilvl w:val="0"/>
          <w:numId w:val="23"/>
        </w:numPr>
        <w:spacing w:after="0"/>
        <w:jc w:val="both"/>
      </w:pPr>
      <w:r>
        <w:t>C</w:t>
      </w:r>
      <w:r w:rsidR="003440ED" w:rsidRPr="004F1255">
        <w:t>ommunity responses and engagement; and</w:t>
      </w:r>
    </w:p>
    <w:p w14:paraId="1D6D5798" w14:textId="74D2FCEF" w:rsidR="00A321C0" w:rsidRDefault="006D0956" w:rsidP="00E07C20">
      <w:pPr>
        <w:pStyle w:val="ListParagraph"/>
        <w:numPr>
          <w:ilvl w:val="0"/>
          <w:numId w:val="23"/>
        </w:numPr>
        <w:spacing w:after="0"/>
        <w:jc w:val="both"/>
      </w:pPr>
      <w:r>
        <w:t xml:space="preserve">The </w:t>
      </w:r>
      <w:r w:rsidR="003440ED" w:rsidRPr="004F1255">
        <w:t>role of the private sector.</w:t>
      </w:r>
    </w:p>
    <w:p w14:paraId="5D3E6485" w14:textId="77777777" w:rsidR="009B6C0D" w:rsidRPr="004F1255" w:rsidRDefault="009B6C0D" w:rsidP="009B6C0D">
      <w:pPr>
        <w:pStyle w:val="ListParagraph"/>
        <w:spacing w:after="0"/>
        <w:jc w:val="both"/>
      </w:pPr>
    </w:p>
    <w:p w14:paraId="17F9E7EB" w14:textId="3DA31A5C" w:rsidR="000C4A65" w:rsidRDefault="000C4A65" w:rsidP="009B6C0D">
      <w:pPr>
        <w:spacing w:after="0"/>
        <w:jc w:val="both"/>
      </w:pPr>
      <w:r w:rsidRPr="004F1255">
        <w:t xml:space="preserve">Refer to information provided in </w:t>
      </w:r>
      <w:r w:rsidR="003440ED" w:rsidRPr="004F1255">
        <w:t xml:space="preserve">the </w:t>
      </w:r>
      <w:r w:rsidRPr="004F1255">
        <w:t xml:space="preserve">key reference documents listed in </w:t>
      </w:r>
      <w:r w:rsidRPr="004F1255">
        <w:rPr>
          <w:b/>
          <w:bCs/>
        </w:rPr>
        <w:t>Section 1.1</w:t>
      </w:r>
      <w:r w:rsidRPr="004F1255">
        <w:t>.</w:t>
      </w:r>
    </w:p>
    <w:p w14:paraId="3536FF4F" w14:textId="77777777" w:rsidR="009B6C0D" w:rsidRPr="000C4A65" w:rsidRDefault="009B6C0D" w:rsidP="009B6C0D">
      <w:pPr>
        <w:spacing w:after="0"/>
        <w:jc w:val="both"/>
        <w:rPr>
          <w:rFonts w:cs="Arial"/>
        </w:rPr>
      </w:pPr>
    </w:p>
    <w:tbl>
      <w:tblPr>
        <w:tblStyle w:val="TableGrid"/>
        <w:tblW w:w="0" w:type="auto"/>
        <w:tblLook w:val="04A0" w:firstRow="1" w:lastRow="0" w:firstColumn="1" w:lastColumn="0" w:noHBand="0" w:noVBand="1"/>
      </w:tblPr>
      <w:tblGrid>
        <w:gridCol w:w="10456"/>
      </w:tblGrid>
      <w:tr w:rsidR="0098274C" w:rsidRPr="005305D5" w14:paraId="6D1F33C2" w14:textId="77777777" w:rsidTr="000C4A65">
        <w:tc>
          <w:tcPr>
            <w:tcW w:w="10456" w:type="dxa"/>
          </w:tcPr>
          <w:p w14:paraId="10BC954A" w14:textId="54229B15" w:rsidR="007C08CC" w:rsidRDefault="007C08CC" w:rsidP="009B6C0D">
            <w:pPr>
              <w:spacing w:after="0"/>
              <w:rPr>
                <w:b/>
                <w:bCs/>
                <w:u w:val="single"/>
              </w:rPr>
            </w:pPr>
            <w:r w:rsidRPr="007C08CC">
              <w:rPr>
                <w:b/>
                <w:bCs/>
                <w:u w:val="single"/>
              </w:rPr>
              <w:t>Philippine Health System</w:t>
            </w:r>
          </w:p>
          <w:p w14:paraId="7F282E70" w14:textId="333B6243" w:rsidR="008345B1" w:rsidRPr="007C08CC" w:rsidRDefault="008345B1" w:rsidP="009B6C0D">
            <w:pPr>
              <w:spacing w:after="0"/>
              <w:rPr>
                <w:b/>
                <w:bCs/>
                <w:u w:val="single"/>
              </w:rPr>
            </w:pPr>
          </w:p>
          <w:p w14:paraId="11B402D8" w14:textId="61DF08FD" w:rsidR="00554CC7" w:rsidRDefault="00554CC7" w:rsidP="009B6C0D">
            <w:pPr>
              <w:spacing w:after="0"/>
            </w:pPr>
            <w:r>
              <w:t>The Philippines is an archipelago of more than 7400 islands in South East Asia</w:t>
            </w:r>
            <w:r w:rsidR="00E31A96">
              <w:t xml:space="preserve"> located </w:t>
            </w:r>
            <w:r>
              <w:t xml:space="preserve">in the Western Pacific Region. The World Bank categorized the Philippines as a low middle-income country with </w:t>
            </w:r>
            <w:r w:rsidR="00D95C97">
              <w:t xml:space="preserve">annual increase of </w:t>
            </w:r>
            <w:r>
              <w:t xml:space="preserve">gross domestic product at an average of 6.3% between 2010 and 2017. The population is estimated to be over 106 million in 2018 and has been growing at a rate of about 1.72% annually (2010-2015). </w:t>
            </w:r>
          </w:p>
          <w:p w14:paraId="7B3B78CE" w14:textId="77777777" w:rsidR="00554CC7" w:rsidRDefault="00554CC7" w:rsidP="009B6C0D">
            <w:pPr>
              <w:spacing w:after="0"/>
            </w:pPr>
          </w:p>
          <w:p w14:paraId="564ED56D" w14:textId="1283F0FF" w:rsidR="00554CC7" w:rsidRDefault="00554CC7" w:rsidP="009B6C0D">
            <w:pPr>
              <w:spacing w:after="0"/>
              <w:rPr>
                <w:rFonts w:ascii="Arial Narrow" w:eastAsia="Arial Narrow" w:hAnsi="Arial Narrow" w:cs="Arial Narrow"/>
              </w:rPr>
            </w:pPr>
            <w:r>
              <w:t>The Philippines’ health service delivery system is decentralized since 1991 and introduced a national health insurance program</w:t>
            </w:r>
            <w:r w:rsidR="00CD615D">
              <w:t xml:space="preserve"> (PhilHealth) </w:t>
            </w:r>
            <w:r>
              <w:t xml:space="preserve">in 1995. The delivery of healthcare is managed by the Department of Health (DOH) and the Local Government Units (LGU). The DOH oversees government corporate hospitals, specialty hospitals, and regional hospitals, while LGUs are responsible for the delivery of health care </w:t>
            </w:r>
            <w:r w:rsidRPr="00CD615D">
              <w:rPr>
                <w:rFonts w:asciiTheme="minorHAnsi" w:hAnsiTheme="minorHAnsi" w:cstheme="minorHAnsi"/>
              </w:rPr>
              <w:t>through provincial</w:t>
            </w:r>
            <w:r w:rsidR="00CD615D" w:rsidRPr="00CD615D">
              <w:rPr>
                <w:rFonts w:asciiTheme="minorHAnsi" w:hAnsiTheme="minorHAnsi" w:cstheme="minorHAnsi"/>
              </w:rPr>
              <w:t xml:space="preserve"> hospitals, district hospitals, health centers</w:t>
            </w:r>
            <w:r w:rsidR="000D4C1A">
              <w:rPr>
                <w:rFonts w:asciiTheme="minorHAnsi" w:hAnsiTheme="minorHAnsi" w:cstheme="minorHAnsi"/>
              </w:rPr>
              <w:t xml:space="preserve"> (HC)</w:t>
            </w:r>
            <w:r w:rsidR="00CD615D" w:rsidRPr="00CD615D">
              <w:rPr>
                <w:rFonts w:asciiTheme="minorHAnsi" w:hAnsiTheme="minorHAnsi" w:cstheme="minorHAnsi"/>
              </w:rPr>
              <w:t>, and barangay health stations</w:t>
            </w:r>
            <w:r w:rsidR="000D4C1A">
              <w:rPr>
                <w:rFonts w:asciiTheme="minorHAnsi" w:hAnsiTheme="minorHAnsi" w:cstheme="minorHAnsi"/>
              </w:rPr>
              <w:t xml:space="preserve"> (BHS)</w:t>
            </w:r>
            <w:r w:rsidR="00CD615D" w:rsidRPr="00CD615D">
              <w:rPr>
                <w:rFonts w:asciiTheme="minorHAnsi" w:hAnsiTheme="minorHAnsi" w:cstheme="minorHAnsi"/>
              </w:rPr>
              <w:t>.</w:t>
            </w:r>
            <w:r w:rsidR="00D95C97">
              <w:rPr>
                <w:rFonts w:asciiTheme="minorHAnsi" w:hAnsiTheme="minorHAnsi" w:cstheme="minorHAnsi"/>
              </w:rPr>
              <w:t xml:space="preserve"> </w:t>
            </w:r>
            <w:r w:rsidR="000D4C1A" w:rsidRPr="00CD615D">
              <w:rPr>
                <w:rFonts w:asciiTheme="minorHAnsi" w:eastAsia="Arial Narrow" w:hAnsiTheme="minorHAnsi" w:cstheme="minorHAnsi"/>
              </w:rPr>
              <w:t xml:space="preserve">The </w:t>
            </w:r>
            <w:r w:rsidR="000D4C1A">
              <w:rPr>
                <w:rFonts w:asciiTheme="minorHAnsi" w:eastAsia="Arial Narrow" w:hAnsiTheme="minorHAnsi" w:cstheme="minorHAnsi"/>
              </w:rPr>
              <w:t xml:space="preserve">public primary care facilities </w:t>
            </w:r>
            <w:r w:rsidR="000D4C1A" w:rsidRPr="00CD615D">
              <w:rPr>
                <w:rFonts w:asciiTheme="minorHAnsi" w:eastAsia="Arial Narrow" w:hAnsiTheme="minorHAnsi" w:cstheme="minorHAnsi"/>
              </w:rPr>
              <w:t>comprise</w:t>
            </w:r>
            <w:r w:rsidR="000D4C1A">
              <w:rPr>
                <w:rFonts w:asciiTheme="minorHAnsi" w:eastAsia="Arial Narrow" w:hAnsiTheme="minorHAnsi" w:cstheme="minorHAnsi"/>
              </w:rPr>
              <w:t xml:space="preserve"> of </w:t>
            </w:r>
            <w:r w:rsidR="000D4C1A" w:rsidRPr="00CD615D">
              <w:rPr>
                <w:rFonts w:asciiTheme="minorHAnsi" w:eastAsia="Arial Narrow" w:hAnsiTheme="minorHAnsi" w:cstheme="minorHAnsi"/>
              </w:rPr>
              <w:t>2,587 RHUs and 20,216 HCs and BHS.</w:t>
            </w:r>
            <w:r w:rsidR="000D4C1A">
              <w:rPr>
                <w:rFonts w:ascii="Arial Narrow" w:eastAsia="Arial Narrow" w:hAnsi="Arial Narrow" w:cs="Arial Narrow"/>
              </w:rPr>
              <w:t xml:space="preserve">  </w:t>
            </w:r>
            <w:r w:rsidR="00D95C97">
              <w:rPr>
                <w:rFonts w:asciiTheme="minorHAnsi" w:hAnsiTheme="minorHAnsi" w:cstheme="minorHAnsi"/>
              </w:rPr>
              <w:t xml:space="preserve">There is also a strong private/for-profit sector providing health services. </w:t>
            </w:r>
            <w:r w:rsidR="00CD615D" w:rsidRPr="00CD615D">
              <w:rPr>
                <w:rFonts w:asciiTheme="minorHAnsi" w:eastAsia="Arial Narrow" w:hAnsiTheme="minorHAnsi" w:cstheme="minorHAnsi"/>
              </w:rPr>
              <w:t xml:space="preserve">Currently, there are 1, 263 hospitals in the Philippines of which 63% are privately owned. </w:t>
            </w:r>
            <w:r w:rsidR="00D95C97">
              <w:rPr>
                <w:rFonts w:asciiTheme="minorHAnsi" w:eastAsia="Arial Narrow" w:hAnsiTheme="minorHAnsi" w:cstheme="minorHAnsi"/>
              </w:rPr>
              <w:t xml:space="preserve">There </w:t>
            </w:r>
            <w:r w:rsidR="000D4C1A">
              <w:rPr>
                <w:rFonts w:asciiTheme="minorHAnsi" w:eastAsia="Arial Narrow" w:hAnsiTheme="minorHAnsi" w:cstheme="minorHAnsi"/>
              </w:rPr>
              <w:t>are</w:t>
            </w:r>
            <w:r w:rsidR="00D95C97">
              <w:rPr>
                <w:rFonts w:asciiTheme="minorHAnsi" w:eastAsia="Arial Narrow" w:hAnsiTheme="minorHAnsi" w:cstheme="minorHAnsi"/>
              </w:rPr>
              <w:t xml:space="preserve"> also an estimated 19,379 private physicians registered. </w:t>
            </w:r>
          </w:p>
          <w:p w14:paraId="146A5A35" w14:textId="4F13587D" w:rsidR="00CD615D" w:rsidRDefault="00CD615D" w:rsidP="009B6C0D">
            <w:pPr>
              <w:spacing w:after="0"/>
              <w:rPr>
                <w:rFonts w:ascii="Arial Narrow" w:eastAsia="Arial Narrow" w:hAnsi="Arial Narrow" w:cs="Arial Narrow"/>
              </w:rPr>
            </w:pPr>
          </w:p>
          <w:p w14:paraId="4190738C" w14:textId="73410A76" w:rsidR="00CD615D" w:rsidRDefault="00CD615D" w:rsidP="00CD615D">
            <w:pPr>
              <w:spacing w:line="240" w:lineRule="auto"/>
              <w:jc w:val="both"/>
              <w:rPr>
                <w:rFonts w:asciiTheme="minorHAnsi" w:eastAsia="Arial Narrow" w:hAnsiTheme="minorHAnsi" w:cstheme="minorHAnsi"/>
              </w:rPr>
            </w:pPr>
            <w:r>
              <w:rPr>
                <w:rFonts w:asciiTheme="minorHAnsi" w:eastAsia="Arial Narrow" w:hAnsiTheme="minorHAnsi" w:cstheme="minorHAnsi"/>
              </w:rPr>
              <w:t xml:space="preserve">Government financing for health is channeled through the DOH, LGUs, and PhilHealth. </w:t>
            </w:r>
            <w:r w:rsidRPr="00CD615D">
              <w:rPr>
                <w:rFonts w:asciiTheme="minorHAnsi" w:eastAsia="Arial Narrow" w:hAnsiTheme="minorHAnsi" w:cstheme="minorHAnsi"/>
              </w:rPr>
              <w:t xml:space="preserve">Total Health Expenditure in the Philippines has been rising (from </w:t>
            </w:r>
            <w:r w:rsidR="009B73A4">
              <w:rPr>
                <w:rFonts w:asciiTheme="minorHAnsi" w:eastAsia="Arial Narrow" w:hAnsiTheme="minorHAnsi" w:cstheme="minorHAnsi"/>
              </w:rPr>
              <w:t>USD 14.5</w:t>
            </w:r>
            <w:r w:rsidRPr="00CD615D">
              <w:rPr>
                <w:rFonts w:asciiTheme="minorHAnsi" w:eastAsia="Arial Narrow" w:hAnsiTheme="minorHAnsi" w:cstheme="minorHAnsi"/>
              </w:rPr>
              <w:t xml:space="preserve"> billion in 2017 to </w:t>
            </w:r>
            <w:r w:rsidR="009B73A4">
              <w:rPr>
                <w:rFonts w:asciiTheme="minorHAnsi" w:eastAsia="Arial Narrow" w:hAnsiTheme="minorHAnsi" w:cstheme="minorHAnsi"/>
              </w:rPr>
              <w:t>USD 15.7</w:t>
            </w:r>
            <w:r w:rsidRPr="00CD615D">
              <w:rPr>
                <w:rFonts w:asciiTheme="minorHAnsi" w:eastAsia="Arial Narrow" w:hAnsiTheme="minorHAnsi" w:cstheme="minorHAnsi"/>
              </w:rPr>
              <w:t xml:space="preserve"> billion in 2018, an increase of 8.3%. Total Health Expenditure was 4.6% of the GDP</w:t>
            </w:r>
            <w:r w:rsidRPr="00CD615D">
              <w:rPr>
                <w:rFonts w:asciiTheme="minorHAnsi" w:eastAsia="Arial Narrow" w:hAnsiTheme="minorHAnsi" w:cstheme="minorHAnsi"/>
                <w:vertAlign w:val="superscript"/>
              </w:rPr>
              <w:footnoteReference w:id="4"/>
            </w:r>
            <w:r w:rsidRPr="00CD615D">
              <w:rPr>
                <w:rFonts w:asciiTheme="minorHAnsi" w:eastAsia="Arial Narrow" w:hAnsiTheme="minorHAnsi" w:cstheme="minorHAnsi"/>
              </w:rPr>
              <w:t xml:space="preserve"> in 2017.  The per capita health expenditure at current prices was US</w:t>
            </w:r>
            <w:r w:rsidR="009B73A4">
              <w:rPr>
                <w:rFonts w:asciiTheme="minorHAnsi" w:eastAsia="Arial Narrow" w:hAnsiTheme="minorHAnsi" w:cstheme="minorHAnsi"/>
              </w:rPr>
              <w:t>D</w:t>
            </w:r>
            <w:r w:rsidRPr="00CD615D">
              <w:rPr>
                <w:rFonts w:asciiTheme="minorHAnsi" w:eastAsia="Arial Narrow" w:hAnsiTheme="minorHAnsi" w:cstheme="minorHAnsi"/>
              </w:rPr>
              <w:t xml:space="preserve"> 146). Of the Current Health Expenditure</w:t>
            </w:r>
            <w:r w:rsidR="006E3AE9">
              <w:rPr>
                <w:rFonts w:asciiTheme="minorHAnsi" w:eastAsia="Arial Narrow" w:hAnsiTheme="minorHAnsi" w:cstheme="minorHAnsi"/>
              </w:rPr>
              <w:t xml:space="preserve"> (CHE)</w:t>
            </w:r>
            <w:r w:rsidRPr="00CD615D">
              <w:rPr>
                <w:rFonts w:asciiTheme="minorHAnsi" w:eastAsia="Arial Narrow" w:hAnsiTheme="minorHAnsi" w:cstheme="minorHAnsi"/>
              </w:rPr>
              <w:t xml:space="preserve">, government schemes and compulsory contributory health financing schemes contributed </w:t>
            </w:r>
            <w:r w:rsidR="009B73A4">
              <w:rPr>
                <w:rFonts w:asciiTheme="minorHAnsi" w:eastAsia="Arial Narrow" w:hAnsiTheme="minorHAnsi" w:cstheme="minorHAnsi"/>
              </w:rPr>
              <w:t xml:space="preserve">USD 5.1 </w:t>
            </w:r>
            <w:r w:rsidRPr="00CD615D">
              <w:rPr>
                <w:rFonts w:asciiTheme="minorHAnsi" w:eastAsia="Arial Narrow" w:hAnsiTheme="minorHAnsi" w:cstheme="minorHAnsi"/>
              </w:rPr>
              <w:t xml:space="preserve">billion (34%),  and voluntary health care payment schemes contributed </w:t>
            </w:r>
            <w:r w:rsidR="009B73A4">
              <w:rPr>
                <w:rFonts w:asciiTheme="minorHAnsi" w:eastAsia="Arial Narrow" w:hAnsiTheme="minorHAnsi" w:cstheme="minorHAnsi"/>
              </w:rPr>
              <w:t>USD 1.83</w:t>
            </w:r>
            <w:r w:rsidRPr="00CD615D">
              <w:rPr>
                <w:rFonts w:asciiTheme="minorHAnsi" w:eastAsia="Arial Narrow" w:hAnsiTheme="minorHAnsi" w:cstheme="minorHAnsi"/>
              </w:rPr>
              <w:t xml:space="preserve"> billion ( 12.2%) with the rest, equivalent to </w:t>
            </w:r>
            <w:r w:rsidR="009B73A4">
              <w:rPr>
                <w:rFonts w:asciiTheme="minorHAnsi" w:eastAsia="Arial Narrow" w:hAnsiTheme="minorHAnsi" w:cstheme="minorHAnsi"/>
              </w:rPr>
              <w:t>USD 8</w:t>
            </w:r>
            <w:r w:rsidRPr="00CD615D">
              <w:rPr>
                <w:rFonts w:asciiTheme="minorHAnsi" w:eastAsia="Arial Narrow" w:hAnsiTheme="minorHAnsi" w:cstheme="minorHAnsi"/>
              </w:rPr>
              <w:t xml:space="preserve"> billion (or 53.9% of CHE) being household out of pocket health expenditure(OOP)</w:t>
            </w:r>
            <w:r w:rsidR="009B73A4">
              <w:rPr>
                <w:rFonts w:asciiTheme="minorHAnsi" w:eastAsia="Arial Narrow" w:hAnsiTheme="minorHAnsi" w:cstheme="minorHAnsi"/>
              </w:rPr>
              <w:t xml:space="preserve">. </w:t>
            </w:r>
            <w:r w:rsidRPr="00CD615D">
              <w:rPr>
                <w:rFonts w:asciiTheme="minorHAnsi" w:eastAsia="Arial Narrow" w:hAnsiTheme="minorHAnsi" w:cstheme="minorHAnsi"/>
              </w:rPr>
              <w:t>The private pharmacy (</w:t>
            </w:r>
            <w:r w:rsidR="009B73A4">
              <w:rPr>
                <w:rFonts w:asciiTheme="minorHAnsi" w:eastAsia="Arial Narrow" w:hAnsiTheme="minorHAnsi" w:cstheme="minorHAnsi"/>
              </w:rPr>
              <w:t xml:space="preserve">USD 4 </w:t>
            </w:r>
            <w:r w:rsidRPr="00CD615D">
              <w:rPr>
                <w:rFonts w:asciiTheme="minorHAnsi" w:eastAsia="Arial Narrow" w:hAnsiTheme="minorHAnsi" w:cstheme="minorHAnsi"/>
              </w:rPr>
              <w:t>billion) and the private general hospital (</w:t>
            </w:r>
            <w:r w:rsidR="009B73A4">
              <w:rPr>
                <w:rFonts w:asciiTheme="minorHAnsi" w:eastAsia="Arial Narrow" w:hAnsiTheme="minorHAnsi" w:cstheme="minorHAnsi"/>
              </w:rPr>
              <w:t>USD 2.9</w:t>
            </w:r>
            <w:r w:rsidRPr="00CD615D">
              <w:rPr>
                <w:rFonts w:asciiTheme="minorHAnsi" w:eastAsia="Arial Narrow" w:hAnsiTheme="minorHAnsi" w:cstheme="minorHAnsi"/>
              </w:rPr>
              <w:t xml:space="preserve"> billion) were the major beneficiaries of </w:t>
            </w:r>
            <w:r w:rsidRPr="00CD615D">
              <w:rPr>
                <w:rFonts w:asciiTheme="minorHAnsi" w:eastAsia="Arial Narrow" w:hAnsiTheme="minorHAnsi" w:cstheme="minorHAnsi"/>
              </w:rPr>
              <w:lastRenderedPageBreak/>
              <w:t xml:space="preserve">OOP. </w:t>
            </w:r>
            <w:r w:rsidR="009B73A4">
              <w:t xml:space="preserve">The fiscal space for health is also increasing because of excise taxes on tobacco and alcohol, showing a three-fold increase in the combined budget of the DOH and PhilHealth from the baseline of USD 1 billion in 2013 to </w:t>
            </w:r>
            <w:r w:rsidR="00703453">
              <w:t>USD 3</w:t>
            </w:r>
            <w:r w:rsidR="009B73A4">
              <w:t xml:space="preserve"> billion in 2019</w:t>
            </w:r>
            <w:r w:rsidR="00703453">
              <w:t>.</w:t>
            </w:r>
          </w:p>
          <w:p w14:paraId="772C5568" w14:textId="56E1AD3A" w:rsidR="00E13ED4" w:rsidRDefault="00E13ED4" w:rsidP="00E13ED4">
            <w:pPr>
              <w:spacing w:after="0"/>
            </w:pPr>
            <w:r w:rsidRPr="00973F14">
              <w:rPr>
                <w:rFonts w:asciiTheme="minorHAnsi" w:eastAsia="Arial Narrow" w:hAnsiTheme="minorHAnsi" w:cstheme="minorHAnsi"/>
              </w:rPr>
              <w:t xml:space="preserve">Specific goals and strategies for health systems strengthening is embodied in Republic Act 11223, otherwise known as the Philippine Universal Health Care Act signed into law on February 2019. The law seeks to ensure </w:t>
            </w:r>
            <w:r w:rsidRPr="00973F14">
              <w:t xml:space="preserve">that all Filipinos are guaranteed equitable access to quality and affordable health care goods and services and protected against financial risk. The major policy reforms include strategic purchasing, integration of local health systems at province/city level, and the establishment of health care provider networks. The operationalization of the UHC Law, as it attempts to overhaul the health system, is a long way ahead. </w:t>
            </w:r>
            <w:r w:rsidRPr="00973F14">
              <w:rPr>
                <w:rFonts w:asciiTheme="minorHAnsi" w:eastAsia="Arial Narrow" w:hAnsiTheme="minorHAnsi" w:cstheme="minorHAnsi"/>
              </w:rPr>
              <w:t>F</w:t>
            </w:r>
            <w:r w:rsidRPr="00973F14">
              <w:t xml:space="preserve">ull implementation of technical, managerial and financial integration in delivery of </w:t>
            </w:r>
            <w:r>
              <w:t xml:space="preserve">care services for the Filipinos is expected in the next 10-15 years. </w:t>
            </w:r>
            <w:r w:rsidR="00E9752D">
              <w:t xml:space="preserve">Efforts in the </w:t>
            </w:r>
            <w:r w:rsidR="008345B1">
              <w:t>first</w:t>
            </w:r>
            <w:r w:rsidR="00E9752D">
              <w:t xml:space="preserve"> five years </w:t>
            </w:r>
            <w:r>
              <w:t>are focused on developing policies and guidelines, and testing/modelling of service delivery models that can be adopted and scaled-up</w:t>
            </w:r>
            <w:r w:rsidR="00E9752D">
              <w:t xml:space="preserve"> at the local levels in the long term. </w:t>
            </w:r>
          </w:p>
          <w:p w14:paraId="2ABF7811" w14:textId="0E6DF088" w:rsidR="000D4C1A" w:rsidRDefault="000D4C1A" w:rsidP="00E13ED4">
            <w:pPr>
              <w:spacing w:after="0"/>
            </w:pPr>
          </w:p>
          <w:p w14:paraId="2AB14868" w14:textId="65F34B82" w:rsidR="000D4C1A" w:rsidRDefault="000D4C1A" w:rsidP="00E13ED4">
            <w:pPr>
              <w:spacing w:after="0"/>
            </w:pPr>
            <w:r>
              <w:t xml:space="preserve">The National TB Program (NTP) is lodged under the Department of Health-Disease Prevention and Control Bureau (DOH-DCPB). The NTP’s mandate is on policy development, national coordination, procurement of TB commodities, and management of sub-allocations to Regional Health Centers and DOH-maintained hospitals. The NTP implementation and TB care service delivery is through RHU and HCs overseen by city/municipality health officers and district/provincial hospitals overseen by the provincial health office. Relative to the UHC implementation, the DOH-NTP maintains a status quo, pending finalization of guidelines and mechanisms for TB integration with other disease programs would have been finalized.      </w:t>
            </w:r>
          </w:p>
          <w:p w14:paraId="4E27192E" w14:textId="77777777" w:rsidR="006E3AE9" w:rsidRDefault="006E3AE9" w:rsidP="00E13ED4">
            <w:pPr>
              <w:spacing w:after="0"/>
            </w:pPr>
          </w:p>
          <w:p w14:paraId="1F4782B4" w14:textId="2C0F056F" w:rsidR="007C08CC" w:rsidRPr="007C08CC" w:rsidRDefault="007C08CC" w:rsidP="00CD615D">
            <w:pPr>
              <w:spacing w:line="240" w:lineRule="auto"/>
              <w:jc w:val="both"/>
              <w:rPr>
                <w:rFonts w:asciiTheme="minorHAnsi" w:eastAsia="Arial Narrow" w:hAnsiTheme="minorHAnsi" w:cstheme="minorHAnsi"/>
                <w:b/>
                <w:bCs/>
                <w:u w:val="single"/>
              </w:rPr>
            </w:pPr>
            <w:r>
              <w:rPr>
                <w:rFonts w:asciiTheme="minorHAnsi" w:eastAsia="Arial Narrow" w:hAnsiTheme="minorHAnsi" w:cstheme="minorHAnsi"/>
                <w:b/>
                <w:bCs/>
                <w:u w:val="single"/>
              </w:rPr>
              <w:t>Philippine TB Situation</w:t>
            </w:r>
          </w:p>
          <w:p w14:paraId="7AFC33A2" w14:textId="671EAFB4" w:rsidR="00001408" w:rsidRPr="00F10338" w:rsidRDefault="00F10338" w:rsidP="00CD615D">
            <w:pPr>
              <w:spacing w:line="240" w:lineRule="auto"/>
              <w:jc w:val="both"/>
              <w:rPr>
                <w:rFonts w:asciiTheme="minorHAnsi" w:eastAsia="Arial Narrow" w:hAnsiTheme="minorHAnsi" w:cstheme="minorHAnsi"/>
              </w:rPr>
            </w:pPr>
            <w:r w:rsidRPr="00F10338">
              <w:rPr>
                <w:rFonts w:asciiTheme="minorHAnsi" w:eastAsia="Arial Narrow" w:hAnsiTheme="minorHAnsi" w:cstheme="minorHAnsi"/>
              </w:rPr>
              <w:t xml:space="preserve">Republic Act 10767, otherwise known as the Philippine “Comprehensive Tuberculosis Elimination Plan Act” was signed into law on April 2016. It highlights working towards increasing investments for prevention, treatment, control, and adopting a multi-stakeholder approach in responding to the disease. It details the need for multi-sectoral involvement for the national and local responses, empowerment of communities to participate and access care, development of socio-economic development policies to reduce catastrophic cost, focusing on vulnerable population groups (poor, PLHIV, children, elderly, contacts of TB cases, diabetics, and smokers), and continuous performance and quality improvement. </w:t>
            </w:r>
            <w:r>
              <w:rPr>
                <w:rFonts w:asciiTheme="minorHAnsi" w:eastAsia="Arial Narrow" w:hAnsiTheme="minorHAnsi" w:cstheme="minorHAnsi"/>
              </w:rPr>
              <w:t>RA 10767 and its implementing rules and regulations serve as the anchor of</w:t>
            </w:r>
            <w:r w:rsidR="00F37BF5">
              <w:rPr>
                <w:rFonts w:asciiTheme="minorHAnsi" w:eastAsia="Arial Narrow" w:hAnsiTheme="minorHAnsi" w:cstheme="minorHAnsi"/>
              </w:rPr>
              <w:t xml:space="preserve"> the Philippine Strategic TB Elimination Plan, or PhilSTEP. The national strategic plan for TB will be in 3 phases (2017-2023, 2024-2030, 2031-37). </w:t>
            </w:r>
          </w:p>
          <w:p w14:paraId="515364B3" w14:textId="77777777" w:rsidR="00001408" w:rsidRDefault="00001408" w:rsidP="009B6C0D">
            <w:pPr>
              <w:spacing w:after="0"/>
            </w:pPr>
          </w:p>
          <w:p w14:paraId="08EB4C43" w14:textId="42A997C0" w:rsidR="00CD615D" w:rsidRDefault="00E31A96" w:rsidP="009B6C0D">
            <w:pPr>
              <w:spacing w:after="0"/>
              <w:rPr>
                <w:rFonts w:ascii="Arial Narrow" w:eastAsia="Arial Narrow" w:hAnsi="Arial Narrow" w:cs="Arial Narrow"/>
              </w:rPr>
            </w:pPr>
            <w:r>
              <w:t xml:space="preserve">TB remains to be a major public health threat in the Philippines. </w:t>
            </w:r>
            <w:r w:rsidR="00CD615D">
              <w:t xml:space="preserve">The </w:t>
            </w:r>
            <w:r w:rsidR="00CD615D" w:rsidRPr="00CD615D">
              <w:rPr>
                <w:rFonts w:cs="Arial"/>
              </w:rPr>
              <w:t>National TB Prevalence Survey carried out in 201</w:t>
            </w:r>
            <w:r w:rsidR="007A440D">
              <w:rPr>
                <w:rFonts w:cs="Arial"/>
              </w:rPr>
              <w:t>6</w:t>
            </w:r>
            <w:r w:rsidR="00CD615D" w:rsidRPr="00CD615D">
              <w:rPr>
                <w:rFonts w:cs="Arial"/>
              </w:rPr>
              <w:t xml:space="preserve"> employing Xpert MTB/Rif assay revealed an extremely high </w:t>
            </w:r>
            <w:r w:rsidR="00D95C97">
              <w:rPr>
                <w:rFonts w:cs="Arial"/>
              </w:rPr>
              <w:t>prevalence rate</w:t>
            </w:r>
            <w:r w:rsidR="00CD615D" w:rsidRPr="00CD615D">
              <w:rPr>
                <w:rFonts w:cs="Arial"/>
              </w:rPr>
              <w:t xml:space="preserve"> at </w:t>
            </w:r>
            <w:r w:rsidR="00CD615D" w:rsidRPr="00CD615D">
              <w:rPr>
                <w:rFonts w:eastAsia="Arial Narrow" w:cs="Arial"/>
              </w:rPr>
              <w:t>1, 159 (95% confidence interval: 1, 016 -1, 301) per 100, 000 population which translates to more than 1% of the Filipino population having TB. The survey revealed a higher rate of TB in males compared to females (1,713/100, 000 for males versus 627/100, 000 in females). Prevalence of TB increased with age and was highest in those aged 45-54 years at 1, 714 per 100, 000 population. The major risk factors for active TB were identified as previous TB ( adjusted odds ratio (aOR), 2.3(95% CI 1.1 -2.6), age over 65 years (aOR 2.8 (95% CI 1.8-4.4), diabetes (aOR 1.7(95% CI 1.1 -2.6), urban residency (aOR 1.6 95% CI: 1.2 -2.0), smoking for more than 5 years in men (aOR 3.3 (95% CI 2.7 -4.4) or 1-5 pack years in females (aOR 1.9 (95% CI 1.3-2.7) and indicators of poverty such as being enrolled in the 4Ps conditional cash transfer program (aOR 1.6 (95% CI 1.2 -2.1).</w:t>
            </w:r>
            <w:r w:rsidR="00CD615D">
              <w:rPr>
                <w:rFonts w:ascii="Arial Narrow" w:eastAsia="Arial Narrow" w:hAnsi="Arial Narrow" w:cs="Arial Narrow"/>
              </w:rPr>
              <w:t xml:space="preserve">  </w:t>
            </w:r>
          </w:p>
          <w:p w14:paraId="59956819" w14:textId="53C77680" w:rsidR="00781D5D" w:rsidRDefault="00781D5D" w:rsidP="009B6C0D">
            <w:pPr>
              <w:spacing w:after="0"/>
              <w:rPr>
                <w:rFonts w:ascii="Arial Narrow" w:eastAsia="Arial Narrow" w:hAnsi="Arial Narrow" w:cs="Arial Narrow"/>
              </w:rPr>
            </w:pPr>
          </w:p>
          <w:p w14:paraId="35C908A7" w14:textId="78BD5616" w:rsidR="00E6338B" w:rsidRPr="004A4EF9" w:rsidRDefault="00520E7E" w:rsidP="009B6C0D">
            <w:pPr>
              <w:spacing w:after="0"/>
              <w:rPr>
                <w:rFonts w:asciiTheme="minorHAnsi" w:eastAsia="Arial Narrow" w:hAnsiTheme="minorHAnsi" w:cstheme="minorHAnsi"/>
              </w:rPr>
            </w:pPr>
            <w:r w:rsidRPr="00520E7E">
              <w:rPr>
                <w:rFonts w:asciiTheme="minorHAnsi" w:eastAsia="Arial Narrow" w:hAnsiTheme="minorHAnsi" w:cstheme="minorHAnsi"/>
              </w:rPr>
              <w:t xml:space="preserve">Based on </w:t>
            </w:r>
            <w:r w:rsidR="00364347">
              <w:rPr>
                <w:rFonts w:asciiTheme="minorHAnsi" w:eastAsia="Arial Narrow" w:hAnsiTheme="minorHAnsi" w:cstheme="minorHAnsi"/>
              </w:rPr>
              <w:t>adjusted WHO estimations</w:t>
            </w:r>
            <w:r w:rsidR="00721D89">
              <w:rPr>
                <w:rFonts w:asciiTheme="minorHAnsi" w:eastAsia="Arial Narrow" w:hAnsiTheme="minorHAnsi" w:cstheme="minorHAnsi"/>
              </w:rPr>
              <w:t xml:space="preserve"> for 2018, </w:t>
            </w:r>
            <w:r w:rsidR="00721D89" w:rsidRPr="00721D89">
              <w:rPr>
                <w:rFonts w:asciiTheme="minorHAnsi" w:eastAsia="Arial Narrow" w:hAnsiTheme="minorHAnsi" w:cstheme="minorHAnsi"/>
              </w:rPr>
              <w:t>there were 594, 000 ( 95% CI 332-924) incident cases of TB in the Philippines ( rate 554 (95% CI 311-866) per 100, 000 population)  of whom  371, 668 were notified</w:t>
            </w:r>
            <w:r w:rsidR="008345B1">
              <w:rPr>
                <w:rFonts w:asciiTheme="minorHAnsi" w:eastAsia="Arial Narrow" w:hAnsiTheme="minorHAnsi" w:cstheme="minorHAnsi"/>
              </w:rPr>
              <w:t xml:space="preserve">, representing </w:t>
            </w:r>
            <w:r w:rsidR="00721D89" w:rsidRPr="00721D89">
              <w:rPr>
                <w:rFonts w:asciiTheme="minorHAnsi" w:eastAsia="Arial Narrow" w:hAnsiTheme="minorHAnsi" w:cstheme="minorHAnsi"/>
              </w:rPr>
              <w:t xml:space="preserve">a TB treatment coverage of 63%. </w:t>
            </w:r>
            <w:r w:rsidR="000D4C1A">
              <w:rPr>
                <w:rFonts w:asciiTheme="minorHAnsi" w:eastAsia="Arial Narrow" w:hAnsiTheme="minorHAnsi" w:cstheme="minorHAnsi"/>
              </w:rPr>
              <w:t xml:space="preserve">For MDR TB, incidence rate is at 18,000 (CI 7-32) at 17,000 per 100,000 population of whom </w:t>
            </w:r>
            <w:r w:rsidR="000D4C1A" w:rsidRPr="004A4DDC">
              <w:rPr>
                <w:rFonts w:asciiTheme="minorHAnsi" w:eastAsia="Arial Narrow" w:hAnsiTheme="minorHAnsi" w:cstheme="minorHAnsi"/>
              </w:rPr>
              <w:t>only 7,</w:t>
            </w:r>
            <w:r w:rsidR="004A4DDC" w:rsidRPr="004A4DDC">
              <w:rPr>
                <w:rFonts w:asciiTheme="minorHAnsi" w:eastAsia="Arial Narrow" w:hAnsiTheme="minorHAnsi" w:cstheme="minorHAnsi"/>
              </w:rPr>
              <w:t>328</w:t>
            </w:r>
            <w:r w:rsidR="000D4C1A" w:rsidRPr="004A4DDC">
              <w:rPr>
                <w:rFonts w:asciiTheme="minorHAnsi" w:eastAsia="Arial Narrow" w:hAnsiTheme="minorHAnsi" w:cstheme="minorHAnsi"/>
              </w:rPr>
              <w:t xml:space="preserve"> were</w:t>
            </w:r>
            <w:r w:rsidR="000D4C1A">
              <w:rPr>
                <w:rFonts w:asciiTheme="minorHAnsi" w:eastAsia="Arial Narrow" w:hAnsiTheme="minorHAnsi" w:cstheme="minorHAnsi"/>
              </w:rPr>
              <w:t xml:space="preserve"> notified. </w:t>
            </w:r>
            <w:r w:rsidR="00721D89" w:rsidRPr="00721D89">
              <w:rPr>
                <w:rFonts w:asciiTheme="minorHAnsi" w:eastAsia="Arial Narrow" w:hAnsiTheme="minorHAnsi" w:cstheme="minorHAnsi"/>
              </w:rPr>
              <w:t xml:space="preserve">In the same year it was estimated that 26, 600 people died of TB who comprised 26,000 (95% 22, 000 -30,000) people not infected with HIV and 600 (95% CI 0-4, 200) persons who were co-infected with HIV. </w:t>
            </w:r>
            <w:r w:rsidR="00364347">
              <w:rPr>
                <w:rFonts w:asciiTheme="minorHAnsi" w:eastAsia="Arial Narrow" w:hAnsiTheme="minorHAnsi" w:cstheme="minorHAnsi"/>
              </w:rPr>
              <w:t xml:space="preserve">Among all notified, only 37% were bacteriologically confirmed </w:t>
            </w:r>
            <w:r w:rsidR="00E6338B">
              <w:rPr>
                <w:rFonts w:asciiTheme="minorHAnsi" w:eastAsia="Arial Narrow" w:hAnsiTheme="minorHAnsi" w:cstheme="minorHAnsi"/>
              </w:rPr>
              <w:t xml:space="preserve">(BC) </w:t>
            </w:r>
            <w:r w:rsidR="00364347">
              <w:rPr>
                <w:rFonts w:asciiTheme="minorHAnsi" w:eastAsia="Arial Narrow" w:hAnsiTheme="minorHAnsi" w:cstheme="minorHAnsi"/>
              </w:rPr>
              <w:t>and 12% were children</w:t>
            </w:r>
            <w:r w:rsidR="00E6338B">
              <w:rPr>
                <w:rFonts w:asciiTheme="minorHAnsi" w:eastAsia="Arial Narrow" w:hAnsiTheme="minorHAnsi" w:cstheme="minorHAnsi"/>
              </w:rPr>
              <w:t xml:space="preserve">. Low BC resulted from the introduction of mandatory TB case notification </w:t>
            </w:r>
            <w:r w:rsidR="00D95C97">
              <w:rPr>
                <w:rFonts w:asciiTheme="minorHAnsi" w:eastAsia="Arial Narrow" w:hAnsiTheme="minorHAnsi" w:cstheme="minorHAnsi"/>
              </w:rPr>
              <w:t>which contributed 10% to total notifications, but 95% was clinically diagnosed</w:t>
            </w:r>
            <w:r w:rsidR="00E6338B">
              <w:rPr>
                <w:rFonts w:asciiTheme="minorHAnsi" w:eastAsia="Arial Narrow" w:hAnsiTheme="minorHAnsi" w:cstheme="minorHAnsi"/>
              </w:rPr>
              <w:t xml:space="preserve">. Of the total notified cases (excluding mandatory case notifications), </w:t>
            </w:r>
            <w:r w:rsidR="00364347">
              <w:rPr>
                <w:rFonts w:asciiTheme="minorHAnsi" w:eastAsia="Arial Narrow" w:hAnsiTheme="minorHAnsi" w:cstheme="minorHAnsi"/>
              </w:rPr>
              <w:t xml:space="preserve">47% </w:t>
            </w:r>
            <w:r w:rsidR="00E6338B">
              <w:rPr>
                <w:rFonts w:asciiTheme="minorHAnsi" w:eastAsia="Arial Narrow" w:hAnsiTheme="minorHAnsi" w:cstheme="minorHAnsi"/>
              </w:rPr>
              <w:t xml:space="preserve">came from </w:t>
            </w:r>
            <w:r w:rsidR="00364347">
              <w:rPr>
                <w:rFonts w:asciiTheme="minorHAnsi" w:eastAsia="Arial Narrow" w:hAnsiTheme="minorHAnsi" w:cstheme="minorHAnsi"/>
              </w:rPr>
              <w:t>public</w:t>
            </w:r>
            <w:r w:rsidR="00E6338B">
              <w:rPr>
                <w:rFonts w:asciiTheme="minorHAnsi" w:eastAsia="Arial Narrow" w:hAnsiTheme="minorHAnsi" w:cstheme="minorHAnsi"/>
              </w:rPr>
              <w:t xml:space="preserve"> facilities</w:t>
            </w:r>
            <w:r w:rsidR="00364347">
              <w:rPr>
                <w:rFonts w:asciiTheme="minorHAnsi" w:eastAsia="Arial Narrow" w:hAnsiTheme="minorHAnsi" w:cstheme="minorHAnsi"/>
              </w:rPr>
              <w:t xml:space="preserve">, 22% </w:t>
            </w:r>
            <w:r w:rsidR="00E6338B">
              <w:rPr>
                <w:rFonts w:asciiTheme="minorHAnsi" w:eastAsia="Arial Narrow" w:hAnsiTheme="minorHAnsi" w:cstheme="minorHAnsi"/>
              </w:rPr>
              <w:t xml:space="preserve">from other public facilities </w:t>
            </w:r>
            <w:r w:rsidR="008345B1">
              <w:rPr>
                <w:rFonts w:asciiTheme="minorHAnsi" w:eastAsia="Arial Narrow" w:hAnsiTheme="minorHAnsi" w:cstheme="minorHAnsi"/>
              </w:rPr>
              <w:t>such as</w:t>
            </w:r>
            <w:r w:rsidR="00E6338B" w:rsidRPr="004A4EF9">
              <w:rPr>
                <w:rFonts w:asciiTheme="minorHAnsi" w:eastAsia="Arial Narrow" w:hAnsiTheme="minorHAnsi" w:cstheme="minorHAnsi"/>
              </w:rPr>
              <w:t xml:space="preserve"> prison, jails, and hospitals, </w:t>
            </w:r>
            <w:r w:rsidR="00364347" w:rsidRPr="004A4EF9">
              <w:rPr>
                <w:rFonts w:asciiTheme="minorHAnsi" w:eastAsia="Arial Narrow" w:hAnsiTheme="minorHAnsi" w:cstheme="minorHAnsi"/>
              </w:rPr>
              <w:t xml:space="preserve">17% </w:t>
            </w:r>
            <w:r w:rsidR="00E6338B" w:rsidRPr="004A4EF9">
              <w:rPr>
                <w:rFonts w:asciiTheme="minorHAnsi" w:eastAsia="Arial Narrow" w:hAnsiTheme="minorHAnsi" w:cstheme="minorHAnsi"/>
              </w:rPr>
              <w:t xml:space="preserve">from private </w:t>
            </w:r>
            <w:r w:rsidR="00E6338B" w:rsidRPr="004A4EF9">
              <w:rPr>
                <w:rFonts w:asciiTheme="minorHAnsi" w:eastAsia="Arial Narrow" w:hAnsiTheme="minorHAnsi" w:cstheme="minorHAnsi"/>
              </w:rPr>
              <w:lastRenderedPageBreak/>
              <w:t xml:space="preserve">health care facilities and </w:t>
            </w:r>
            <w:r w:rsidR="00364347" w:rsidRPr="004A4EF9">
              <w:rPr>
                <w:rFonts w:asciiTheme="minorHAnsi" w:eastAsia="Arial Narrow" w:hAnsiTheme="minorHAnsi" w:cstheme="minorHAnsi"/>
              </w:rPr>
              <w:t xml:space="preserve">15% </w:t>
            </w:r>
            <w:r w:rsidR="00E6338B" w:rsidRPr="004A4EF9">
              <w:rPr>
                <w:rFonts w:asciiTheme="minorHAnsi" w:eastAsia="Arial Narrow" w:hAnsiTheme="minorHAnsi" w:cstheme="minorHAnsi"/>
              </w:rPr>
              <w:t xml:space="preserve">from </w:t>
            </w:r>
            <w:r w:rsidR="00364347" w:rsidRPr="004A4EF9">
              <w:rPr>
                <w:rFonts w:asciiTheme="minorHAnsi" w:eastAsia="Arial Narrow" w:hAnsiTheme="minorHAnsi" w:cstheme="minorHAnsi"/>
              </w:rPr>
              <w:t>community</w:t>
            </w:r>
            <w:r w:rsidR="00E6338B" w:rsidRPr="004A4EF9">
              <w:rPr>
                <w:rFonts w:asciiTheme="minorHAnsi" w:eastAsia="Arial Narrow" w:hAnsiTheme="minorHAnsi" w:cstheme="minorHAnsi"/>
              </w:rPr>
              <w:t xml:space="preserve"> engagements/referral.</w:t>
            </w:r>
            <w:r w:rsidR="00E636B5">
              <w:rPr>
                <w:rFonts w:asciiTheme="minorHAnsi" w:eastAsia="Arial Narrow" w:hAnsiTheme="minorHAnsi" w:cstheme="minorHAnsi"/>
              </w:rPr>
              <w:t xml:space="preserve"> The catastrophic cost study in 2017 revealed that about 35% of patients experience catastrophic cost. </w:t>
            </w:r>
          </w:p>
          <w:p w14:paraId="2619EA2A" w14:textId="3152BDE5" w:rsidR="00781D5D" w:rsidRPr="004A4EF9" w:rsidRDefault="00364347" w:rsidP="009B6C0D">
            <w:pPr>
              <w:spacing w:after="0"/>
              <w:rPr>
                <w:rFonts w:asciiTheme="minorHAnsi" w:eastAsia="Arial Narrow" w:hAnsiTheme="minorHAnsi" w:cstheme="minorHAnsi"/>
              </w:rPr>
            </w:pPr>
            <w:r w:rsidRPr="004A4EF9">
              <w:rPr>
                <w:rFonts w:asciiTheme="minorHAnsi" w:eastAsia="Arial Narrow" w:hAnsiTheme="minorHAnsi" w:cstheme="minorHAnsi"/>
              </w:rPr>
              <w:t xml:space="preserve">  </w:t>
            </w:r>
          </w:p>
          <w:p w14:paraId="15B4C933" w14:textId="46AAC87C" w:rsidR="00781D5D" w:rsidRDefault="00E6338B" w:rsidP="009B6C0D">
            <w:pPr>
              <w:spacing w:after="0"/>
              <w:rPr>
                <w:rFonts w:asciiTheme="minorHAnsi" w:hAnsiTheme="minorHAnsi" w:cstheme="minorHAnsi"/>
              </w:rPr>
            </w:pPr>
            <w:r w:rsidRPr="004A4EF9">
              <w:rPr>
                <w:rFonts w:asciiTheme="minorHAnsi" w:hAnsiTheme="minorHAnsi" w:cstheme="minorHAnsi"/>
              </w:rPr>
              <w:t xml:space="preserve">In 2018, </w:t>
            </w:r>
            <w:r w:rsidR="00364347" w:rsidRPr="004A4EF9">
              <w:rPr>
                <w:rFonts w:asciiTheme="minorHAnsi" w:hAnsiTheme="minorHAnsi" w:cstheme="minorHAnsi"/>
              </w:rPr>
              <w:t xml:space="preserve">TB Treatment Success Rate </w:t>
            </w:r>
            <w:r w:rsidRPr="004A4EF9">
              <w:rPr>
                <w:rFonts w:asciiTheme="minorHAnsi" w:hAnsiTheme="minorHAnsi" w:cstheme="minorHAnsi"/>
              </w:rPr>
              <w:t>(TSR</w:t>
            </w:r>
            <w:r w:rsidRPr="00D95C97">
              <w:rPr>
                <w:rFonts w:asciiTheme="minorHAnsi" w:hAnsiTheme="minorHAnsi" w:cstheme="minorHAnsi"/>
              </w:rPr>
              <w:t xml:space="preserve">) </w:t>
            </w:r>
            <w:r w:rsidR="00364347" w:rsidRPr="00D95C97">
              <w:rPr>
                <w:rFonts w:asciiTheme="minorHAnsi" w:hAnsiTheme="minorHAnsi" w:cstheme="minorHAnsi"/>
              </w:rPr>
              <w:t>among</w:t>
            </w:r>
            <w:r w:rsidRPr="00D95C97">
              <w:rPr>
                <w:rFonts w:asciiTheme="minorHAnsi" w:hAnsiTheme="minorHAnsi" w:cstheme="minorHAnsi"/>
              </w:rPr>
              <w:t xml:space="preserve"> drug-susceptible </w:t>
            </w:r>
            <w:r w:rsidR="004A4EF9" w:rsidRPr="00D95C97">
              <w:rPr>
                <w:rFonts w:asciiTheme="minorHAnsi" w:hAnsiTheme="minorHAnsi" w:cstheme="minorHAnsi"/>
              </w:rPr>
              <w:t xml:space="preserve">TB </w:t>
            </w:r>
            <w:r w:rsidRPr="00D95C97">
              <w:rPr>
                <w:rFonts w:asciiTheme="minorHAnsi" w:hAnsiTheme="minorHAnsi" w:cstheme="minorHAnsi"/>
              </w:rPr>
              <w:t>cases</w:t>
            </w:r>
            <w:r w:rsidR="004A4EF9" w:rsidRPr="00D95C97">
              <w:rPr>
                <w:rFonts w:asciiTheme="minorHAnsi" w:hAnsiTheme="minorHAnsi" w:cstheme="minorHAnsi"/>
              </w:rPr>
              <w:t xml:space="preserve"> (DSTB)</w:t>
            </w:r>
            <w:r w:rsidRPr="00D95C97">
              <w:rPr>
                <w:rFonts w:asciiTheme="minorHAnsi" w:hAnsiTheme="minorHAnsi" w:cstheme="minorHAnsi"/>
              </w:rPr>
              <w:t xml:space="preserve"> is at 9</w:t>
            </w:r>
            <w:r w:rsidR="00FB1677">
              <w:rPr>
                <w:rFonts w:asciiTheme="minorHAnsi" w:hAnsiTheme="minorHAnsi" w:cstheme="minorHAnsi"/>
              </w:rPr>
              <w:t>0</w:t>
            </w:r>
            <w:r w:rsidRPr="00D95C97">
              <w:rPr>
                <w:rFonts w:asciiTheme="minorHAnsi" w:hAnsiTheme="minorHAnsi" w:cstheme="minorHAnsi"/>
              </w:rPr>
              <w:t xml:space="preserve">% </w:t>
            </w:r>
            <w:r w:rsidR="008345B1" w:rsidRPr="00D95C97">
              <w:rPr>
                <w:rFonts w:asciiTheme="minorHAnsi" w:hAnsiTheme="minorHAnsi" w:cstheme="minorHAnsi"/>
              </w:rPr>
              <w:t>(</w:t>
            </w:r>
            <w:r w:rsidR="00FB1677">
              <w:rPr>
                <w:rFonts w:asciiTheme="minorHAnsi" w:hAnsiTheme="minorHAnsi" w:cstheme="minorHAnsi"/>
              </w:rPr>
              <w:t xml:space="preserve">290,400/320,587 </w:t>
            </w:r>
            <w:r w:rsidR="00D95C97" w:rsidRPr="00D95C97">
              <w:rPr>
                <w:rFonts w:asciiTheme="minorHAnsi" w:hAnsiTheme="minorHAnsi" w:cstheme="minorHAnsi"/>
              </w:rPr>
              <w:t>successfully treated, 201</w:t>
            </w:r>
            <w:r w:rsidR="00FB1677">
              <w:rPr>
                <w:rFonts w:asciiTheme="minorHAnsi" w:hAnsiTheme="minorHAnsi" w:cstheme="minorHAnsi"/>
              </w:rPr>
              <w:t>8</w:t>
            </w:r>
            <w:r w:rsidR="00D95C97" w:rsidRPr="00D95C97">
              <w:rPr>
                <w:rFonts w:asciiTheme="minorHAnsi" w:hAnsiTheme="minorHAnsi" w:cstheme="minorHAnsi"/>
              </w:rPr>
              <w:t xml:space="preserve"> cohort</w:t>
            </w:r>
            <w:r w:rsidR="008345B1" w:rsidRPr="00D95C97">
              <w:rPr>
                <w:rFonts w:asciiTheme="minorHAnsi" w:hAnsiTheme="minorHAnsi" w:cstheme="minorHAnsi"/>
              </w:rPr>
              <w:t>)</w:t>
            </w:r>
            <w:r w:rsidR="008345B1">
              <w:rPr>
                <w:rFonts w:asciiTheme="minorHAnsi" w:hAnsiTheme="minorHAnsi" w:cstheme="minorHAnsi"/>
              </w:rPr>
              <w:t xml:space="preserve"> </w:t>
            </w:r>
            <w:r w:rsidRPr="004A4EF9">
              <w:rPr>
                <w:rFonts w:asciiTheme="minorHAnsi" w:hAnsiTheme="minorHAnsi" w:cstheme="minorHAnsi"/>
              </w:rPr>
              <w:t xml:space="preserve">and among drug-resistant TB cases </w:t>
            </w:r>
            <w:r w:rsidR="004A4EF9">
              <w:rPr>
                <w:rFonts w:asciiTheme="minorHAnsi" w:hAnsiTheme="minorHAnsi" w:cstheme="minorHAnsi"/>
              </w:rPr>
              <w:t xml:space="preserve">(DRTB) </w:t>
            </w:r>
            <w:r w:rsidRPr="004A4EF9">
              <w:rPr>
                <w:rFonts w:asciiTheme="minorHAnsi" w:hAnsiTheme="minorHAnsi" w:cstheme="minorHAnsi"/>
              </w:rPr>
              <w:t xml:space="preserve">at </w:t>
            </w:r>
            <w:r w:rsidRPr="006A5D03">
              <w:rPr>
                <w:rFonts w:asciiTheme="minorHAnsi" w:hAnsiTheme="minorHAnsi" w:cstheme="minorHAnsi"/>
              </w:rPr>
              <w:t xml:space="preserve">69% </w:t>
            </w:r>
            <w:r w:rsidR="008345B1" w:rsidRPr="006A5D03">
              <w:rPr>
                <w:rFonts w:asciiTheme="minorHAnsi" w:hAnsiTheme="minorHAnsi" w:cstheme="minorHAnsi"/>
              </w:rPr>
              <w:t>(</w:t>
            </w:r>
            <w:r w:rsidR="006A5D03" w:rsidRPr="006A5D03">
              <w:rPr>
                <w:rFonts w:asciiTheme="minorHAnsi" w:hAnsiTheme="minorHAnsi" w:cstheme="minorHAnsi"/>
              </w:rPr>
              <w:t>3815/5549</w:t>
            </w:r>
            <w:r w:rsidR="008345B1" w:rsidRPr="006A5D03">
              <w:rPr>
                <w:rFonts w:asciiTheme="minorHAnsi" w:hAnsiTheme="minorHAnsi" w:cstheme="minorHAnsi"/>
              </w:rPr>
              <w:t xml:space="preserve">) </w:t>
            </w:r>
            <w:r w:rsidRPr="006A5D03">
              <w:rPr>
                <w:rFonts w:asciiTheme="minorHAnsi" w:hAnsiTheme="minorHAnsi" w:cstheme="minorHAnsi"/>
              </w:rPr>
              <w:t>for 2018 cohort using standard shorter treatment regimen and 3</w:t>
            </w:r>
            <w:r w:rsidR="006A5D03" w:rsidRPr="006A5D03">
              <w:rPr>
                <w:rFonts w:asciiTheme="minorHAnsi" w:hAnsiTheme="minorHAnsi" w:cstheme="minorHAnsi"/>
              </w:rPr>
              <w:t>3</w:t>
            </w:r>
            <w:r w:rsidRPr="006A5D03">
              <w:rPr>
                <w:rFonts w:asciiTheme="minorHAnsi" w:hAnsiTheme="minorHAnsi" w:cstheme="minorHAnsi"/>
              </w:rPr>
              <w:t xml:space="preserve">% </w:t>
            </w:r>
            <w:r w:rsidR="008345B1" w:rsidRPr="006A5D03">
              <w:rPr>
                <w:rFonts w:asciiTheme="minorHAnsi" w:hAnsiTheme="minorHAnsi" w:cstheme="minorHAnsi"/>
              </w:rPr>
              <w:t>(</w:t>
            </w:r>
            <w:r w:rsidR="006A5D03" w:rsidRPr="006A5D03">
              <w:rPr>
                <w:rFonts w:asciiTheme="minorHAnsi" w:hAnsiTheme="minorHAnsi" w:cstheme="minorHAnsi"/>
              </w:rPr>
              <w:t>233/703</w:t>
            </w:r>
            <w:r w:rsidR="008345B1" w:rsidRPr="006A5D03">
              <w:rPr>
                <w:rFonts w:asciiTheme="minorHAnsi" w:hAnsiTheme="minorHAnsi" w:cstheme="minorHAnsi"/>
              </w:rPr>
              <w:t xml:space="preserve">) </w:t>
            </w:r>
            <w:r w:rsidRPr="006A5D03">
              <w:rPr>
                <w:rFonts w:asciiTheme="minorHAnsi" w:hAnsiTheme="minorHAnsi" w:cstheme="minorHAnsi"/>
              </w:rPr>
              <w:t xml:space="preserve">for 2018 cohort using conventional </w:t>
            </w:r>
            <w:r w:rsidRPr="004A4EF9">
              <w:rPr>
                <w:rFonts w:asciiTheme="minorHAnsi" w:hAnsiTheme="minorHAnsi" w:cstheme="minorHAnsi"/>
              </w:rPr>
              <w:t xml:space="preserve">treatment regimen. </w:t>
            </w:r>
            <w:r w:rsidR="004A4EF9" w:rsidRPr="004A4EF9">
              <w:rPr>
                <w:rFonts w:asciiTheme="minorHAnsi" w:hAnsiTheme="minorHAnsi" w:cstheme="minorHAnsi"/>
              </w:rPr>
              <w:t>DS</w:t>
            </w:r>
            <w:r w:rsidR="004A4DDC">
              <w:rPr>
                <w:rFonts w:asciiTheme="minorHAnsi" w:hAnsiTheme="minorHAnsi" w:cstheme="minorHAnsi"/>
              </w:rPr>
              <w:t xml:space="preserve"> </w:t>
            </w:r>
            <w:r w:rsidR="004A4EF9" w:rsidRPr="004A4EF9">
              <w:rPr>
                <w:rFonts w:asciiTheme="minorHAnsi" w:hAnsiTheme="minorHAnsi" w:cstheme="minorHAnsi"/>
              </w:rPr>
              <w:t xml:space="preserve">TB services </w:t>
            </w:r>
            <w:r w:rsidR="004A4DDC">
              <w:rPr>
                <w:rFonts w:asciiTheme="minorHAnsi" w:hAnsiTheme="minorHAnsi" w:cstheme="minorHAnsi"/>
              </w:rPr>
              <w:t>are</w:t>
            </w:r>
            <w:r w:rsidR="004A4EF9" w:rsidRPr="004A4EF9">
              <w:rPr>
                <w:rFonts w:asciiTheme="minorHAnsi" w:hAnsiTheme="minorHAnsi" w:cstheme="minorHAnsi"/>
              </w:rPr>
              <w:t xml:space="preserve"> available in all RHUs (about 2600) nationwid</w:t>
            </w:r>
            <w:r w:rsidR="004A4EF9">
              <w:rPr>
                <w:rFonts w:asciiTheme="minorHAnsi" w:hAnsiTheme="minorHAnsi" w:cstheme="minorHAnsi"/>
              </w:rPr>
              <w:t xml:space="preserve">e, while </w:t>
            </w:r>
            <w:r w:rsidR="004A4EF9" w:rsidRPr="004A4EF9">
              <w:rPr>
                <w:rFonts w:asciiTheme="minorHAnsi" w:hAnsiTheme="minorHAnsi" w:cstheme="minorHAnsi"/>
              </w:rPr>
              <w:t>DR</w:t>
            </w:r>
            <w:r w:rsidR="006E3AE9">
              <w:rPr>
                <w:rFonts w:asciiTheme="minorHAnsi" w:hAnsiTheme="minorHAnsi" w:cstheme="minorHAnsi"/>
              </w:rPr>
              <w:t xml:space="preserve"> </w:t>
            </w:r>
            <w:r w:rsidR="004A4EF9" w:rsidRPr="004A4EF9">
              <w:rPr>
                <w:rFonts w:asciiTheme="minorHAnsi" w:hAnsiTheme="minorHAnsi" w:cstheme="minorHAnsi"/>
              </w:rPr>
              <w:t xml:space="preserve">TB services </w:t>
            </w:r>
            <w:r w:rsidR="004A4DDC">
              <w:rPr>
                <w:rFonts w:asciiTheme="minorHAnsi" w:hAnsiTheme="minorHAnsi" w:cstheme="minorHAnsi"/>
              </w:rPr>
              <w:t>are</w:t>
            </w:r>
            <w:r w:rsidR="004A4EF9" w:rsidRPr="004A4EF9">
              <w:rPr>
                <w:rFonts w:asciiTheme="minorHAnsi" w:hAnsiTheme="minorHAnsi" w:cstheme="minorHAnsi"/>
              </w:rPr>
              <w:t xml:space="preserve"> available </w:t>
            </w:r>
            <w:r w:rsidR="004A4EF9">
              <w:rPr>
                <w:rFonts w:asciiTheme="minorHAnsi" w:hAnsiTheme="minorHAnsi" w:cstheme="minorHAnsi"/>
              </w:rPr>
              <w:t xml:space="preserve">only in </w:t>
            </w:r>
            <w:r w:rsidR="004A4EF9" w:rsidRPr="004A4EF9">
              <w:rPr>
                <w:rFonts w:asciiTheme="minorHAnsi" w:hAnsiTheme="minorHAnsi" w:cstheme="minorHAnsi"/>
              </w:rPr>
              <w:t>199 facilities</w:t>
            </w:r>
            <w:r w:rsidR="004A4EF9">
              <w:rPr>
                <w:rFonts w:asciiTheme="minorHAnsi" w:hAnsiTheme="minorHAnsi" w:cstheme="minorHAnsi"/>
              </w:rPr>
              <w:t xml:space="preserve">. </w:t>
            </w:r>
            <w:r w:rsidR="00ED0430">
              <w:rPr>
                <w:rFonts w:asciiTheme="minorHAnsi" w:hAnsiTheme="minorHAnsi" w:cstheme="minorHAnsi"/>
              </w:rPr>
              <w:t xml:space="preserve">As of March 2020, there are </w:t>
            </w:r>
            <w:r w:rsidR="004A4EF9" w:rsidRPr="004A4EF9">
              <w:rPr>
                <w:rFonts w:asciiTheme="minorHAnsi" w:hAnsiTheme="minorHAnsi" w:cstheme="minorHAnsi"/>
              </w:rPr>
              <w:t xml:space="preserve">488 operational Xpert MTB/Rif </w:t>
            </w:r>
            <w:r w:rsidR="00ED0430">
              <w:rPr>
                <w:rFonts w:asciiTheme="minorHAnsi" w:hAnsiTheme="minorHAnsi" w:cstheme="minorHAnsi"/>
              </w:rPr>
              <w:t xml:space="preserve">machines. This is expected to increase to </w:t>
            </w:r>
            <w:r w:rsidR="004A4EF9">
              <w:rPr>
                <w:rFonts w:asciiTheme="minorHAnsi" w:hAnsiTheme="minorHAnsi" w:cstheme="minorHAnsi"/>
              </w:rPr>
              <w:t xml:space="preserve">944 by end of December 2020. </w:t>
            </w:r>
            <w:r w:rsidR="00ED0430">
              <w:rPr>
                <w:rFonts w:asciiTheme="minorHAnsi" w:hAnsiTheme="minorHAnsi" w:cstheme="minorHAnsi"/>
              </w:rPr>
              <w:t xml:space="preserve">Current </w:t>
            </w:r>
            <w:r w:rsidR="004A4EF9">
              <w:rPr>
                <w:rFonts w:asciiTheme="minorHAnsi" w:hAnsiTheme="minorHAnsi" w:cstheme="minorHAnsi"/>
              </w:rPr>
              <w:t>DR</w:t>
            </w:r>
            <w:r w:rsidR="006E3AE9">
              <w:rPr>
                <w:rFonts w:asciiTheme="minorHAnsi" w:hAnsiTheme="minorHAnsi" w:cstheme="minorHAnsi"/>
              </w:rPr>
              <w:t xml:space="preserve"> </w:t>
            </w:r>
            <w:r w:rsidR="004A4EF9">
              <w:rPr>
                <w:rFonts w:asciiTheme="minorHAnsi" w:hAnsiTheme="minorHAnsi" w:cstheme="minorHAnsi"/>
              </w:rPr>
              <w:t>TB e</w:t>
            </w:r>
            <w:r w:rsidR="004A4EF9" w:rsidRPr="004A4EF9">
              <w:rPr>
                <w:rFonts w:asciiTheme="minorHAnsi" w:hAnsiTheme="minorHAnsi" w:cstheme="minorHAnsi"/>
              </w:rPr>
              <w:t xml:space="preserve">nrollment rate is at 95% and drug sensitivity testing using LPA </w:t>
            </w:r>
            <w:r w:rsidR="004A4EF9">
              <w:rPr>
                <w:rFonts w:asciiTheme="minorHAnsi" w:hAnsiTheme="minorHAnsi" w:cstheme="minorHAnsi"/>
              </w:rPr>
              <w:t xml:space="preserve">has been applied to </w:t>
            </w:r>
            <w:r w:rsidR="004A4EF9" w:rsidRPr="004A4EF9">
              <w:rPr>
                <w:rFonts w:asciiTheme="minorHAnsi" w:hAnsiTheme="minorHAnsi" w:cstheme="minorHAnsi"/>
              </w:rPr>
              <w:t xml:space="preserve">98% </w:t>
            </w:r>
            <w:r w:rsidR="004A4EF9">
              <w:rPr>
                <w:rFonts w:asciiTheme="minorHAnsi" w:hAnsiTheme="minorHAnsi" w:cstheme="minorHAnsi"/>
              </w:rPr>
              <w:t xml:space="preserve">of all </w:t>
            </w:r>
            <w:r w:rsidR="00ED0430">
              <w:rPr>
                <w:rFonts w:asciiTheme="minorHAnsi" w:hAnsiTheme="minorHAnsi" w:cstheme="minorHAnsi"/>
              </w:rPr>
              <w:t>DR</w:t>
            </w:r>
            <w:r w:rsidR="006E3AE9">
              <w:rPr>
                <w:rFonts w:asciiTheme="minorHAnsi" w:hAnsiTheme="minorHAnsi" w:cstheme="minorHAnsi"/>
              </w:rPr>
              <w:t xml:space="preserve"> </w:t>
            </w:r>
            <w:r w:rsidR="00ED0430">
              <w:rPr>
                <w:rFonts w:asciiTheme="minorHAnsi" w:hAnsiTheme="minorHAnsi" w:cstheme="minorHAnsi"/>
              </w:rPr>
              <w:t xml:space="preserve">TB </w:t>
            </w:r>
            <w:r w:rsidR="004A4EF9">
              <w:rPr>
                <w:rFonts w:asciiTheme="minorHAnsi" w:hAnsiTheme="minorHAnsi" w:cstheme="minorHAnsi"/>
              </w:rPr>
              <w:t xml:space="preserve">notified cases. </w:t>
            </w:r>
          </w:p>
          <w:p w14:paraId="156EFC17" w14:textId="5DC9B92C" w:rsidR="004A4EF9" w:rsidRDefault="004A4EF9" w:rsidP="009B6C0D">
            <w:pPr>
              <w:spacing w:after="0"/>
              <w:rPr>
                <w:rFonts w:asciiTheme="minorHAnsi" w:hAnsiTheme="minorHAnsi" w:cstheme="minorHAnsi"/>
              </w:rPr>
            </w:pPr>
          </w:p>
          <w:p w14:paraId="1ED1BD61" w14:textId="4D290586" w:rsidR="004A4EF9" w:rsidRDefault="00853B22" w:rsidP="009B6C0D">
            <w:pPr>
              <w:spacing w:after="0"/>
              <w:rPr>
                <w:rFonts w:asciiTheme="minorHAnsi" w:hAnsiTheme="minorHAnsi" w:cstheme="minorHAnsi"/>
              </w:rPr>
            </w:pPr>
            <w:r>
              <w:rPr>
                <w:rFonts w:asciiTheme="minorHAnsi" w:hAnsiTheme="minorHAnsi" w:cstheme="minorHAnsi"/>
              </w:rPr>
              <w:t xml:space="preserve">For the management of latent TB infections, about </w:t>
            </w:r>
            <w:r w:rsidR="00C715E9">
              <w:rPr>
                <w:rFonts w:asciiTheme="minorHAnsi" w:hAnsiTheme="minorHAnsi" w:cstheme="minorHAnsi"/>
              </w:rPr>
              <w:t>65</w:t>
            </w:r>
            <w:r>
              <w:rPr>
                <w:rFonts w:asciiTheme="minorHAnsi" w:hAnsiTheme="minorHAnsi" w:cstheme="minorHAnsi"/>
              </w:rPr>
              <w:t xml:space="preserve">% of </w:t>
            </w:r>
            <w:r w:rsidR="00843FE4">
              <w:rPr>
                <w:rFonts w:asciiTheme="minorHAnsi" w:hAnsiTheme="minorHAnsi" w:cstheme="minorHAnsi"/>
              </w:rPr>
              <w:t xml:space="preserve">PLHIV </w:t>
            </w:r>
            <w:r w:rsidR="006A5D03">
              <w:rPr>
                <w:rFonts w:asciiTheme="minorHAnsi" w:hAnsiTheme="minorHAnsi" w:cstheme="minorHAnsi"/>
              </w:rPr>
              <w:t xml:space="preserve">registered in HIV hubs reporting to the Epidemiology Bureau </w:t>
            </w:r>
            <w:r w:rsidR="00C715E9">
              <w:rPr>
                <w:rFonts w:asciiTheme="minorHAnsi" w:hAnsiTheme="minorHAnsi" w:cstheme="minorHAnsi"/>
              </w:rPr>
              <w:t>were provided TPT</w:t>
            </w:r>
            <w:r w:rsidR="004A4DDC">
              <w:rPr>
                <w:rFonts w:asciiTheme="minorHAnsi" w:hAnsiTheme="minorHAnsi" w:cstheme="minorHAnsi"/>
              </w:rPr>
              <w:t xml:space="preserve">. </w:t>
            </w:r>
            <w:r w:rsidR="00C715E9">
              <w:rPr>
                <w:rFonts w:asciiTheme="minorHAnsi" w:hAnsiTheme="minorHAnsi" w:cstheme="minorHAnsi"/>
              </w:rPr>
              <w:t xml:space="preserve">TB </w:t>
            </w:r>
            <w:r>
              <w:rPr>
                <w:rFonts w:asciiTheme="minorHAnsi" w:hAnsiTheme="minorHAnsi" w:cstheme="minorHAnsi"/>
              </w:rPr>
              <w:t xml:space="preserve">contact under </w:t>
            </w:r>
            <w:r w:rsidR="00EA186C">
              <w:rPr>
                <w:rFonts w:asciiTheme="minorHAnsi" w:hAnsiTheme="minorHAnsi" w:cstheme="minorHAnsi"/>
              </w:rPr>
              <w:t xml:space="preserve">age </w:t>
            </w:r>
            <w:r w:rsidR="004A4DDC">
              <w:rPr>
                <w:rFonts w:asciiTheme="minorHAnsi" w:hAnsiTheme="minorHAnsi" w:cstheme="minorHAnsi"/>
              </w:rPr>
              <w:t>five</w:t>
            </w:r>
            <w:r w:rsidR="00EA186C">
              <w:rPr>
                <w:rFonts w:asciiTheme="minorHAnsi" w:hAnsiTheme="minorHAnsi" w:cstheme="minorHAnsi"/>
              </w:rPr>
              <w:t xml:space="preserve"> </w:t>
            </w:r>
            <w:r w:rsidR="004A4DDC">
              <w:rPr>
                <w:rFonts w:asciiTheme="minorHAnsi" w:hAnsiTheme="minorHAnsi" w:cstheme="minorHAnsi"/>
              </w:rPr>
              <w:t xml:space="preserve">(9,611) </w:t>
            </w:r>
            <w:r>
              <w:rPr>
                <w:rFonts w:asciiTheme="minorHAnsi" w:hAnsiTheme="minorHAnsi" w:cstheme="minorHAnsi"/>
              </w:rPr>
              <w:t xml:space="preserve">have been provided </w:t>
            </w:r>
            <w:r w:rsidR="00ED0430">
              <w:rPr>
                <w:rFonts w:asciiTheme="minorHAnsi" w:hAnsiTheme="minorHAnsi" w:cstheme="minorHAnsi"/>
              </w:rPr>
              <w:t xml:space="preserve">TB preventive therapy </w:t>
            </w:r>
            <w:r>
              <w:rPr>
                <w:rFonts w:asciiTheme="minorHAnsi" w:hAnsiTheme="minorHAnsi" w:cstheme="minorHAnsi"/>
              </w:rPr>
              <w:t xml:space="preserve">in 2018. With the ongoing TGF Grant for TB, TB-HIV co-management has been operationalized in </w:t>
            </w:r>
            <w:r w:rsidR="00973F14">
              <w:rPr>
                <w:rFonts w:asciiTheme="minorHAnsi" w:hAnsiTheme="minorHAnsi" w:cstheme="minorHAnsi"/>
              </w:rPr>
              <w:t>1,376</w:t>
            </w:r>
            <w:r>
              <w:rPr>
                <w:rFonts w:asciiTheme="minorHAnsi" w:hAnsiTheme="minorHAnsi" w:cstheme="minorHAnsi"/>
              </w:rPr>
              <w:t xml:space="preserve"> </w:t>
            </w:r>
            <w:r w:rsidR="004A4DDC">
              <w:rPr>
                <w:rFonts w:asciiTheme="minorHAnsi" w:hAnsiTheme="minorHAnsi" w:cstheme="minorHAnsi"/>
              </w:rPr>
              <w:t xml:space="preserve">TB </w:t>
            </w:r>
            <w:r>
              <w:rPr>
                <w:rFonts w:asciiTheme="minorHAnsi" w:hAnsiTheme="minorHAnsi" w:cstheme="minorHAnsi"/>
              </w:rPr>
              <w:t>facilities</w:t>
            </w:r>
            <w:r w:rsidR="00973F14">
              <w:rPr>
                <w:rFonts w:asciiTheme="minorHAnsi" w:hAnsiTheme="minorHAnsi" w:cstheme="minorHAnsi"/>
              </w:rPr>
              <w:t xml:space="preserve">, 199 PMDT facilities </w:t>
            </w:r>
            <w:r>
              <w:rPr>
                <w:rFonts w:asciiTheme="minorHAnsi" w:hAnsiTheme="minorHAnsi" w:cstheme="minorHAnsi"/>
              </w:rPr>
              <w:t xml:space="preserve">and </w:t>
            </w:r>
            <w:r w:rsidR="00973F14">
              <w:rPr>
                <w:rFonts w:asciiTheme="minorHAnsi" w:hAnsiTheme="minorHAnsi" w:cstheme="minorHAnsi"/>
              </w:rPr>
              <w:t>118</w:t>
            </w:r>
            <w:r>
              <w:rPr>
                <w:rFonts w:asciiTheme="minorHAnsi" w:hAnsiTheme="minorHAnsi" w:cstheme="minorHAnsi"/>
              </w:rPr>
              <w:t xml:space="preserve"> HIV </w:t>
            </w:r>
            <w:r w:rsidR="00973F14">
              <w:rPr>
                <w:rFonts w:asciiTheme="minorHAnsi" w:hAnsiTheme="minorHAnsi" w:cstheme="minorHAnsi"/>
              </w:rPr>
              <w:t>T</w:t>
            </w:r>
            <w:r>
              <w:rPr>
                <w:rFonts w:asciiTheme="minorHAnsi" w:hAnsiTheme="minorHAnsi" w:cstheme="minorHAnsi"/>
              </w:rPr>
              <w:t xml:space="preserve">reatment Hubs nationwide. </w:t>
            </w:r>
          </w:p>
          <w:p w14:paraId="26D65D3B" w14:textId="51F356D9" w:rsidR="004A4EF9" w:rsidRPr="004A4EF9" w:rsidRDefault="004A4EF9" w:rsidP="009B6C0D">
            <w:pPr>
              <w:spacing w:after="0"/>
              <w:rPr>
                <w:rFonts w:asciiTheme="minorHAnsi" w:hAnsiTheme="minorHAnsi" w:cstheme="minorHAnsi"/>
              </w:rPr>
            </w:pPr>
          </w:p>
          <w:p w14:paraId="50F48A7E" w14:textId="5B6D5F55" w:rsidR="003A4459" w:rsidRDefault="003A4459" w:rsidP="009B6C0D">
            <w:pPr>
              <w:spacing w:after="0"/>
              <w:rPr>
                <w:rFonts w:asciiTheme="minorHAnsi" w:hAnsiTheme="minorHAnsi" w:cstheme="minorHAnsi"/>
              </w:rPr>
            </w:pPr>
            <w:r>
              <w:rPr>
                <w:rFonts w:asciiTheme="minorHAnsi" w:hAnsiTheme="minorHAnsi" w:cstheme="minorHAnsi"/>
              </w:rPr>
              <w:t>The 2019 JPR</w:t>
            </w:r>
            <w:r w:rsidRPr="00E636B5">
              <w:rPr>
                <w:rFonts w:asciiTheme="minorHAnsi" w:hAnsiTheme="minorHAnsi" w:cstheme="minorHAnsi"/>
              </w:rPr>
              <w:t xml:space="preserve"> </w:t>
            </w:r>
            <w:r w:rsidR="004A4DDC">
              <w:rPr>
                <w:rFonts w:asciiTheme="minorHAnsi" w:hAnsiTheme="minorHAnsi" w:cstheme="minorHAnsi"/>
              </w:rPr>
              <w:t xml:space="preserve">identified key issues and recommendations: </w:t>
            </w:r>
          </w:p>
          <w:p w14:paraId="55F812CF" w14:textId="77777777" w:rsidR="00E31A96" w:rsidRDefault="00E31A96" w:rsidP="009B6C0D">
            <w:pPr>
              <w:spacing w:after="0"/>
              <w:rPr>
                <w:rFonts w:asciiTheme="minorHAnsi" w:hAnsiTheme="minorHAnsi" w:cstheme="minorHAnsi"/>
              </w:rPr>
            </w:pPr>
          </w:p>
          <w:p w14:paraId="4CD214B5" w14:textId="6960B09F" w:rsidR="007B7223" w:rsidRDefault="00E9752D" w:rsidP="00E07C20">
            <w:pPr>
              <w:pStyle w:val="ListParagraph"/>
              <w:numPr>
                <w:ilvl w:val="0"/>
                <w:numId w:val="32"/>
              </w:numPr>
              <w:spacing w:after="0"/>
              <w:rPr>
                <w:rFonts w:asciiTheme="minorHAnsi" w:hAnsiTheme="minorHAnsi" w:cstheme="minorHAnsi"/>
              </w:rPr>
            </w:pPr>
            <w:r w:rsidRPr="00E9752D">
              <w:rPr>
                <w:rFonts w:asciiTheme="minorHAnsi" w:hAnsiTheme="minorHAnsi" w:cstheme="minorHAnsi"/>
                <w:b/>
                <w:bCs/>
              </w:rPr>
              <w:t>The primary challenge is f</w:t>
            </w:r>
            <w:r w:rsidR="00E636B5" w:rsidRPr="00E9752D">
              <w:rPr>
                <w:rFonts w:asciiTheme="minorHAnsi" w:hAnsiTheme="minorHAnsi" w:cstheme="minorHAnsi"/>
                <w:b/>
                <w:bCs/>
              </w:rPr>
              <w:t>inding the missing TB cases</w:t>
            </w:r>
            <w:r w:rsidR="003A4459" w:rsidRPr="00E9752D">
              <w:rPr>
                <w:rFonts w:asciiTheme="minorHAnsi" w:hAnsiTheme="minorHAnsi" w:cstheme="minorHAnsi"/>
                <w:b/>
                <w:bCs/>
              </w:rPr>
              <w:t>.</w:t>
            </w:r>
            <w:r w:rsidR="003A4459">
              <w:rPr>
                <w:rFonts w:asciiTheme="minorHAnsi" w:hAnsiTheme="minorHAnsi" w:cstheme="minorHAnsi"/>
              </w:rPr>
              <w:t xml:space="preserve"> </w:t>
            </w:r>
            <w:r w:rsidR="00E636B5" w:rsidRPr="003A4459">
              <w:rPr>
                <w:rFonts w:asciiTheme="minorHAnsi" w:hAnsiTheme="minorHAnsi" w:cstheme="minorHAnsi"/>
              </w:rPr>
              <w:t xml:space="preserve">In 2018, the estimated missing cases </w:t>
            </w:r>
            <w:r w:rsidR="00E636B5" w:rsidRPr="00C715E9">
              <w:rPr>
                <w:rFonts w:asciiTheme="minorHAnsi" w:hAnsiTheme="minorHAnsi" w:cstheme="minorHAnsi"/>
              </w:rPr>
              <w:t xml:space="preserve">is at </w:t>
            </w:r>
            <w:r w:rsidR="00C715E9" w:rsidRPr="00C715E9">
              <w:rPr>
                <w:rFonts w:asciiTheme="minorHAnsi" w:hAnsiTheme="minorHAnsi" w:cstheme="minorHAnsi"/>
              </w:rPr>
              <w:t>35</w:t>
            </w:r>
            <w:r w:rsidR="00E636B5" w:rsidRPr="00C715E9">
              <w:rPr>
                <w:rFonts w:asciiTheme="minorHAnsi" w:hAnsiTheme="minorHAnsi" w:cstheme="minorHAnsi"/>
              </w:rPr>
              <w:t>% for DS</w:t>
            </w:r>
            <w:r w:rsidR="00C715E9" w:rsidRPr="00C715E9">
              <w:rPr>
                <w:rFonts w:asciiTheme="minorHAnsi" w:hAnsiTheme="minorHAnsi" w:cstheme="minorHAnsi"/>
              </w:rPr>
              <w:t xml:space="preserve"> </w:t>
            </w:r>
            <w:r w:rsidR="00E636B5" w:rsidRPr="00C715E9">
              <w:rPr>
                <w:rFonts w:asciiTheme="minorHAnsi" w:hAnsiTheme="minorHAnsi" w:cstheme="minorHAnsi"/>
              </w:rPr>
              <w:t xml:space="preserve">TB and </w:t>
            </w:r>
            <w:r w:rsidR="00C715E9" w:rsidRPr="00C715E9">
              <w:rPr>
                <w:rFonts w:asciiTheme="minorHAnsi" w:hAnsiTheme="minorHAnsi" w:cstheme="minorHAnsi"/>
              </w:rPr>
              <w:t>65</w:t>
            </w:r>
            <w:r w:rsidR="00E636B5" w:rsidRPr="00C715E9">
              <w:rPr>
                <w:rFonts w:asciiTheme="minorHAnsi" w:hAnsiTheme="minorHAnsi" w:cstheme="minorHAnsi"/>
              </w:rPr>
              <w:t>% for</w:t>
            </w:r>
            <w:r w:rsidR="00E636B5" w:rsidRPr="003A4459">
              <w:rPr>
                <w:rFonts w:asciiTheme="minorHAnsi" w:hAnsiTheme="minorHAnsi" w:cstheme="minorHAnsi"/>
              </w:rPr>
              <w:t xml:space="preserve"> </w:t>
            </w:r>
            <w:r w:rsidR="00C715E9">
              <w:rPr>
                <w:rFonts w:asciiTheme="minorHAnsi" w:hAnsiTheme="minorHAnsi" w:cstheme="minorHAnsi"/>
              </w:rPr>
              <w:t>M</w:t>
            </w:r>
            <w:r w:rsidR="00E636B5" w:rsidRPr="003A4459">
              <w:rPr>
                <w:rFonts w:asciiTheme="minorHAnsi" w:hAnsiTheme="minorHAnsi" w:cstheme="minorHAnsi"/>
              </w:rPr>
              <w:t>DR</w:t>
            </w:r>
            <w:r w:rsidR="00C715E9">
              <w:rPr>
                <w:rFonts w:asciiTheme="minorHAnsi" w:hAnsiTheme="minorHAnsi" w:cstheme="minorHAnsi"/>
              </w:rPr>
              <w:t xml:space="preserve"> </w:t>
            </w:r>
            <w:r w:rsidR="00E636B5" w:rsidRPr="003A4459">
              <w:rPr>
                <w:rFonts w:asciiTheme="minorHAnsi" w:hAnsiTheme="minorHAnsi" w:cstheme="minorHAnsi"/>
              </w:rPr>
              <w:t xml:space="preserve">TB. </w:t>
            </w:r>
            <w:r w:rsidR="003A4459">
              <w:rPr>
                <w:rFonts w:asciiTheme="minorHAnsi" w:hAnsiTheme="minorHAnsi" w:cstheme="minorHAnsi"/>
              </w:rPr>
              <w:t>The v</w:t>
            </w:r>
            <w:r w:rsidR="00E636B5" w:rsidRPr="003A4459">
              <w:rPr>
                <w:rFonts w:asciiTheme="minorHAnsi" w:hAnsiTheme="minorHAnsi" w:cstheme="minorHAnsi"/>
              </w:rPr>
              <w:t xml:space="preserve">arious </w:t>
            </w:r>
            <w:r w:rsidR="003A4459">
              <w:rPr>
                <w:rFonts w:asciiTheme="minorHAnsi" w:hAnsiTheme="minorHAnsi" w:cstheme="minorHAnsi"/>
              </w:rPr>
              <w:t xml:space="preserve">innovative </w:t>
            </w:r>
            <w:r w:rsidR="00E636B5" w:rsidRPr="003A4459">
              <w:rPr>
                <w:rFonts w:asciiTheme="minorHAnsi" w:hAnsiTheme="minorHAnsi" w:cstheme="minorHAnsi"/>
              </w:rPr>
              <w:t xml:space="preserve">case finding interventions </w:t>
            </w:r>
            <w:r w:rsidR="003A4459">
              <w:rPr>
                <w:rFonts w:asciiTheme="minorHAnsi" w:hAnsiTheme="minorHAnsi" w:cstheme="minorHAnsi"/>
              </w:rPr>
              <w:t xml:space="preserve">currently </w:t>
            </w:r>
            <w:r w:rsidR="00E636B5" w:rsidRPr="003A4459">
              <w:rPr>
                <w:rFonts w:asciiTheme="minorHAnsi" w:hAnsiTheme="minorHAnsi" w:cstheme="minorHAnsi"/>
              </w:rPr>
              <w:t xml:space="preserve">being </w:t>
            </w:r>
            <w:r w:rsidR="003A4459">
              <w:rPr>
                <w:rFonts w:asciiTheme="minorHAnsi" w:hAnsiTheme="minorHAnsi" w:cstheme="minorHAnsi"/>
              </w:rPr>
              <w:t xml:space="preserve">implemented are </w:t>
            </w:r>
            <w:r w:rsidR="00E636B5" w:rsidRPr="003A4459">
              <w:rPr>
                <w:rFonts w:asciiTheme="minorHAnsi" w:hAnsiTheme="minorHAnsi" w:cstheme="minorHAnsi"/>
              </w:rPr>
              <w:t>show</w:t>
            </w:r>
            <w:r w:rsidR="003A4459">
              <w:rPr>
                <w:rFonts w:asciiTheme="minorHAnsi" w:hAnsiTheme="minorHAnsi" w:cstheme="minorHAnsi"/>
              </w:rPr>
              <w:t>ing</w:t>
            </w:r>
            <w:r w:rsidR="00E636B5" w:rsidRPr="003A4459">
              <w:rPr>
                <w:rFonts w:asciiTheme="minorHAnsi" w:hAnsiTheme="minorHAnsi" w:cstheme="minorHAnsi"/>
              </w:rPr>
              <w:t xml:space="preserve"> significant success in finding the missing </w:t>
            </w:r>
            <w:r w:rsidR="00EA186C" w:rsidRPr="003A4459">
              <w:rPr>
                <w:rFonts w:asciiTheme="minorHAnsi" w:hAnsiTheme="minorHAnsi" w:cstheme="minorHAnsi"/>
              </w:rPr>
              <w:t>cases</w:t>
            </w:r>
            <w:r w:rsidR="003A4459" w:rsidRPr="003A4459">
              <w:rPr>
                <w:rFonts w:asciiTheme="minorHAnsi" w:hAnsiTheme="minorHAnsi" w:cstheme="minorHAnsi"/>
              </w:rPr>
              <w:t xml:space="preserve"> and </w:t>
            </w:r>
            <w:r w:rsidR="003A4459">
              <w:rPr>
                <w:rFonts w:asciiTheme="minorHAnsi" w:hAnsiTheme="minorHAnsi" w:cstheme="minorHAnsi"/>
              </w:rPr>
              <w:t xml:space="preserve">it is </w:t>
            </w:r>
            <w:r w:rsidR="003A4459" w:rsidRPr="003A4459">
              <w:rPr>
                <w:rFonts w:asciiTheme="minorHAnsi" w:hAnsiTheme="minorHAnsi" w:cstheme="minorHAnsi"/>
              </w:rPr>
              <w:t>require</w:t>
            </w:r>
            <w:r w:rsidR="003A4459">
              <w:rPr>
                <w:rFonts w:asciiTheme="minorHAnsi" w:hAnsiTheme="minorHAnsi" w:cstheme="minorHAnsi"/>
              </w:rPr>
              <w:t>d</w:t>
            </w:r>
            <w:r w:rsidR="003A4459" w:rsidRPr="003A4459">
              <w:rPr>
                <w:rFonts w:asciiTheme="minorHAnsi" w:hAnsiTheme="minorHAnsi" w:cstheme="minorHAnsi"/>
              </w:rPr>
              <w:t xml:space="preserve"> to</w:t>
            </w:r>
            <w:r w:rsidR="003A4459">
              <w:rPr>
                <w:rFonts w:asciiTheme="minorHAnsi" w:hAnsiTheme="minorHAnsi" w:cstheme="minorHAnsi"/>
              </w:rPr>
              <w:t xml:space="preserve"> </w:t>
            </w:r>
            <w:r w:rsidR="003A4459" w:rsidRPr="003A4459">
              <w:rPr>
                <w:rFonts w:asciiTheme="minorHAnsi" w:hAnsiTheme="minorHAnsi" w:cstheme="minorHAnsi"/>
              </w:rPr>
              <w:t>operate at</w:t>
            </w:r>
            <w:r w:rsidR="00E636B5" w:rsidRPr="003A4459">
              <w:rPr>
                <w:rFonts w:asciiTheme="minorHAnsi" w:hAnsiTheme="minorHAnsi" w:cstheme="minorHAnsi"/>
              </w:rPr>
              <w:t xml:space="preserve"> </w:t>
            </w:r>
            <w:r w:rsidR="003A4459" w:rsidRPr="003A4459">
              <w:rPr>
                <w:rFonts w:asciiTheme="minorHAnsi" w:hAnsiTheme="minorHAnsi" w:cstheme="minorHAnsi"/>
              </w:rPr>
              <w:t xml:space="preserve">a </w:t>
            </w:r>
            <w:r w:rsidR="00E636B5" w:rsidRPr="003A4459">
              <w:rPr>
                <w:rFonts w:asciiTheme="minorHAnsi" w:hAnsiTheme="minorHAnsi" w:cstheme="minorHAnsi"/>
              </w:rPr>
              <w:t>larger scale for impact.</w:t>
            </w:r>
            <w:r w:rsidR="00EA186C" w:rsidRPr="003A4459">
              <w:rPr>
                <w:rFonts w:asciiTheme="minorHAnsi" w:hAnsiTheme="minorHAnsi" w:cstheme="minorHAnsi"/>
              </w:rPr>
              <w:t xml:space="preserve"> </w:t>
            </w:r>
            <w:r w:rsidR="003A4459">
              <w:rPr>
                <w:rFonts w:asciiTheme="minorHAnsi" w:hAnsiTheme="minorHAnsi" w:cstheme="minorHAnsi"/>
              </w:rPr>
              <w:t xml:space="preserve">There is also a </w:t>
            </w:r>
            <w:r w:rsidR="00F37BF5" w:rsidRPr="003A4459">
              <w:rPr>
                <w:rFonts w:asciiTheme="minorHAnsi" w:hAnsiTheme="minorHAnsi" w:cstheme="minorHAnsi"/>
              </w:rPr>
              <w:t>need to scale-up availability and access to Rapid Diagnostic Tests</w:t>
            </w:r>
            <w:r w:rsidR="003A4459" w:rsidRPr="003A4459">
              <w:rPr>
                <w:rFonts w:asciiTheme="minorHAnsi" w:hAnsiTheme="minorHAnsi" w:cstheme="minorHAnsi"/>
              </w:rPr>
              <w:t xml:space="preserve"> and at the interim, enhance specimen transport systems</w:t>
            </w:r>
            <w:r w:rsidR="003A4459">
              <w:rPr>
                <w:rFonts w:asciiTheme="minorHAnsi" w:hAnsiTheme="minorHAnsi" w:cstheme="minorHAnsi"/>
              </w:rPr>
              <w:t xml:space="preserve"> to find missing TB cases. </w:t>
            </w:r>
            <w:r>
              <w:rPr>
                <w:rFonts w:asciiTheme="minorHAnsi" w:hAnsiTheme="minorHAnsi" w:cstheme="minorHAnsi"/>
              </w:rPr>
              <w:t>Furthermore, with high notification gap for DR</w:t>
            </w:r>
            <w:r w:rsidR="006E3AE9">
              <w:rPr>
                <w:rFonts w:asciiTheme="minorHAnsi" w:hAnsiTheme="minorHAnsi" w:cstheme="minorHAnsi"/>
              </w:rPr>
              <w:t xml:space="preserve"> </w:t>
            </w:r>
            <w:r>
              <w:rPr>
                <w:rFonts w:asciiTheme="minorHAnsi" w:hAnsiTheme="minorHAnsi" w:cstheme="minorHAnsi"/>
              </w:rPr>
              <w:t>TB (greater than 60%) and low TSR (less than 60%)</w:t>
            </w:r>
            <w:r w:rsidR="004A4DDC">
              <w:rPr>
                <w:rFonts w:asciiTheme="minorHAnsi" w:hAnsiTheme="minorHAnsi" w:cstheme="minorHAnsi"/>
              </w:rPr>
              <w:t>,</w:t>
            </w:r>
            <w:r>
              <w:rPr>
                <w:rFonts w:asciiTheme="minorHAnsi" w:hAnsiTheme="minorHAnsi" w:cstheme="minorHAnsi"/>
              </w:rPr>
              <w:t xml:space="preserve"> rapid enhancement of clinical and programmatic capacity to detect, treat and care for patients with MDR</w:t>
            </w:r>
            <w:r w:rsidR="006E3AE9">
              <w:rPr>
                <w:rFonts w:asciiTheme="minorHAnsi" w:hAnsiTheme="minorHAnsi" w:cstheme="minorHAnsi"/>
              </w:rPr>
              <w:t xml:space="preserve"> </w:t>
            </w:r>
            <w:r>
              <w:rPr>
                <w:rFonts w:asciiTheme="minorHAnsi" w:hAnsiTheme="minorHAnsi" w:cstheme="minorHAnsi"/>
              </w:rPr>
              <w:t>TB</w:t>
            </w:r>
            <w:r w:rsidR="004A4DDC">
              <w:rPr>
                <w:rFonts w:asciiTheme="minorHAnsi" w:hAnsiTheme="minorHAnsi" w:cstheme="minorHAnsi"/>
              </w:rPr>
              <w:t xml:space="preserve"> is required</w:t>
            </w:r>
            <w:r>
              <w:rPr>
                <w:rFonts w:asciiTheme="minorHAnsi" w:hAnsiTheme="minorHAnsi" w:cstheme="minorHAnsi"/>
              </w:rPr>
              <w:t>.</w:t>
            </w:r>
            <w:r w:rsidR="004E521E">
              <w:rPr>
                <w:rFonts w:asciiTheme="minorHAnsi" w:hAnsiTheme="minorHAnsi" w:cstheme="minorHAnsi"/>
              </w:rPr>
              <w:t xml:space="preserve"> </w:t>
            </w:r>
            <w:r>
              <w:rPr>
                <w:rFonts w:asciiTheme="minorHAnsi" w:hAnsiTheme="minorHAnsi" w:cstheme="minorHAnsi"/>
              </w:rPr>
              <w:t xml:space="preserve">  </w:t>
            </w:r>
          </w:p>
          <w:p w14:paraId="61693DD2" w14:textId="0E82D385" w:rsidR="007B7223" w:rsidRPr="007B7223" w:rsidRDefault="007B7223" w:rsidP="00E07C20">
            <w:pPr>
              <w:pStyle w:val="ListParagraph"/>
              <w:numPr>
                <w:ilvl w:val="0"/>
                <w:numId w:val="32"/>
              </w:numPr>
              <w:spacing w:after="0"/>
              <w:rPr>
                <w:rFonts w:asciiTheme="minorHAnsi" w:hAnsiTheme="minorHAnsi" w:cstheme="minorHAnsi"/>
              </w:rPr>
            </w:pPr>
            <w:r w:rsidRPr="0096404A">
              <w:rPr>
                <w:rFonts w:asciiTheme="minorHAnsi" w:hAnsiTheme="minorHAnsi" w:cstheme="minorHAnsi"/>
                <w:b/>
                <w:bCs/>
              </w:rPr>
              <w:t>High proportion of clinical diagnosis</w:t>
            </w:r>
            <w:r w:rsidR="004A4DDC">
              <w:rPr>
                <w:rStyle w:val="FootnoteReference"/>
                <w:rFonts w:asciiTheme="minorHAnsi" w:hAnsiTheme="minorHAnsi" w:cstheme="minorHAnsi"/>
                <w:b/>
                <w:bCs/>
              </w:rPr>
              <w:footnoteReference w:id="5"/>
            </w:r>
            <w:r>
              <w:rPr>
                <w:rFonts w:asciiTheme="minorHAnsi" w:hAnsiTheme="minorHAnsi" w:cstheme="minorHAnsi"/>
              </w:rPr>
              <w:t xml:space="preserve">. There is a need to identify and address issues surrounding clinical diagnosis for TB.  </w:t>
            </w:r>
          </w:p>
          <w:p w14:paraId="0F6131EA" w14:textId="3CBB9E85" w:rsidR="00F37BF5" w:rsidRDefault="00E9752D" w:rsidP="00E07C20">
            <w:pPr>
              <w:pStyle w:val="ListParagraph"/>
              <w:numPr>
                <w:ilvl w:val="0"/>
                <w:numId w:val="32"/>
              </w:numPr>
              <w:spacing w:after="0"/>
              <w:rPr>
                <w:rFonts w:asciiTheme="minorHAnsi" w:hAnsiTheme="minorHAnsi" w:cstheme="minorHAnsi"/>
              </w:rPr>
            </w:pPr>
            <w:r>
              <w:rPr>
                <w:rFonts w:asciiTheme="minorHAnsi" w:hAnsiTheme="minorHAnsi" w:cstheme="minorHAnsi"/>
              </w:rPr>
              <w:t xml:space="preserve">To support TB elimination, there is a need to </w:t>
            </w:r>
            <w:r w:rsidRPr="00E31A96">
              <w:rPr>
                <w:rFonts w:asciiTheme="minorHAnsi" w:hAnsiTheme="minorHAnsi" w:cstheme="minorHAnsi"/>
                <w:b/>
                <w:bCs/>
              </w:rPr>
              <w:t>strengthen contact management and treatment of latent TB infections</w:t>
            </w:r>
            <w:r>
              <w:rPr>
                <w:rFonts w:asciiTheme="minorHAnsi" w:hAnsiTheme="minorHAnsi" w:cstheme="minorHAnsi"/>
              </w:rPr>
              <w:t xml:space="preserve">. </w:t>
            </w:r>
          </w:p>
          <w:p w14:paraId="1438D6C3" w14:textId="446870A9" w:rsidR="00E9752D" w:rsidRDefault="004D3350" w:rsidP="00E07C20">
            <w:pPr>
              <w:pStyle w:val="ListParagraph"/>
              <w:numPr>
                <w:ilvl w:val="0"/>
                <w:numId w:val="32"/>
              </w:numPr>
              <w:spacing w:after="0"/>
              <w:rPr>
                <w:rFonts w:asciiTheme="minorHAnsi" w:hAnsiTheme="minorHAnsi" w:cstheme="minorHAnsi"/>
              </w:rPr>
            </w:pPr>
            <w:r>
              <w:rPr>
                <w:rFonts w:asciiTheme="minorHAnsi" w:hAnsiTheme="minorHAnsi" w:cstheme="minorHAnsi"/>
              </w:rPr>
              <w:t xml:space="preserve">Pro-actively </w:t>
            </w:r>
            <w:r w:rsidRPr="00E31A96">
              <w:rPr>
                <w:rFonts w:asciiTheme="minorHAnsi" w:hAnsiTheme="minorHAnsi" w:cstheme="minorHAnsi"/>
                <w:b/>
                <w:bCs/>
              </w:rPr>
              <w:t>engage private care providers</w:t>
            </w:r>
            <w:r>
              <w:rPr>
                <w:rFonts w:asciiTheme="minorHAnsi" w:hAnsiTheme="minorHAnsi" w:cstheme="minorHAnsi"/>
              </w:rPr>
              <w:t xml:space="preserve"> to be part of the NTP</w:t>
            </w:r>
            <w:r w:rsidR="004E521E">
              <w:rPr>
                <w:rFonts w:asciiTheme="minorHAnsi" w:hAnsiTheme="minorHAnsi" w:cstheme="minorHAnsi"/>
              </w:rPr>
              <w:t>, i.e. to comply with mandatory case notification, reporting o</w:t>
            </w:r>
            <w:r w:rsidR="004A4DDC">
              <w:rPr>
                <w:rFonts w:asciiTheme="minorHAnsi" w:hAnsiTheme="minorHAnsi" w:cstheme="minorHAnsi"/>
              </w:rPr>
              <w:t>n</w:t>
            </w:r>
            <w:r w:rsidR="004E521E">
              <w:rPr>
                <w:rFonts w:asciiTheme="minorHAnsi" w:hAnsiTheme="minorHAnsi" w:cstheme="minorHAnsi"/>
              </w:rPr>
              <w:t xml:space="preserve"> treatment outcome, and align</w:t>
            </w:r>
            <w:r w:rsidR="004A4DDC">
              <w:rPr>
                <w:rFonts w:asciiTheme="minorHAnsi" w:hAnsiTheme="minorHAnsi" w:cstheme="minorHAnsi"/>
              </w:rPr>
              <w:t xml:space="preserve"> their</w:t>
            </w:r>
            <w:r w:rsidR="004E521E">
              <w:rPr>
                <w:rFonts w:asciiTheme="minorHAnsi" w:hAnsiTheme="minorHAnsi" w:cstheme="minorHAnsi"/>
              </w:rPr>
              <w:t xml:space="preserve"> practice</w:t>
            </w:r>
            <w:r w:rsidR="004A4DDC">
              <w:rPr>
                <w:rFonts w:asciiTheme="minorHAnsi" w:hAnsiTheme="minorHAnsi" w:cstheme="minorHAnsi"/>
              </w:rPr>
              <w:t>s</w:t>
            </w:r>
            <w:r w:rsidR="004E521E">
              <w:rPr>
                <w:rFonts w:asciiTheme="minorHAnsi" w:hAnsiTheme="minorHAnsi" w:cstheme="minorHAnsi"/>
              </w:rPr>
              <w:t xml:space="preserve"> to </w:t>
            </w:r>
            <w:r w:rsidR="004A4DDC">
              <w:rPr>
                <w:rFonts w:asciiTheme="minorHAnsi" w:hAnsiTheme="minorHAnsi" w:cstheme="minorHAnsi"/>
              </w:rPr>
              <w:t xml:space="preserve">national policies on </w:t>
            </w:r>
            <w:r w:rsidR="004E521E">
              <w:rPr>
                <w:rFonts w:asciiTheme="minorHAnsi" w:hAnsiTheme="minorHAnsi" w:cstheme="minorHAnsi"/>
              </w:rPr>
              <w:t xml:space="preserve">TB diagnosis and treatment. </w:t>
            </w:r>
          </w:p>
          <w:p w14:paraId="039EA55B" w14:textId="7BAEB350" w:rsidR="004E521E" w:rsidRDefault="004E521E" w:rsidP="00E07C20">
            <w:pPr>
              <w:pStyle w:val="ListParagraph"/>
              <w:numPr>
                <w:ilvl w:val="0"/>
                <w:numId w:val="32"/>
              </w:numPr>
              <w:spacing w:after="0"/>
              <w:rPr>
                <w:rFonts w:asciiTheme="minorHAnsi" w:hAnsiTheme="minorHAnsi" w:cstheme="minorHAnsi"/>
              </w:rPr>
            </w:pPr>
            <w:r w:rsidRPr="00E31A96">
              <w:rPr>
                <w:rFonts w:asciiTheme="minorHAnsi" w:hAnsiTheme="minorHAnsi" w:cstheme="minorHAnsi"/>
                <w:b/>
                <w:bCs/>
              </w:rPr>
              <w:t>Mitigate occurrence of stock-outs</w:t>
            </w:r>
            <w:r>
              <w:rPr>
                <w:rFonts w:asciiTheme="minorHAnsi" w:hAnsiTheme="minorHAnsi" w:cstheme="minorHAnsi"/>
              </w:rPr>
              <w:t xml:space="preserve"> of TB medicines and products. There is a need to improve the P</w:t>
            </w:r>
            <w:r w:rsidR="004A4DDC">
              <w:rPr>
                <w:rFonts w:asciiTheme="minorHAnsi" w:hAnsiTheme="minorHAnsi" w:cstheme="minorHAnsi"/>
              </w:rPr>
              <w:t>rocurement and Supply Chain Management (PS</w:t>
            </w:r>
            <w:r>
              <w:rPr>
                <w:rFonts w:asciiTheme="minorHAnsi" w:hAnsiTheme="minorHAnsi" w:cstheme="minorHAnsi"/>
              </w:rPr>
              <w:t>CM</w:t>
            </w:r>
            <w:r w:rsidR="004A4DDC">
              <w:rPr>
                <w:rFonts w:asciiTheme="minorHAnsi" w:hAnsiTheme="minorHAnsi" w:cstheme="minorHAnsi"/>
              </w:rPr>
              <w:t>)</w:t>
            </w:r>
            <w:r>
              <w:rPr>
                <w:rFonts w:asciiTheme="minorHAnsi" w:hAnsiTheme="minorHAnsi" w:cstheme="minorHAnsi"/>
              </w:rPr>
              <w:t xml:space="preserve"> system of DOH, including considering alternative procurement modalities and enable rapid registration of TB formulations. </w:t>
            </w:r>
          </w:p>
          <w:p w14:paraId="4BC228EB" w14:textId="6CCFF832" w:rsidR="004E521E" w:rsidRDefault="00E31A96" w:rsidP="00E07C20">
            <w:pPr>
              <w:pStyle w:val="ListParagraph"/>
              <w:numPr>
                <w:ilvl w:val="0"/>
                <w:numId w:val="32"/>
              </w:numPr>
              <w:spacing w:after="0"/>
              <w:rPr>
                <w:rFonts w:asciiTheme="minorHAnsi" w:hAnsiTheme="minorHAnsi" w:cstheme="minorHAnsi"/>
              </w:rPr>
            </w:pPr>
            <w:r>
              <w:rPr>
                <w:rFonts w:asciiTheme="minorHAnsi" w:hAnsiTheme="minorHAnsi" w:cstheme="minorHAnsi"/>
              </w:rPr>
              <w:t xml:space="preserve">Match the ambition to end TB by 2035 with the </w:t>
            </w:r>
            <w:r w:rsidRPr="00E31A96">
              <w:rPr>
                <w:rFonts w:asciiTheme="minorHAnsi" w:hAnsiTheme="minorHAnsi" w:cstheme="minorHAnsi"/>
                <w:b/>
                <w:bCs/>
              </w:rPr>
              <w:t>right level of domestic financial investment</w:t>
            </w:r>
            <w:r>
              <w:rPr>
                <w:rFonts w:asciiTheme="minorHAnsi" w:hAnsiTheme="minorHAnsi" w:cstheme="minorHAnsi"/>
              </w:rPr>
              <w:t xml:space="preserve">. There is a need to advocate for national and local financial investments, including from the private sector to support the NTP implementation. </w:t>
            </w:r>
          </w:p>
          <w:p w14:paraId="01718C68" w14:textId="3B961F0B" w:rsidR="00E31A96" w:rsidRPr="003A4459" w:rsidRDefault="00E31A96" w:rsidP="00E07C20">
            <w:pPr>
              <w:pStyle w:val="ListParagraph"/>
              <w:numPr>
                <w:ilvl w:val="0"/>
                <w:numId w:val="32"/>
              </w:numPr>
              <w:spacing w:after="0"/>
              <w:rPr>
                <w:rFonts w:asciiTheme="minorHAnsi" w:hAnsiTheme="minorHAnsi" w:cstheme="minorHAnsi"/>
              </w:rPr>
            </w:pPr>
            <w:r>
              <w:rPr>
                <w:rFonts w:asciiTheme="minorHAnsi" w:hAnsiTheme="minorHAnsi" w:cstheme="minorHAnsi"/>
              </w:rPr>
              <w:t xml:space="preserve">Identify and address bottlenecks to </w:t>
            </w:r>
            <w:r w:rsidRPr="00E31A96">
              <w:rPr>
                <w:rFonts w:asciiTheme="minorHAnsi" w:hAnsiTheme="minorHAnsi" w:cstheme="minorHAnsi"/>
                <w:b/>
                <w:bCs/>
              </w:rPr>
              <w:t>ensure enough health human resources are available</w:t>
            </w:r>
            <w:r>
              <w:rPr>
                <w:rFonts w:asciiTheme="minorHAnsi" w:hAnsiTheme="minorHAnsi" w:cstheme="minorHAnsi"/>
              </w:rPr>
              <w:t xml:space="preserve"> at all levels of the health care delivery system.  </w:t>
            </w:r>
          </w:p>
          <w:p w14:paraId="7430E92F" w14:textId="2808528A" w:rsidR="00F37BF5" w:rsidRDefault="00F37BF5" w:rsidP="009B6C0D">
            <w:pPr>
              <w:spacing w:after="0"/>
              <w:rPr>
                <w:rFonts w:asciiTheme="minorHAnsi" w:hAnsiTheme="minorHAnsi" w:cstheme="minorHAnsi"/>
              </w:rPr>
            </w:pPr>
          </w:p>
          <w:p w14:paraId="48E6EDCF" w14:textId="065A10B9" w:rsidR="007556DE" w:rsidRDefault="0096404A" w:rsidP="002279BE">
            <w:pPr>
              <w:pStyle w:val="NoSpacing"/>
              <w:rPr>
                <w:rFonts w:asciiTheme="minorHAnsi" w:hAnsiTheme="minorHAnsi" w:cstheme="minorHAnsi"/>
                <w:lang w:val="en-CA"/>
              </w:rPr>
            </w:pPr>
            <w:bookmarkStart w:id="8" w:name="_Hlk34211648"/>
            <w:r>
              <w:rPr>
                <w:rFonts w:asciiTheme="minorHAnsi" w:hAnsiTheme="minorHAnsi" w:cstheme="minorHAnsi"/>
              </w:rPr>
              <w:t>In 2018, The Philippine Human Rights Baseline Assessment to reduce barriers to accessing HIV and TB Services was conducted. Specific for TB, there is no organization or program dedicat</w:t>
            </w:r>
            <w:r w:rsidR="008A7134">
              <w:rPr>
                <w:rFonts w:asciiTheme="minorHAnsi" w:hAnsiTheme="minorHAnsi" w:cstheme="minorHAnsi"/>
              </w:rPr>
              <w:t>ed</w:t>
            </w:r>
            <w:r>
              <w:rPr>
                <w:rFonts w:asciiTheme="minorHAnsi" w:hAnsiTheme="minorHAnsi" w:cstheme="minorHAnsi"/>
              </w:rPr>
              <w:t xml:space="preserve"> to addressing rights-related issues faced by people with and/or affected by TB in the Philippines. </w:t>
            </w:r>
            <w:r w:rsidRPr="002A59EF">
              <w:t xml:space="preserve">The </w:t>
            </w:r>
            <w:r>
              <w:t xml:space="preserve">NTP and implementation partners </w:t>
            </w:r>
            <w:r w:rsidRPr="002A59EF">
              <w:t xml:space="preserve">have traditionally followed a medical, formalized approach with community involvement limited to </w:t>
            </w:r>
            <w:r>
              <w:t>supporting awareness raising, case finding and case holding</w:t>
            </w:r>
            <w:r w:rsidRPr="002A59EF">
              <w:t>. Community-based</w:t>
            </w:r>
            <w:r w:rsidR="0034679C">
              <w:t xml:space="preserve"> or home-based</w:t>
            </w:r>
            <w:r w:rsidRPr="002A59EF">
              <w:t xml:space="preserve"> </w:t>
            </w:r>
            <w:r w:rsidR="0034679C">
              <w:t xml:space="preserve">TB care delivery </w:t>
            </w:r>
            <w:r w:rsidRPr="002A59EF">
              <w:t>has not been formally adopted in the country</w:t>
            </w:r>
            <w:r w:rsidR="00D95C97">
              <w:t>, especially for DRTB</w:t>
            </w:r>
            <w:r w:rsidRPr="002A59EF">
              <w:t xml:space="preserve">.  </w:t>
            </w:r>
            <w:r w:rsidR="00386FFD">
              <w:t>Key recommended priorities for immediate action included</w:t>
            </w:r>
            <w:r w:rsidR="008345B1">
              <w:t xml:space="preserve"> s</w:t>
            </w:r>
            <w:r w:rsidR="00386FFD" w:rsidRPr="002A59EF">
              <w:rPr>
                <w:rFonts w:asciiTheme="majorHAnsi" w:hAnsiTheme="majorHAnsi"/>
              </w:rPr>
              <w:t>trengthening TB patient and community groups</w:t>
            </w:r>
            <w:r w:rsidR="008345B1">
              <w:rPr>
                <w:rFonts w:asciiTheme="majorHAnsi" w:hAnsiTheme="majorHAnsi"/>
              </w:rPr>
              <w:t xml:space="preserve"> to support NTP program</w:t>
            </w:r>
            <w:r w:rsidR="00D95C97">
              <w:rPr>
                <w:rFonts w:asciiTheme="majorHAnsi" w:hAnsiTheme="majorHAnsi"/>
              </w:rPr>
              <w:t xml:space="preserve"> not just </w:t>
            </w:r>
            <w:proofErr w:type="gramStart"/>
            <w:r w:rsidR="00D95C97">
              <w:rPr>
                <w:rFonts w:asciiTheme="majorHAnsi" w:hAnsiTheme="majorHAnsi"/>
              </w:rPr>
              <w:t>in service</w:t>
            </w:r>
            <w:proofErr w:type="gramEnd"/>
            <w:r w:rsidR="00D95C97">
              <w:rPr>
                <w:rFonts w:asciiTheme="majorHAnsi" w:hAnsiTheme="majorHAnsi"/>
              </w:rPr>
              <w:t xml:space="preserve"> delivery</w:t>
            </w:r>
            <w:r w:rsidR="008345B1">
              <w:rPr>
                <w:rFonts w:asciiTheme="majorHAnsi" w:hAnsiTheme="majorHAnsi"/>
              </w:rPr>
              <w:t xml:space="preserve"> implementation</w:t>
            </w:r>
            <w:r w:rsidR="002279BE">
              <w:rPr>
                <w:rFonts w:asciiTheme="majorHAnsi" w:hAnsiTheme="majorHAnsi"/>
              </w:rPr>
              <w:t xml:space="preserve"> </w:t>
            </w:r>
            <w:r w:rsidR="00D95C97">
              <w:rPr>
                <w:rFonts w:asciiTheme="majorHAnsi" w:hAnsiTheme="majorHAnsi"/>
              </w:rPr>
              <w:t xml:space="preserve">but in governance and advocacy, </w:t>
            </w:r>
            <w:r w:rsidR="002279BE">
              <w:rPr>
                <w:rFonts w:asciiTheme="majorHAnsi" w:hAnsiTheme="majorHAnsi"/>
              </w:rPr>
              <w:t xml:space="preserve">and enhance patient enabler packages to </w:t>
            </w:r>
            <w:r w:rsidR="008345B1">
              <w:rPr>
                <w:rFonts w:asciiTheme="majorHAnsi" w:hAnsiTheme="majorHAnsi"/>
              </w:rPr>
              <w:t>mitigate incidence of catastrophic cost</w:t>
            </w:r>
            <w:r w:rsidR="002279BE">
              <w:rPr>
                <w:rFonts w:asciiTheme="majorHAnsi" w:hAnsiTheme="majorHAnsi"/>
              </w:rPr>
              <w:t xml:space="preserve">. Other actions being recommended for consideration included </w:t>
            </w:r>
            <w:r w:rsidR="002279BE">
              <w:rPr>
                <w:rFonts w:cstheme="majorHAnsi"/>
              </w:rPr>
              <w:t>i</w:t>
            </w:r>
            <w:r w:rsidR="00DC0E46">
              <w:rPr>
                <w:rFonts w:cstheme="majorHAnsi"/>
              </w:rPr>
              <w:t>ncreas</w:t>
            </w:r>
            <w:r w:rsidR="002279BE">
              <w:rPr>
                <w:rFonts w:cstheme="majorHAnsi"/>
              </w:rPr>
              <w:t>ing</w:t>
            </w:r>
            <w:r w:rsidR="00DC0E46">
              <w:rPr>
                <w:rFonts w:cstheme="majorHAnsi"/>
              </w:rPr>
              <w:t xml:space="preserve"> patient access to legal services</w:t>
            </w:r>
            <w:r w:rsidR="002279BE">
              <w:rPr>
                <w:rFonts w:cstheme="majorHAnsi"/>
              </w:rPr>
              <w:t xml:space="preserve">, </w:t>
            </w:r>
            <w:r w:rsidR="00DC0E46" w:rsidRPr="00DC0E46">
              <w:rPr>
                <w:rFonts w:cstheme="majorHAnsi"/>
              </w:rPr>
              <w:t>establish</w:t>
            </w:r>
            <w:r w:rsidR="002279BE">
              <w:rPr>
                <w:rFonts w:cstheme="majorHAnsi"/>
              </w:rPr>
              <w:t xml:space="preserve">ing </w:t>
            </w:r>
            <w:r w:rsidR="00DC0E46" w:rsidRPr="00DC0E46">
              <w:rPr>
                <w:rFonts w:cstheme="majorHAnsi"/>
              </w:rPr>
              <w:t>community monitoring/feedback mechanism</w:t>
            </w:r>
            <w:r w:rsidR="002279BE">
              <w:rPr>
                <w:rFonts w:cstheme="majorHAnsi"/>
              </w:rPr>
              <w:t>s, e</w:t>
            </w:r>
            <w:r w:rsidR="00DC0E46">
              <w:rPr>
                <w:rFonts w:cstheme="majorHAnsi"/>
              </w:rPr>
              <w:t>mpower</w:t>
            </w:r>
            <w:r w:rsidR="002279BE">
              <w:rPr>
                <w:rFonts w:cstheme="majorHAnsi"/>
              </w:rPr>
              <w:t>ing</w:t>
            </w:r>
            <w:r w:rsidR="00DC0E46">
              <w:rPr>
                <w:rFonts w:cstheme="majorHAnsi"/>
              </w:rPr>
              <w:t xml:space="preserve"> TB patients on their rights</w:t>
            </w:r>
            <w:r w:rsidR="002279BE">
              <w:rPr>
                <w:rFonts w:cstheme="majorHAnsi"/>
              </w:rPr>
              <w:t>, c</w:t>
            </w:r>
            <w:r w:rsidR="00DC0E46">
              <w:rPr>
                <w:rFonts w:cstheme="majorHAnsi"/>
              </w:rPr>
              <w:t xml:space="preserve">apacitating </w:t>
            </w:r>
            <w:r w:rsidR="007556DE">
              <w:rPr>
                <w:rFonts w:cstheme="majorHAnsi"/>
              </w:rPr>
              <w:lastRenderedPageBreak/>
              <w:t>Health Care Workers</w:t>
            </w:r>
            <w:r w:rsidR="00DC0E46">
              <w:rPr>
                <w:rFonts w:cstheme="majorHAnsi"/>
              </w:rPr>
              <w:t xml:space="preserve"> on human rights and ethics related concerns</w:t>
            </w:r>
            <w:r w:rsidR="002279BE">
              <w:rPr>
                <w:rFonts w:cstheme="majorHAnsi"/>
              </w:rPr>
              <w:t>, m</w:t>
            </w:r>
            <w:r w:rsidR="00DC0E46">
              <w:rPr>
                <w:rFonts w:cstheme="majorHAnsi"/>
              </w:rPr>
              <w:t xml:space="preserve">obilizing and empowering patient &amp; community groups </w:t>
            </w:r>
            <w:r w:rsidR="002279BE">
              <w:rPr>
                <w:rFonts w:cstheme="majorHAnsi"/>
              </w:rPr>
              <w:t>as advocates, and s</w:t>
            </w:r>
            <w:r w:rsidR="00DC0E46">
              <w:rPr>
                <w:rFonts w:cstheme="majorHAnsi"/>
              </w:rPr>
              <w:t>trengthening programs in prisons</w:t>
            </w:r>
            <w:r w:rsidR="002279BE">
              <w:rPr>
                <w:color w:val="404040" w:themeColor="text1"/>
              </w:rPr>
              <w:t xml:space="preserve"> to include </w:t>
            </w:r>
            <w:r w:rsidR="002279BE">
              <w:rPr>
                <w:rFonts w:cstheme="majorHAnsi"/>
              </w:rPr>
              <w:t>s</w:t>
            </w:r>
            <w:r w:rsidR="002279BE" w:rsidRPr="0094052E">
              <w:rPr>
                <w:rFonts w:cstheme="majorHAnsi"/>
              </w:rPr>
              <w:t>ensitization of law makers, judicial officials and law enforcement agents</w:t>
            </w:r>
            <w:r w:rsidR="002279BE">
              <w:rPr>
                <w:rFonts w:cstheme="majorHAnsi"/>
              </w:rPr>
              <w:t xml:space="preserve">. Furthermore, </w:t>
            </w:r>
            <w:bookmarkEnd w:id="8"/>
            <w:r w:rsidR="00FF3E54" w:rsidRPr="00A41D96">
              <w:rPr>
                <w:rFonts w:asciiTheme="minorHAnsi" w:hAnsiTheme="minorHAnsi" w:cstheme="minorHAnsi"/>
              </w:rPr>
              <w:t xml:space="preserve">the TB </w:t>
            </w:r>
            <w:r w:rsidR="007556DE" w:rsidRPr="00A41D96">
              <w:rPr>
                <w:rFonts w:asciiTheme="minorHAnsi" w:hAnsiTheme="minorHAnsi" w:cstheme="minorHAnsi"/>
              </w:rPr>
              <w:t xml:space="preserve">Gender </w:t>
            </w:r>
            <w:r w:rsidR="00FF3E54" w:rsidRPr="00A41D96">
              <w:rPr>
                <w:rFonts w:asciiTheme="minorHAnsi" w:hAnsiTheme="minorHAnsi" w:cstheme="minorHAnsi"/>
              </w:rPr>
              <w:t>Analysis conducted in 2019</w:t>
            </w:r>
            <w:r w:rsidR="00E670D8">
              <w:rPr>
                <w:rFonts w:asciiTheme="minorHAnsi" w:hAnsiTheme="minorHAnsi" w:cstheme="minorHAnsi"/>
              </w:rPr>
              <w:t xml:space="preserve"> highlighted that </w:t>
            </w:r>
            <w:r w:rsidR="00FF3E54" w:rsidRPr="00A41D96">
              <w:rPr>
                <w:rFonts w:asciiTheme="minorHAnsi" w:hAnsiTheme="minorHAnsi" w:cstheme="minorHAnsi"/>
              </w:rPr>
              <w:t xml:space="preserve">there is a strong focus on the science of TB rather than social dynamics, thus gender is </w:t>
            </w:r>
            <w:r w:rsidR="003E1DB0" w:rsidRPr="00A41D96">
              <w:rPr>
                <w:rFonts w:asciiTheme="minorHAnsi" w:hAnsiTheme="minorHAnsi" w:cstheme="minorHAnsi"/>
              </w:rPr>
              <w:t xml:space="preserve">generally </w:t>
            </w:r>
            <w:r w:rsidR="00FF3E54" w:rsidRPr="00A41D96">
              <w:rPr>
                <w:rFonts w:asciiTheme="minorHAnsi" w:hAnsiTheme="minorHAnsi" w:cstheme="minorHAnsi"/>
              </w:rPr>
              <w:t>overlooked</w:t>
            </w:r>
            <w:r w:rsidR="0094052E" w:rsidRPr="00A41D96">
              <w:rPr>
                <w:rFonts w:asciiTheme="minorHAnsi" w:hAnsiTheme="minorHAnsi" w:cstheme="minorHAnsi"/>
              </w:rPr>
              <w:t xml:space="preserve">. </w:t>
            </w:r>
            <w:r w:rsidR="008A7134">
              <w:rPr>
                <w:rFonts w:asciiTheme="minorHAnsi" w:hAnsiTheme="minorHAnsi" w:cstheme="minorHAnsi"/>
              </w:rPr>
              <w:t xml:space="preserve">This is contradictory to the TB Law where social determinants are prioritized. </w:t>
            </w:r>
            <w:r w:rsidR="00E670D8">
              <w:rPr>
                <w:rFonts w:asciiTheme="minorHAnsi" w:hAnsiTheme="minorHAnsi" w:cstheme="minorHAnsi"/>
              </w:rPr>
              <w:t xml:space="preserve">The analysis recommendation pointed out the need </w:t>
            </w:r>
            <w:r w:rsidR="00A41D96" w:rsidRPr="00A41D96">
              <w:rPr>
                <w:rFonts w:asciiTheme="minorHAnsi" w:hAnsiTheme="minorHAnsi" w:cstheme="minorHAnsi"/>
              </w:rPr>
              <w:t xml:space="preserve">to </w:t>
            </w:r>
            <w:r w:rsidR="008A7134">
              <w:rPr>
                <w:rFonts w:asciiTheme="minorHAnsi" w:hAnsiTheme="minorHAnsi" w:cstheme="minorHAnsi"/>
              </w:rPr>
              <w:t>enhance T</w:t>
            </w:r>
            <w:r w:rsidR="00A41D96" w:rsidRPr="00A41D96">
              <w:rPr>
                <w:rFonts w:asciiTheme="minorHAnsi" w:hAnsiTheme="minorHAnsi" w:cstheme="minorHAnsi"/>
                <w:lang w:val="en-CA"/>
              </w:rPr>
              <w:t xml:space="preserve">B-related policies and practice </w:t>
            </w:r>
            <w:r w:rsidR="008A7134">
              <w:rPr>
                <w:rFonts w:asciiTheme="minorHAnsi" w:hAnsiTheme="minorHAnsi" w:cstheme="minorHAnsi"/>
                <w:lang w:val="en-CA"/>
              </w:rPr>
              <w:t xml:space="preserve">to </w:t>
            </w:r>
            <w:r w:rsidR="00A41D96" w:rsidRPr="00A41D96">
              <w:rPr>
                <w:rFonts w:asciiTheme="minorHAnsi" w:hAnsiTheme="minorHAnsi" w:cstheme="minorHAnsi"/>
                <w:lang w:val="en-CA"/>
              </w:rPr>
              <w:t>align with the Gender and Development Agenda</w:t>
            </w:r>
            <w:r w:rsidR="008A7134">
              <w:rPr>
                <w:rFonts w:asciiTheme="minorHAnsi" w:hAnsiTheme="minorHAnsi" w:cstheme="minorHAnsi"/>
                <w:lang w:val="en-CA"/>
              </w:rPr>
              <w:t xml:space="preserve"> and address social determinants for TB</w:t>
            </w:r>
            <w:r w:rsidR="00A41D96" w:rsidRPr="00A41D96">
              <w:rPr>
                <w:rFonts w:asciiTheme="minorHAnsi" w:hAnsiTheme="minorHAnsi" w:cstheme="minorHAnsi"/>
                <w:lang w:val="en-CA"/>
              </w:rPr>
              <w:t>.</w:t>
            </w:r>
            <w:r w:rsidR="00E670D8">
              <w:rPr>
                <w:rFonts w:asciiTheme="minorHAnsi" w:hAnsiTheme="minorHAnsi" w:cstheme="minorHAnsi"/>
                <w:lang w:val="en-CA"/>
              </w:rPr>
              <w:t xml:space="preserve"> In addition, </w:t>
            </w:r>
            <w:r w:rsidR="007C08CC">
              <w:rPr>
                <w:rFonts w:asciiTheme="minorHAnsi" w:hAnsiTheme="minorHAnsi" w:cstheme="minorHAnsi"/>
                <w:lang w:val="en-CA"/>
              </w:rPr>
              <w:t xml:space="preserve">there is a strong recommendation to </w:t>
            </w:r>
            <w:r w:rsidR="00A41D96" w:rsidRPr="00A41D96">
              <w:rPr>
                <w:rFonts w:asciiTheme="minorHAnsi" w:hAnsiTheme="minorHAnsi" w:cstheme="minorHAnsi"/>
                <w:lang w:val="en-CA"/>
              </w:rPr>
              <w:t xml:space="preserve">engage the Department of Labor and Employment to support development of gender sensitive workplace TB policies for both the formal and informal sector taking gender roles and cultural norms into consideration. </w:t>
            </w:r>
          </w:p>
          <w:p w14:paraId="1793B180" w14:textId="77777777" w:rsidR="007C08CC" w:rsidRPr="00A41D96" w:rsidRDefault="007C08CC" w:rsidP="009B6C0D">
            <w:pPr>
              <w:spacing w:after="0"/>
              <w:rPr>
                <w:rFonts w:asciiTheme="minorHAnsi" w:hAnsiTheme="minorHAnsi" w:cstheme="minorHAnsi"/>
              </w:rPr>
            </w:pPr>
          </w:p>
          <w:p w14:paraId="49FC1EEA" w14:textId="6CA37BDA" w:rsidR="00B64B1F" w:rsidRDefault="00B64B1F" w:rsidP="00B64B1F">
            <w:pPr>
              <w:spacing w:after="0"/>
            </w:pPr>
            <w:r w:rsidRPr="00721D89">
              <w:t>In 2017 the NTP and partners developed a “National Action Plan for Public-Private Mix on Private Sector Participation in TB Care and Prevention, 2018-2022”.</w:t>
            </w:r>
            <w:r>
              <w:t xml:space="preserve"> Given the important role of private healthcare in the Philippines health system, PPM has never received the budgetary and management priority that it deserves. PPM initiatives have been small, time-bound and externally funded. Currently, only 677 </w:t>
            </w:r>
            <w:r w:rsidR="008A7134">
              <w:t xml:space="preserve">private </w:t>
            </w:r>
            <w:r>
              <w:t xml:space="preserve">providers are registered in ITIS but in the first 6 months of 2019 only 81 provided program-supported treatment and 285 referred patients, while 311 (46%) were inactive.  There are only 146 private program-supported DOTS facilities, and only 108 are accredited with PhilHealth. </w:t>
            </w:r>
          </w:p>
          <w:p w14:paraId="683ACEBF" w14:textId="77777777" w:rsidR="00B64B1F" w:rsidRDefault="00B64B1F" w:rsidP="00B64B1F">
            <w:pPr>
              <w:spacing w:after="0"/>
            </w:pPr>
            <w:r>
              <w:t xml:space="preserve"> </w:t>
            </w:r>
          </w:p>
          <w:p w14:paraId="331A6A20" w14:textId="77777777" w:rsidR="00B64B1F" w:rsidRDefault="00B64B1F" w:rsidP="00B64B1F">
            <w:pPr>
              <w:spacing w:after="0"/>
            </w:pPr>
            <w:r>
              <w:t>Private providers lack access to (and potentially awareness of and confidence in) affordable molecular testing for TB; they rely too much on chest x-rays and clinical diagnosis. As a result, many TB cases may be missed, and many of those treated for TB in the private sector may not have TB.  A recently</w:t>
            </w:r>
          </w:p>
          <w:p w14:paraId="17662751" w14:textId="0D9E0345" w:rsidR="00B64B1F" w:rsidRDefault="00B64B1F" w:rsidP="00B64B1F">
            <w:pPr>
              <w:spacing w:after="0"/>
            </w:pPr>
            <w:r>
              <w:t xml:space="preserve">established consortium of 15 private laboratories will soon avail Xpert cartridges and equipment at reduced prices.  However, the expected consumer price will still be about </w:t>
            </w:r>
            <w:r w:rsidR="005C7854">
              <w:t xml:space="preserve">USD </w:t>
            </w:r>
            <w:r>
              <w:t xml:space="preserve">42, which will likely be unaffordable for most patients, especially given that private doctors are evidently willing to prescribe TB drugs </w:t>
            </w:r>
            <w:r w:rsidR="007A6BAA">
              <w:t>based on</w:t>
            </w:r>
            <w:r>
              <w:t xml:space="preserve"> clinical signs and CxR</w:t>
            </w:r>
            <w:r w:rsidR="007A6BAA">
              <w:t xml:space="preserve"> findings</w:t>
            </w:r>
            <w:r>
              <w:t>.</w:t>
            </w:r>
          </w:p>
          <w:p w14:paraId="1F0677DF" w14:textId="563164E0" w:rsidR="00B64B1F" w:rsidRDefault="00B64B1F" w:rsidP="00B64B1F">
            <w:pPr>
              <w:spacing w:after="0"/>
            </w:pPr>
          </w:p>
          <w:p w14:paraId="3F64A018" w14:textId="38E6A5CE" w:rsidR="007556DE" w:rsidRDefault="007C08CC" w:rsidP="009B6C0D">
            <w:pPr>
              <w:spacing w:after="0"/>
              <w:rPr>
                <w:rFonts w:asciiTheme="minorHAnsi" w:hAnsiTheme="minorHAnsi" w:cstheme="minorHAnsi"/>
                <w:b/>
                <w:bCs/>
                <w:u w:val="single"/>
              </w:rPr>
            </w:pPr>
            <w:r w:rsidRPr="007C08CC">
              <w:rPr>
                <w:rFonts w:asciiTheme="minorHAnsi" w:hAnsiTheme="minorHAnsi" w:cstheme="minorHAnsi"/>
                <w:b/>
                <w:bCs/>
                <w:u w:val="single"/>
              </w:rPr>
              <w:t>Advancing the TB Response</w:t>
            </w:r>
          </w:p>
          <w:p w14:paraId="09484FB3" w14:textId="79D9E6E6" w:rsidR="00D95C97" w:rsidRDefault="007067E7" w:rsidP="009B6C0D">
            <w:pPr>
              <w:spacing w:after="0"/>
            </w:pPr>
            <w:r>
              <w:t>P</w:t>
            </w:r>
            <w:r w:rsidR="003752FE">
              <w:t>h</w:t>
            </w:r>
            <w:r>
              <w:t xml:space="preserve">ilSTEP 1 (2017-2023) has been recently updated guided by </w:t>
            </w:r>
            <w:r w:rsidR="00EA186C">
              <w:t xml:space="preserve">recommendations from various </w:t>
            </w:r>
            <w:r>
              <w:t xml:space="preserve">studies and </w:t>
            </w:r>
            <w:r w:rsidR="00EA186C">
              <w:t>assessments</w:t>
            </w:r>
            <w:r>
              <w:t xml:space="preserve"> conducted </w:t>
            </w:r>
            <w:r w:rsidR="0048691F">
              <w:t xml:space="preserve">particularly the NTP Joint Program Review in </w:t>
            </w:r>
            <w:r>
              <w:t xml:space="preserve">October </w:t>
            </w:r>
            <w:r w:rsidR="0048691F">
              <w:t>2019</w:t>
            </w:r>
            <w:r w:rsidR="00EA186C">
              <w:t xml:space="preserve">. Between 2020 to 2023, </w:t>
            </w:r>
            <w:r>
              <w:t xml:space="preserve">the Updated PhilSTEP 1 targets </w:t>
            </w:r>
            <w:r w:rsidR="00EA186C">
              <w:t>about 50</w:t>
            </w:r>
            <w:r w:rsidR="004F1A3A">
              <w:t>M</w:t>
            </w:r>
            <w:r w:rsidR="00EA186C">
              <w:t xml:space="preserve"> </w:t>
            </w:r>
            <w:r w:rsidR="004F1A3A">
              <w:t>Filipinos</w:t>
            </w:r>
            <w:r w:rsidR="00EA186C">
              <w:t xml:space="preserve"> to be screened for TB using chest X-ra</w:t>
            </w:r>
            <w:r w:rsidR="004F1A3A">
              <w:t xml:space="preserve">y and 12.8M presumptive TB cases will be tested with a bacteriologic test. About 1.9M TB cases will be enrolled for treatment (including </w:t>
            </w:r>
            <w:r w:rsidR="00D95C97">
              <w:t>39</w:t>
            </w:r>
            <w:r w:rsidR="004F1A3A">
              <w:t xml:space="preserve">000 DRTB) with 90% and 85% TSR for DSTB and DRTB cases respectively. </w:t>
            </w:r>
            <w:r w:rsidR="008A7134">
              <w:t xml:space="preserve">Shorter term </w:t>
            </w:r>
            <w:r w:rsidR="004F1A3A">
              <w:t xml:space="preserve">TB preventive therapy will also be introduced to reach at least </w:t>
            </w:r>
            <w:r w:rsidR="004F1A3A" w:rsidRPr="00311EA8">
              <w:t>685,000</w:t>
            </w:r>
            <w:r w:rsidR="004F1A3A">
              <w:t xml:space="preserve"> patients</w:t>
            </w:r>
            <w:r w:rsidR="003752FE">
              <w:t xml:space="preserve"> from active case finding efforts, including PLHIV, </w:t>
            </w:r>
            <w:r w:rsidR="00D95C97">
              <w:t xml:space="preserve">close </w:t>
            </w:r>
            <w:r w:rsidR="003752FE">
              <w:t xml:space="preserve">contacts, and </w:t>
            </w:r>
            <w:r w:rsidR="00D95C97">
              <w:t xml:space="preserve">specific risk groups. </w:t>
            </w:r>
          </w:p>
          <w:p w14:paraId="75CEC0A2" w14:textId="77777777" w:rsidR="00D95C97" w:rsidRDefault="00D95C97" w:rsidP="009B6C0D">
            <w:pPr>
              <w:spacing w:after="0"/>
            </w:pPr>
          </w:p>
          <w:p w14:paraId="22C3F92F" w14:textId="36264917" w:rsidR="00AA58BE" w:rsidRDefault="00D95C97" w:rsidP="009B6C0D">
            <w:pPr>
              <w:spacing w:after="0"/>
            </w:pPr>
            <w:r>
              <w:t>T</w:t>
            </w:r>
            <w:r w:rsidR="00AA58BE">
              <w:t>o achieve these targets, the Updated PhilSTEP 1 identifies 1</w:t>
            </w:r>
            <w:r w:rsidR="00DD0245">
              <w:t>4</w:t>
            </w:r>
            <w:r w:rsidR="00AA58BE">
              <w:t xml:space="preserve"> key strategies: </w:t>
            </w:r>
          </w:p>
          <w:p w14:paraId="7018DE4D" w14:textId="77777777" w:rsidR="00AA58BE" w:rsidRDefault="00AA58BE" w:rsidP="009B6C0D">
            <w:pPr>
              <w:spacing w:after="0"/>
            </w:pPr>
          </w:p>
          <w:tbl>
            <w:tblPr>
              <w:tblStyle w:val="TableGrid"/>
              <w:tblW w:w="0" w:type="auto"/>
              <w:tblInd w:w="166" w:type="dxa"/>
              <w:tblLook w:val="04A0" w:firstRow="1" w:lastRow="0" w:firstColumn="1" w:lastColumn="0" w:noHBand="0" w:noVBand="1"/>
            </w:tblPr>
            <w:tblGrid>
              <w:gridCol w:w="1984"/>
              <w:gridCol w:w="7230"/>
            </w:tblGrid>
            <w:tr w:rsidR="00AA58BE" w:rsidRPr="00B36CC3" w14:paraId="7478CB0B" w14:textId="77777777" w:rsidTr="00B36CC3">
              <w:tc>
                <w:tcPr>
                  <w:tcW w:w="1984" w:type="dxa"/>
                  <w:shd w:val="clear" w:color="auto" w:fill="002A55" w:themeFill="accent5" w:themeFillShade="80"/>
                </w:tcPr>
                <w:p w14:paraId="24F8B183" w14:textId="43A1B266" w:rsidR="00AA58BE" w:rsidRPr="00B36CC3" w:rsidRDefault="00AA58BE" w:rsidP="00AA58BE">
                  <w:pPr>
                    <w:spacing w:after="0" w:line="276" w:lineRule="auto"/>
                    <w:rPr>
                      <w:b/>
                      <w:bCs/>
                      <w:sz w:val="20"/>
                      <w:szCs w:val="20"/>
                    </w:rPr>
                  </w:pPr>
                  <w:r w:rsidRPr="00B36CC3">
                    <w:rPr>
                      <w:b/>
                      <w:bCs/>
                      <w:sz w:val="20"/>
                      <w:szCs w:val="20"/>
                    </w:rPr>
                    <w:t>TB Care Cascade</w:t>
                  </w:r>
                </w:p>
              </w:tc>
              <w:tc>
                <w:tcPr>
                  <w:tcW w:w="7230" w:type="dxa"/>
                  <w:shd w:val="clear" w:color="auto" w:fill="002A55" w:themeFill="accent5" w:themeFillShade="80"/>
                </w:tcPr>
                <w:p w14:paraId="73BEA97B" w14:textId="77E3943B" w:rsidR="00AA58BE" w:rsidRPr="00B36CC3" w:rsidRDefault="00AA58BE" w:rsidP="00AA58BE">
                  <w:pPr>
                    <w:spacing w:after="0" w:line="276" w:lineRule="auto"/>
                    <w:rPr>
                      <w:b/>
                      <w:bCs/>
                      <w:sz w:val="20"/>
                      <w:szCs w:val="20"/>
                    </w:rPr>
                  </w:pPr>
                  <w:r w:rsidRPr="00B36CC3">
                    <w:rPr>
                      <w:b/>
                      <w:bCs/>
                      <w:sz w:val="20"/>
                      <w:szCs w:val="20"/>
                    </w:rPr>
                    <w:t>Key Strategies</w:t>
                  </w:r>
                </w:p>
              </w:tc>
            </w:tr>
            <w:tr w:rsidR="00AA58BE" w:rsidRPr="00B36CC3" w14:paraId="334808DF" w14:textId="77777777" w:rsidTr="00B36CC3">
              <w:tc>
                <w:tcPr>
                  <w:tcW w:w="1984" w:type="dxa"/>
                  <w:shd w:val="clear" w:color="auto" w:fill="BBDCFF" w:themeFill="accent5" w:themeFillTint="33"/>
                </w:tcPr>
                <w:p w14:paraId="4F891A1E" w14:textId="77777777" w:rsidR="00AA58BE" w:rsidRPr="00B36CC3" w:rsidRDefault="00AA58BE" w:rsidP="00AA58BE">
                  <w:pPr>
                    <w:spacing w:after="0" w:line="276" w:lineRule="auto"/>
                    <w:jc w:val="center"/>
                    <w:rPr>
                      <w:sz w:val="20"/>
                      <w:szCs w:val="20"/>
                    </w:rPr>
                  </w:pPr>
                </w:p>
                <w:p w14:paraId="59124C79" w14:textId="0A7E5069" w:rsidR="00AA58BE" w:rsidRPr="00B36CC3" w:rsidRDefault="00AA58BE" w:rsidP="00AA58BE">
                  <w:pPr>
                    <w:spacing w:after="0" w:line="276" w:lineRule="auto"/>
                    <w:jc w:val="center"/>
                    <w:rPr>
                      <w:sz w:val="20"/>
                      <w:szCs w:val="20"/>
                    </w:rPr>
                  </w:pPr>
                  <w:r w:rsidRPr="00B36CC3">
                    <w:rPr>
                      <w:sz w:val="20"/>
                      <w:szCs w:val="20"/>
                    </w:rPr>
                    <w:t>Screening</w:t>
                  </w:r>
                </w:p>
              </w:tc>
              <w:tc>
                <w:tcPr>
                  <w:tcW w:w="7230" w:type="dxa"/>
                  <w:shd w:val="clear" w:color="auto" w:fill="BBDCFF" w:themeFill="accent5" w:themeFillTint="33"/>
                </w:tcPr>
                <w:p w14:paraId="6DB84A5E" w14:textId="395F6B1C" w:rsidR="00AA58BE" w:rsidRPr="00B36CC3" w:rsidRDefault="00AA58BE" w:rsidP="00E07C20">
                  <w:pPr>
                    <w:pStyle w:val="ListParagraph"/>
                    <w:numPr>
                      <w:ilvl w:val="0"/>
                      <w:numId w:val="35"/>
                    </w:numPr>
                    <w:tabs>
                      <w:tab w:val="left" w:pos="2273"/>
                    </w:tabs>
                    <w:spacing w:after="0" w:line="276" w:lineRule="auto"/>
                    <w:rPr>
                      <w:sz w:val="20"/>
                      <w:szCs w:val="20"/>
                    </w:rPr>
                  </w:pPr>
                  <w:r w:rsidRPr="00B36CC3">
                    <w:rPr>
                      <w:sz w:val="20"/>
                      <w:szCs w:val="20"/>
                    </w:rPr>
                    <w:t>Active Case Finding</w:t>
                  </w:r>
                  <w:r w:rsidR="00DD0245" w:rsidRPr="00B36CC3">
                    <w:rPr>
                      <w:sz w:val="20"/>
                      <w:szCs w:val="20"/>
                    </w:rPr>
                    <w:t xml:space="preserve"> </w:t>
                  </w:r>
                  <w:r w:rsidR="008A7134">
                    <w:rPr>
                      <w:rStyle w:val="FootnoteReference"/>
                      <w:sz w:val="20"/>
                      <w:szCs w:val="20"/>
                    </w:rPr>
                    <w:footnoteReference w:id="6"/>
                  </w:r>
                  <w:r w:rsidR="00DD0245" w:rsidRPr="00B36CC3">
                    <w:rPr>
                      <w:sz w:val="20"/>
                      <w:szCs w:val="20"/>
                    </w:rPr>
                    <w:t xml:space="preserve">via </w:t>
                  </w:r>
                  <w:r w:rsidR="007A6BAA" w:rsidRPr="00B36CC3">
                    <w:rPr>
                      <w:sz w:val="20"/>
                      <w:szCs w:val="20"/>
                    </w:rPr>
                    <w:t>community based</w:t>
                  </w:r>
                  <w:r w:rsidRPr="00B36CC3">
                    <w:rPr>
                      <w:sz w:val="20"/>
                      <w:szCs w:val="20"/>
                    </w:rPr>
                    <w:t xml:space="preserve"> mobile CxR and </w:t>
                  </w:r>
                  <w:r w:rsidR="00DD0245" w:rsidRPr="00B36CC3">
                    <w:rPr>
                      <w:sz w:val="20"/>
                      <w:szCs w:val="20"/>
                    </w:rPr>
                    <w:t>d</w:t>
                  </w:r>
                  <w:r w:rsidRPr="00B36CC3">
                    <w:rPr>
                      <w:sz w:val="20"/>
                      <w:szCs w:val="20"/>
                    </w:rPr>
                    <w:t>iagnostics</w:t>
                  </w:r>
                </w:p>
                <w:p w14:paraId="5209DAE7" w14:textId="7538AE18" w:rsidR="00AA58BE" w:rsidRPr="00B36CC3" w:rsidRDefault="00AA58BE" w:rsidP="00E07C20">
                  <w:pPr>
                    <w:pStyle w:val="ListParagraph"/>
                    <w:numPr>
                      <w:ilvl w:val="0"/>
                      <w:numId w:val="35"/>
                    </w:numPr>
                    <w:tabs>
                      <w:tab w:val="left" w:pos="2273"/>
                    </w:tabs>
                    <w:spacing w:after="0" w:line="276" w:lineRule="auto"/>
                    <w:rPr>
                      <w:sz w:val="20"/>
                      <w:szCs w:val="20"/>
                    </w:rPr>
                  </w:pPr>
                  <w:r w:rsidRPr="00B36CC3">
                    <w:rPr>
                      <w:sz w:val="20"/>
                      <w:szCs w:val="20"/>
                    </w:rPr>
                    <w:t>Intensified Case Finding</w:t>
                  </w:r>
                  <w:r w:rsidR="00DD0245" w:rsidRPr="00B36CC3">
                    <w:rPr>
                      <w:sz w:val="20"/>
                      <w:szCs w:val="20"/>
                    </w:rPr>
                    <w:t xml:space="preserve"> </w:t>
                  </w:r>
                  <w:r w:rsidR="008A7134">
                    <w:rPr>
                      <w:rStyle w:val="FootnoteReference"/>
                      <w:sz w:val="20"/>
                      <w:szCs w:val="20"/>
                    </w:rPr>
                    <w:footnoteReference w:id="7"/>
                  </w:r>
                  <w:r w:rsidR="00DD0245" w:rsidRPr="00B36CC3">
                    <w:rPr>
                      <w:sz w:val="20"/>
                      <w:szCs w:val="20"/>
                    </w:rPr>
                    <w:t>in Health Facilities</w:t>
                  </w:r>
                </w:p>
                <w:p w14:paraId="66F5B461" w14:textId="3ED97F13" w:rsidR="00AA58BE" w:rsidRPr="00B36CC3" w:rsidRDefault="00AA58BE" w:rsidP="00E07C20">
                  <w:pPr>
                    <w:pStyle w:val="ListParagraph"/>
                    <w:numPr>
                      <w:ilvl w:val="0"/>
                      <w:numId w:val="35"/>
                    </w:numPr>
                    <w:tabs>
                      <w:tab w:val="left" w:pos="2273"/>
                    </w:tabs>
                    <w:spacing w:after="0" w:line="276" w:lineRule="auto"/>
                    <w:rPr>
                      <w:sz w:val="20"/>
                      <w:szCs w:val="20"/>
                    </w:rPr>
                  </w:pPr>
                  <w:r w:rsidRPr="00B36CC3">
                    <w:rPr>
                      <w:sz w:val="20"/>
                      <w:szCs w:val="20"/>
                    </w:rPr>
                    <w:t>Enhanced Case Finding</w:t>
                  </w:r>
                  <w:r w:rsidR="00DD0245" w:rsidRPr="00B36CC3">
                    <w:rPr>
                      <w:sz w:val="20"/>
                      <w:szCs w:val="20"/>
                    </w:rPr>
                    <w:t xml:space="preserve"> </w:t>
                  </w:r>
                  <w:r w:rsidR="008A7134">
                    <w:rPr>
                      <w:rStyle w:val="FootnoteReference"/>
                      <w:sz w:val="20"/>
                      <w:szCs w:val="20"/>
                    </w:rPr>
                    <w:footnoteReference w:id="8"/>
                  </w:r>
                  <w:r w:rsidR="00DD0245" w:rsidRPr="00B36CC3">
                    <w:rPr>
                      <w:sz w:val="20"/>
                      <w:szCs w:val="20"/>
                    </w:rPr>
                    <w:t>through c</w:t>
                  </w:r>
                  <w:r w:rsidRPr="00B36CC3">
                    <w:rPr>
                      <w:sz w:val="20"/>
                      <w:szCs w:val="20"/>
                    </w:rPr>
                    <w:t>ommunity mobilization</w:t>
                  </w:r>
                </w:p>
                <w:p w14:paraId="2E0C91F4" w14:textId="41AB62AF" w:rsidR="00AA58BE" w:rsidRPr="00B36CC3" w:rsidRDefault="00AA58BE" w:rsidP="00E07C20">
                  <w:pPr>
                    <w:pStyle w:val="ListParagraph"/>
                    <w:numPr>
                      <w:ilvl w:val="0"/>
                      <w:numId w:val="35"/>
                    </w:numPr>
                    <w:tabs>
                      <w:tab w:val="left" w:pos="2273"/>
                    </w:tabs>
                    <w:spacing w:after="0" w:line="276" w:lineRule="auto"/>
                    <w:rPr>
                      <w:sz w:val="20"/>
                      <w:szCs w:val="20"/>
                    </w:rPr>
                  </w:pPr>
                  <w:r w:rsidRPr="00B36CC3">
                    <w:rPr>
                      <w:sz w:val="20"/>
                      <w:szCs w:val="20"/>
                    </w:rPr>
                    <w:t>Contact investigation</w:t>
                  </w:r>
                </w:p>
              </w:tc>
            </w:tr>
            <w:tr w:rsidR="00AA58BE" w:rsidRPr="00B36CC3" w14:paraId="442DB19D" w14:textId="77777777" w:rsidTr="00B36CC3">
              <w:tc>
                <w:tcPr>
                  <w:tcW w:w="1984" w:type="dxa"/>
                  <w:shd w:val="clear" w:color="auto" w:fill="BBDCFF" w:themeFill="accent5" w:themeFillTint="33"/>
                </w:tcPr>
                <w:p w14:paraId="162C5183" w14:textId="77777777" w:rsidR="00AA58BE" w:rsidRPr="00B36CC3" w:rsidRDefault="00AA58BE" w:rsidP="00AA58BE">
                  <w:pPr>
                    <w:spacing w:after="0" w:line="276" w:lineRule="auto"/>
                    <w:jc w:val="center"/>
                    <w:rPr>
                      <w:sz w:val="20"/>
                      <w:szCs w:val="20"/>
                    </w:rPr>
                  </w:pPr>
                </w:p>
                <w:p w14:paraId="6D891492" w14:textId="59BBD6CD" w:rsidR="00AA58BE" w:rsidRPr="00B36CC3" w:rsidRDefault="00AA58BE" w:rsidP="00AA58BE">
                  <w:pPr>
                    <w:spacing w:after="0" w:line="276" w:lineRule="auto"/>
                    <w:jc w:val="center"/>
                    <w:rPr>
                      <w:sz w:val="20"/>
                      <w:szCs w:val="20"/>
                    </w:rPr>
                  </w:pPr>
                  <w:r w:rsidRPr="00B36CC3">
                    <w:rPr>
                      <w:sz w:val="20"/>
                      <w:szCs w:val="20"/>
                    </w:rPr>
                    <w:t>Testing &amp; Diagnosis</w:t>
                  </w:r>
                </w:p>
              </w:tc>
              <w:tc>
                <w:tcPr>
                  <w:tcW w:w="7230" w:type="dxa"/>
                  <w:shd w:val="clear" w:color="auto" w:fill="BBDCFF" w:themeFill="accent5" w:themeFillTint="33"/>
                </w:tcPr>
                <w:p w14:paraId="0344451A" w14:textId="5983EB22" w:rsidR="00AA58BE" w:rsidRPr="00B36CC3" w:rsidRDefault="00AA58BE" w:rsidP="00E07C20">
                  <w:pPr>
                    <w:pStyle w:val="ListParagraph"/>
                    <w:numPr>
                      <w:ilvl w:val="0"/>
                      <w:numId w:val="35"/>
                    </w:numPr>
                    <w:tabs>
                      <w:tab w:val="left" w:pos="2273"/>
                    </w:tabs>
                    <w:spacing w:after="0" w:line="276" w:lineRule="auto"/>
                    <w:rPr>
                      <w:sz w:val="20"/>
                      <w:szCs w:val="20"/>
                    </w:rPr>
                  </w:pPr>
                  <w:bookmarkStart w:id="9" w:name="_Hlk29136525"/>
                  <w:r w:rsidRPr="00B36CC3">
                    <w:rPr>
                      <w:sz w:val="20"/>
                      <w:szCs w:val="20"/>
                    </w:rPr>
                    <w:t>Push compliance to mandatory case notification</w:t>
                  </w:r>
                </w:p>
                <w:p w14:paraId="6D1BB9F4" w14:textId="547DA4B8" w:rsidR="00AA58BE" w:rsidRPr="00B36CC3" w:rsidRDefault="005C7854" w:rsidP="00E07C20">
                  <w:pPr>
                    <w:pStyle w:val="ListParagraph"/>
                    <w:numPr>
                      <w:ilvl w:val="0"/>
                      <w:numId w:val="35"/>
                    </w:numPr>
                    <w:tabs>
                      <w:tab w:val="left" w:pos="2273"/>
                    </w:tabs>
                    <w:spacing w:after="0" w:line="276" w:lineRule="auto"/>
                    <w:rPr>
                      <w:sz w:val="20"/>
                      <w:szCs w:val="20"/>
                    </w:rPr>
                  </w:pPr>
                  <w:r>
                    <w:rPr>
                      <w:sz w:val="20"/>
                      <w:szCs w:val="20"/>
                    </w:rPr>
                    <w:t>TB MOLECULAR TEST</w:t>
                  </w:r>
                  <w:r w:rsidR="00AA58BE" w:rsidRPr="00B36CC3">
                    <w:rPr>
                      <w:sz w:val="20"/>
                      <w:szCs w:val="20"/>
                    </w:rPr>
                    <w:t xml:space="preserve"> expansion and utilization</w:t>
                  </w:r>
                </w:p>
                <w:p w14:paraId="5BB9B8BB" w14:textId="77777777" w:rsidR="00AA58BE" w:rsidRPr="00B36CC3" w:rsidRDefault="00AA58BE" w:rsidP="00E07C20">
                  <w:pPr>
                    <w:pStyle w:val="ListParagraph"/>
                    <w:numPr>
                      <w:ilvl w:val="0"/>
                      <w:numId w:val="35"/>
                    </w:numPr>
                    <w:tabs>
                      <w:tab w:val="left" w:pos="2273"/>
                    </w:tabs>
                    <w:spacing w:after="0" w:line="276" w:lineRule="auto"/>
                    <w:rPr>
                      <w:sz w:val="20"/>
                      <w:szCs w:val="20"/>
                    </w:rPr>
                  </w:pPr>
                  <w:r w:rsidRPr="00B36CC3">
                    <w:rPr>
                      <w:sz w:val="20"/>
                      <w:szCs w:val="20"/>
                    </w:rPr>
                    <w:t>LPA/DST Optimization</w:t>
                  </w:r>
                </w:p>
                <w:p w14:paraId="3EE722C5" w14:textId="6F8B4251" w:rsidR="00AA58BE" w:rsidRPr="00B36CC3" w:rsidRDefault="00AA58BE" w:rsidP="00E07C20">
                  <w:pPr>
                    <w:pStyle w:val="ListParagraph"/>
                    <w:numPr>
                      <w:ilvl w:val="0"/>
                      <w:numId w:val="35"/>
                    </w:numPr>
                    <w:tabs>
                      <w:tab w:val="left" w:pos="2273"/>
                    </w:tabs>
                    <w:spacing w:after="0" w:line="276" w:lineRule="auto"/>
                    <w:rPr>
                      <w:sz w:val="20"/>
                      <w:szCs w:val="20"/>
                    </w:rPr>
                  </w:pPr>
                  <w:r w:rsidRPr="00B36CC3">
                    <w:rPr>
                      <w:sz w:val="20"/>
                      <w:szCs w:val="20"/>
                    </w:rPr>
                    <w:t xml:space="preserve">Improve quality of diagnosis </w:t>
                  </w:r>
                  <w:bookmarkEnd w:id="9"/>
                </w:p>
              </w:tc>
            </w:tr>
            <w:tr w:rsidR="00AA58BE" w:rsidRPr="00B36CC3" w14:paraId="3DA2858B" w14:textId="77777777" w:rsidTr="00B36CC3">
              <w:tc>
                <w:tcPr>
                  <w:tcW w:w="1984" w:type="dxa"/>
                  <w:shd w:val="clear" w:color="auto" w:fill="BBDCFF" w:themeFill="accent5" w:themeFillTint="33"/>
                </w:tcPr>
                <w:p w14:paraId="560149F0" w14:textId="77777777" w:rsidR="00AA58BE" w:rsidRPr="00B36CC3" w:rsidRDefault="00AA58BE" w:rsidP="00AA58BE">
                  <w:pPr>
                    <w:spacing w:after="0" w:line="276" w:lineRule="auto"/>
                    <w:jc w:val="center"/>
                    <w:rPr>
                      <w:sz w:val="20"/>
                      <w:szCs w:val="20"/>
                    </w:rPr>
                  </w:pPr>
                </w:p>
                <w:p w14:paraId="2803A9E8" w14:textId="3D3FDCAA" w:rsidR="00AA58BE" w:rsidRPr="00B36CC3" w:rsidRDefault="00AA58BE" w:rsidP="00AA58BE">
                  <w:pPr>
                    <w:spacing w:after="0" w:line="276" w:lineRule="auto"/>
                    <w:jc w:val="center"/>
                    <w:rPr>
                      <w:sz w:val="20"/>
                      <w:szCs w:val="20"/>
                    </w:rPr>
                  </w:pPr>
                  <w:r w:rsidRPr="00B36CC3">
                    <w:rPr>
                      <w:sz w:val="20"/>
                      <w:szCs w:val="20"/>
                    </w:rPr>
                    <w:t>Treatment</w:t>
                  </w:r>
                </w:p>
              </w:tc>
              <w:tc>
                <w:tcPr>
                  <w:tcW w:w="7230" w:type="dxa"/>
                  <w:shd w:val="clear" w:color="auto" w:fill="BBDCFF" w:themeFill="accent5" w:themeFillTint="33"/>
                </w:tcPr>
                <w:p w14:paraId="149C998C" w14:textId="147B1658" w:rsidR="00AA58BE" w:rsidRPr="00B36CC3" w:rsidRDefault="00AA58BE" w:rsidP="00E07C20">
                  <w:pPr>
                    <w:pStyle w:val="ListParagraph"/>
                    <w:numPr>
                      <w:ilvl w:val="0"/>
                      <w:numId w:val="36"/>
                    </w:numPr>
                    <w:tabs>
                      <w:tab w:val="left" w:pos="2273"/>
                    </w:tabs>
                    <w:spacing w:after="0" w:line="276" w:lineRule="auto"/>
                    <w:rPr>
                      <w:sz w:val="20"/>
                      <w:szCs w:val="20"/>
                    </w:rPr>
                  </w:pPr>
                  <w:r w:rsidRPr="00B36CC3">
                    <w:rPr>
                      <w:sz w:val="20"/>
                      <w:szCs w:val="20"/>
                    </w:rPr>
                    <w:t xml:space="preserve">Establishment of province/citywide HCPN offering full </w:t>
                  </w:r>
                  <w:r w:rsidR="00DD0245" w:rsidRPr="00B36CC3">
                    <w:rPr>
                      <w:sz w:val="20"/>
                      <w:szCs w:val="20"/>
                    </w:rPr>
                    <w:t xml:space="preserve">TB </w:t>
                  </w:r>
                  <w:r w:rsidRPr="00B36CC3">
                    <w:rPr>
                      <w:sz w:val="20"/>
                      <w:szCs w:val="20"/>
                    </w:rPr>
                    <w:t>care continuum</w:t>
                  </w:r>
                </w:p>
                <w:p w14:paraId="56BB5983" w14:textId="54758A6E" w:rsidR="00AA58BE" w:rsidRPr="00B36CC3" w:rsidRDefault="00AA58BE" w:rsidP="00E07C20">
                  <w:pPr>
                    <w:pStyle w:val="ListParagraph"/>
                    <w:numPr>
                      <w:ilvl w:val="0"/>
                      <w:numId w:val="36"/>
                    </w:numPr>
                    <w:tabs>
                      <w:tab w:val="left" w:pos="2273"/>
                    </w:tabs>
                    <w:spacing w:after="0" w:line="276" w:lineRule="auto"/>
                    <w:rPr>
                      <w:sz w:val="20"/>
                      <w:szCs w:val="20"/>
                    </w:rPr>
                  </w:pPr>
                  <w:r w:rsidRPr="00B36CC3">
                    <w:rPr>
                      <w:sz w:val="20"/>
                      <w:szCs w:val="20"/>
                    </w:rPr>
                    <w:t>Adoption of p</w:t>
                  </w:r>
                  <w:r w:rsidR="00DD0245" w:rsidRPr="00B36CC3">
                    <w:rPr>
                      <w:sz w:val="20"/>
                      <w:szCs w:val="20"/>
                    </w:rPr>
                    <w:t>eople</w:t>
                  </w:r>
                  <w:r w:rsidRPr="00B36CC3">
                    <w:rPr>
                      <w:sz w:val="20"/>
                      <w:szCs w:val="20"/>
                    </w:rPr>
                    <w:t>-centered care</w:t>
                  </w:r>
                </w:p>
                <w:p w14:paraId="6C65E5A2" w14:textId="77777777" w:rsidR="00AA58BE" w:rsidRPr="00B36CC3" w:rsidRDefault="00AA58BE" w:rsidP="00E07C20">
                  <w:pPr>
                    <w:pStyle w:val="ListParagraph"/>
                    <w:numPr>
                      <w:ilvl w:val="0"/>
                      <w:numId w:val="36"/>
                    </w:numPr>
                    <w:tabs>
                      <w:tab w:val="left" w:pos="2273"/>
                    </w:tabs>
                    <w:spacing w:after="0" w:line="276" w:lineRule="auto"/>
                    <w:rPr>
                      <w:sz w:val="20"/>
                      <w:szCs w:val="20"/>
                    </w:rPr>
                  </w:pPr>
                  <w:r w:rsidRPr="00B36CC3">
                    <w:rPr>
                      <w:sz w:val="20"/>
                      <w:szCs w:val="20"/>
                    </w:rPr>
                    <w:t>Strengthen active Drug Safety Monitoring and Management</w:t>
                  </w:r>
                </w:p>
                <w:p w14:paraId="2F99E2E7" w14:textId="50C8F49B" w:rsidR="00AA58BE" w:rsidRPr="00B36CC3" w:rsidRDefault="00AA58BE" w:rsidP="00E07C20">
                  <w:pPr>
                    <w:pStyle w:val="ListParagraph"/>
                    <w:numPr>
                      <w:ilvl w:val="0"/>
                      <w:numId w:val="36"/>
                    </w:numPr>
                    <w:tabs>
                      <w:tab w:val="left" w:pos="2273"/>
                    </w:tabs>
                    <w:spacing w:after="0" w:line="276" w:lineRule="auto"/>
                    <w:rPr>
                      <w:sz w:val="20"/>
                      <w:szCs w:val="20"/>
                    </w:rPr>
                  </w:pPr>
                  <w:r w:rsidRPr="00B36CC3">
                    <w:rPr>
                      <w:sz w:val="20"/>
                      <w:szCs w:val="20"/>
                    </w:rPr>
                    <w:t>TB-HIV Collaboration</w:t>
                  </w:r>
                </w:p>
              </w:tc>
            </w:tr>
            <w:tr w:rsidR="00AA58BE" w:rsidRPr="00B36CC3" w14:paraId="2D889357" w14:textId="77777777" w:rsidTr="00B36CC3">
              <w:tc>
                <w:tcPr>
                  <w:tcW w:w="1984" w:type="dxa"/>
                  <w:shd w:val="clear" w:color="auto" w:fill="BBDCFF" w:themeFill="accent5" w:themeFillTint="33"/>
                </w:tcPr>
                <w:p w14:paraId="1EEA063B" w14:textId="16115119" w:rsidR="00AA58BE" w:rsidRPr="00B36CC3" w:rsidRDefault="00AA58BE" w:rsidP="00AA58BE">
                  <w:pPr>
                    <w:spacing w:after="0" w:line="276" w:lineRule="auto"/>
                    <w:jc w:val="center"/>
                    <w:rPr>
                      <w:sz w:val="20"/>
                      <w:szCs w:val="20"/>
                    </w:rPr>
                  </w:pPr>
                  <w:r w:rsidRPr="00B36CC3">
                    <w:rPr>
                      <w:sz w:val="20"/>
                      <w:szCs w:val="20"/>
                    </w:rPr>
                    <w:t>Prevention</w:t>
                  </w:r>
                </w:p>
              </w:tc>
              <w:tc>
                <w:tcPr>
                  <w:tcW w:w="7230" w:type="dxa"/>
                  <w:shd w:val="clear" w:color="auto" w:fill="BBDCFF" w:themeFill="accent5" w:themeFillTint="33"/>
                </w:tcPr>
                <w:p w14:paraId="66749D10" w14:textId="53B78DCD" w:rsidR="00DD0245" w:rsidRPr="00B36CC3" w:rsidRDefault="00AA58BE" w:rsidP="00E07C20">
                  <w:pPr>
                    <w:pStyle w:val="ListParagraph"/>
                    <w:numPr>
                      <w:ilvl w:val="0"/>
                      <w:numId w:val="37"/>
                    </w:numPr>
                    <w:tabs>
                      <w:tab w:val="left" w:pos="2273"/>
                    </w:tabs>
                    <w:spacing w:after="0" w:line="276" w:lineRule="auto"/>
                    <w:rPr>
                      <w:sz w:val="20"/>
                      <w:szCs w:val="20"/>
                    </w:rPr>
                  </w:pPr>
                  <w:r w:rsidRPr="00B36CC3">
                    <w:rPr>
                      <w:sz w:val="20"/>
                      <w:szCs w:val="20"/>
                    </w:rPr>
                    <w:t xml:space="preserve">Adoption of </w:t>
                  </w:r>
                  <w:r w:rsidR="00DD0245" w:rsidRPr="00B36CC3">
                    <w:rPr>
                      <w:sz w:val="20"/>
                      <w:szCs w:val="20"/>
                    </w:rPr>
                    <w:t xml:space="preserve">innovative </w:t>
                  </w:r>
                  <w:r w:rsidRPr="00B36CC3">
                    <w:rPr>
                      <w:sz w:val="20"/>
                      <w:szCs w:val="20"/>
                    </w:rPr>
                    <w:t>TB Preventive Treatment</w:t>
                  </w:r>
                </w:p>
                <w:p w14:paraId="12FDCC05" w14:textId="5FA56084" w:rsidR="00AA58BE" w:rsidRPr="00B36CC3" w:rsidRDefault="00AA58BE" w:rsidP="00E07C20">
                  <w:pPr>
                    <w:pStyle w:val="ListParagraph"/>
                    <w:numPr>
                      <w:ilvl w:val="0"/>
                      <w:numId w:val="37"/>
                    </w:numPr>
                    <w:tabs>
                      <w:tab w:val="left" w:pos="2273"/>
                    </w:tabs>
                    <w:spacing w:after="0" w:line="276" w:lineRule="auto"/>
                    <w:rPr>
                      <w:sz w:val="20"/>
                      <w:szCs w:val="20"/>
                    </w:rPr>
                  </w:pPr>
                  <w:r w:rsidRPr="00B36CC3">
                    <w:rPr>
                      <w:sz w:val="20"/>
                      <w:szCs w:val="20"/>
                    </w:rPr>
                    <w:lastRenderedPageBreak/>
                    <w:t>Infection prevention and control</w:t>
                  </w:r>
                </w:p>
              </w:tc>
            </w:tr>
          </w:tbl>
          <w:p w14:paraId="26AD5AEA" w14:textId="63859055" w:rsidR="00AA58BE" w:rsidRDefault="00AA58BE" w:rsidP="009B6C0D">
            <w:pPr>
              <w:spacing w:after="0"/>
            </w:pPr>
          </w:p>
          <w:p w14:paraId="2985F1EC" w14:textId="22E3F790" w:rsidR="000B5746" w:rsidRDefault="005768AD" w:rsidP="00CF13E3">
            <w:r w:rsidRPr="00421608">
              <w:t>Further to the Global Fund, the United States Agency for International Development (USAID) is providing significant support to the Philippine</w:t>
            </w:r>
            <w:r w:rsidR="00A07BC3" w:rsidRPr="00421608">
              <w:t>s</w:t>
            </w:r>
            <w:r w:rsidRPr="00421608">
              <w:t xml:space="preserve"> for Tuberculosis and specific health systems strengthening concerns</w:t>
            </w:r>
            <w:r w:rsidR="00A07BC3" w:rsidRPr="00421608">
              <w:t xml:space="preserve">. </w:t>
            </w:r>
            <w:r w:rsidR="00421608" w:rsidRPr="00421608">
              <w:t xml:space="preserve">The </w:t>
            </w:r>
            <w:r w:rsidR="00A07BC3" w:rsidRPr="00421608">
              <w:t xml:space="preserve">USAID/TB Innovations and Health Systems Strengthening (TB IHSS) and USAID/TB Platforms for Sustainable Detection, Care, and Treatment (TB Platforms) is supporting the NTP in improving the various elements in the delivery of the TB care continuum. The </w:t>
            </w:r>
            <w:r w:rsidRPr="00421608">
              <w:t>USAID/</w:t>
            </w:r>
            <w:r w:rsidR="00706EAC" w:rsidRPr="00421608">
              <w:t>Medicines, Technologies, and Pharmaceutical Services Program (MTaPS)</w:t>
            </w:r>
            <w:r w:rsidR="00A07BC3" w:rsidRPr="00421608">
              <w:t xml:space="preserve">provides technical assistance to DOH, specifically the Procurement </w:t>
            </w:r>
            <w:r w:rsidR="008E45FF">
              <w:t xml:space="preserve">Service </w:t>
            </w:r>
            <w:r w:rsidR="00A07BC3" w:rsidRPr="00421608">
              <w:t xml:space="preserve">and </w:t>
            </w:r>
            <w:r w:rsidR="008E45FF">
              <w:t xml:space="preserve">the </w:t>
            </w:r>
            <w:r w:rsidR="00A07BC3" w:rsidRPr="00421608">
              <w:t xml:space="preserve">Supply Chain Management </w:t>
            </w:r>
            <w:r w:rsidR="008E45FF">
              <w:t>Service</w:t>
            </w:r>
            <w:r w:rsidR="00A07BC3" w:rsidRPr="00421608">
              <w:t>, Food and Drug Administration, and Pharmaceutical D</w:t>
            </w:r>
            <w:r w:rsidR="008E45FF">
              <w:t>ivision</w:t>
            </w:r>
            <w:r w:rsidR="00A07BC3" w:rsidRPr="00421608">
              <w:t xml:space="preserve"> in </w:t>
            </w:r>
            <w:r w:rsidR="00706EAC" w:rsidRPr="00421608">
              <w:t xml:space="preserve"> strengthen</w:t>
            </w:r>
            <w:r w:rsidR="00A07BC3" w:rsidRPr="00421608">
              <w:t>ing</w:t>
            </w:r>
            <w:r w:rsidR="00706EAC" w:rsidRPr="00421608">
              <w:t xml:space="preserve"> the country’s pharmaceutical systems to ensure sustainable access to and appropriate use of safe, effective, quality-assured, and affordable essential medicines and medicine-related pharmaceutical services. </w:t>
            </w:r>
            <w:r w:rsidRPr="00421608">
              <w:t>USAID/</w:t>
            </w:r>
            <w:r w:rsidR="00706EAC" w:rsidRPr="00421608">
              <w:t>Health Equity and Financial Protection Platform (</w:t>
            </w:r>
            <w:r w:rsidRPr="00421608">
              <w:t>ProtectHealth</w:t>
            </w:r>
            <w:r w:rsidR="00706EAC" w:rsidRPr="00421608">
              <w:t>)</w:t>
            </w:r>
            <w:r w:rsidR="00421608" w:rsidRPr="00421608">
              <w:t xml:space="preserve"> is working with DOH and PhilHealth</w:t>
            </w:r>
            <w:r w:rsidR="00706EAC" w:rsidRPr="00421608">
              <w:t xml:space="preserve"> to strengthen the country’s health financing system to improve financial protection and equitable access to health services</w:t>
            </w:r>
            <w:r w:rsidR="008E45FF">
              <w:t xml:space="preserve"> to improve TB and Family Planning outcomes</w:t>
            </w:r>
            <w:r w:rsidR="00421608" w:rsidRPr="00421608">
              <w:t xml:space="preserve">. </w:t>
            </w:r>
            <w:r w:rsidRPr="00421608">
              <w:t>USAID/H</w:t>
            </w:r>
            <w:r w:rsidR="00706EAC" w:rsidRPr="00421608">
              <w:t xml:space="preserve">uman </w:t>
            </w:r>
            <w:r w:rsidRPr="00421608">
              <w:t>R</w:t>
            </w:r>
            <w:r w:rsidR="00706EAC" w:rsidRPr="00421608">
              <w:t xml:space="preserve">esources for </w:t>
            </w:r>
            <w:r w:rsidRPr="00421608">
              <w:t>H</w:t>
            </w:r>
            <w:r w:rsidR="00706EAC" w:rsidRPr="00421608">
              <w:t xml:space="preserve">ealth </w:t>
            </w:r>
            <w:r w:rsidRPr="00421608">
              <w:t>2030</w:t>
            </w:r>
            <w:r w:rsidR="00706EAC" w:rsidRPr="00421608">
              <w:t xml:space="preserve"> (HRH2030)</w:t>
            </w:r>
            <w:r w:rsidR="002D08F9" w:rsidRPr="00421608">
              <w:t xml:space="preserve"> is </w:t>
            </w:r>
            <w:r w:rsidR="00421608" w:rsidRPr="00421608">
              <w:t xml:space="preserve">working with the DOH Health Human Resources Bureau </w:t>
            </w:r>
            <w:r w:rsidR="002D08F9" w:rsidRPr="00421608">
              <w:t xml:space="preserve">to build </w:t>
            </w:r>
            <w:r w:rsidR="00421608" w:rsidRPr="00421608">
              <w:t>its capacity in</w:t>
            </w:r>
            <w:r w:rsidR="002D08F9" w:rsidRPr="00421608">
              <w:t xml:space="preserve"> development, deployment, training, and management of health workforce to improve equity, access, and quality </w:t>
            </w:r>
            <w:r w:rsidR="00421608" w:rsidRPr="00421608">
              <w:t>health</w:t>
            </w:r>
            <w:r w:rsidR="002D08F9" w:rsidRPr="00421608">
              <w:t xml:space="preserve"> services.</w:t>
            </w:r>
            <w:r w:rsidR="00421608" w:rsidRPr="00421608">
              <w:t xml:space="preserve"> </w:t>
            </w:r>
            <w:r w:rsidR="000B5746" w:rsidRPr="00421608">
              <w:t>USAID/Institutionalization of the Health Leadership and Governance Program (</w:t>
            </w:r>
            <w:r w:rsidR="00C26F82" w:rsidRPr="00421608">
              <w:t>IHLGP</w:t>
            </w:r>
            <w:r w:rsidR="000B5746" w:rsidRPr="00421608">
              <w:t xml:space="preserve">) is </w:t>
            </w:r>
            <w:r w:rsidR="00421608" w:rsidRPr="00421608">
              <w:t xml:space="preserve">providing technical assistance to DOH regional offices and selected local chief executives </w:t>
            </w:r>
            <w:r w:rsidR="000B5746" w:rsidRPr="00421608">
              <w:t xml:space="preserve">by strengthening health leadership and governance. </w:t>
            </w:r>
            <w:r w:rsidR="00421608">
              <w:t>USAID Washington through its Technical As</w:t>
            </w:r>
            <w:r w:rsidR="00421608" w:rsidRPr="00332A8A">
              <w:t xml:space="preserve">sistance Support to Countries (TASC) and </w:t>
            </w:r>
            <w:r w:rsidR="00332A8A" w:rsidRPr="00332A8A">
              <w:t>Sustaining Technical Analytic Research (</w:t>
            </w:r>
            <w:r w:rsidR="00421608" w:rsidRPr="00332A8A">
              <w:t>STAR</w:t>
            </w:r>
            <w:r w:rsidR="00332A8A" w:rsidRPr="00332A8A">
              <w:t>) mechani</w:t>
            </w:r>
            <w:r w:rsidR="00332A8A">
              <w:t>sms</w:t>
            </w:r>
            <w:r w:rsidR="00421608">
              <w:t xml:space="preserve"> seconded two specialists to support NTP Management Office </w:t>
            </w:r>
            <w:r w:rsidR="00D95C97">
              <w:t>in strategic decision making and in operations.</w:t>
            </w:r>
            <w:r w:rsidR="00421608">
              <w:t xml:space="preserve">  </w:t>
            </w:r>
          </w:p>
          <w:p w14:paraId="5C96D1C1" w14:textId="77777777" w:rsidR="00CF13E3" w:rsidRDefault="00CF13E3" w:rsidP="0034679C">
            <w:pPr>
              <w:pStyle w:val="CommentText"/>
              <w:rPr>
                <w:sz w:val="22"/>
                <w:szCs w:val="22"/>
              </w:rPr>
            </w:pPr>
          </w:p>
          <w:p w14:paraId="33F9F4DE" w14:textId="20364236" w:rsidR="0034679C" w:rsidRPr="008E45FF" w:rsidRDefault="0034679C" w:rsidP="0034679C">
            <w:pPr>
              <w:pStyle w:val="CommentText"/>
            </w:pPr>
            <w:r w:rsidRPr="008E45FF">
              <w:rPr>
                <w:sz w:val="22"/>
                <w:szCs w:val="22"/>
              </w:rPr>
              <w:t>Furthermore, the World Health Organization (WHO) has been continuously providing technical assistance to NTP through a Medical Officer providing strategic-level TA at the national level and one Technical Officer providing operational-level TA at the subnational level.</w:t>
            </w:r>
            <w:r w:rsidR="008E45FF" w:rsidRPr="008E45FF">
              <w:rPr>
                <w:sz w:val="22"/>
                <w:szCs w:val="22"/>
              </w:rPr>
              <w:t xml:space="preserve"> Specific for health systems strengthening, WHO has deployed one coordinator, and three technical focal points: one for health policy and financing, one for essential medicines and technologies, and one for health information systems and human resources.</w:t>
            </w:r>
            <w:r w:rsidRPr="008E45FF">
              <w:rPr>
                <w:sz w:val="22"/>
                <w:szCs w:val="22"/>
              </w:rPr>
              <w:t xml:space="preserve"> </w:t>
            </w:r>
          </w:p>
          <w:p w14:paraId="291BEC3E" w14:textId="77777777" w:rsidR="00CF13E3" w:rsidRDefault="00CF13E3" w:rsidP="0034679C">
            <w:pPr>
              <w:pStyle w:val="CommentText"/>
              <w:rPr>
                <w:sz w:val="22"/>
                <w:szCs w:val="22"/>
              </w:rPr>
            </w:pPr>
          </w:p>
          <w:p w14:paraId="7B2FA022" w14:textId="4CA55CBB" w:rsidR="00703453" w:rsidRPr="005305D5" w:rsidRDefault="00421608" w:rsidP="0034679C">
            <w:pPr>
              <w:pStyle w:val="CommentText"/>
            </w:pPr>
            <w:r w:rsidRPr="008E45FF">
              <w:rPr>
                <w:sz w:val="22"/>
                <w:szCs w:val="22"/>
              </w:rPr>
              <w:t xml:space="preserve">The NTP maintains close coordination and collaboration among its various implementers through regular conduct of TB Technical </w:t>
            </w:r>
            <w:r w:rsidRPr="00CF13E3">
              <w:rPr>
                <w:sz w:val="22"/>
                <w:szCs w:val="22"/>
              </w:rPr>
              <w:t xml:space="preserve">Working Group meetings and sub-TWG meetings where both USAID Activities and GF AccessTB Project are always represented. </w:t>
            </w:r>
            <w:r w:rsidR="00CF13E3" w:rsidRPr="00CF13E3">
              <w:rPr>
                <w:sz w:val="22"/>
                <w:szCs w:val="22"/>
              </w:rPr>
              <w:t xml:space="preserve">The NTP also reports </w:t>
            </w:r>
            <w:r w:rsidR="00CF13E3">
              <w:rPr>
                <w:sz w:val="22"/>
                <w:szCs w:val="22"/>
              </w:rPr>
              <w:t xml:space="preserve">regularly </w:t>
            </w:r>
            <w:r w:rsidR="00CF13E3" w:rsidRPr="00CF13E3">
              <w:rPr>
                <w:sz w:val="22"/>
                <w:szCs w:val="22"/>
              </w:rPr>
              <w:t>to the National Coordinating Committee</w:t>
            </w:r>
            <w:r w:rsidR="00CF13E3">
              <w:rPr>
                <w:sz w:val="22"/>
                <w:szCs w:val="22"/>
              </w:rPr>
              <w:t xml:space="preserve"> (NCC)</w:t>
            </w:r>
            <w:r w:rsidR="00CF13E3" w:rsidRPr="00CF13E3">
              <w:rPr>
                <w:sz w:val="22"/>
                <w:szCs w:val="22"/>
              </w:rPr>
              <w:t xml:space="preserve"> as mandated by the TB Law</w:t>
            </w:r>
            <w:r w:rsidR="00CF13E3">
              <w:rPr>
                <w:sz w:val="22"/>
                <w:szCs w:val="22"/>
              </w:rPr>
              <w:t>.</w:t>
            </w:r>
          </w:p>
        </w:tc>
      </w:tr>
    </w:tbl>
    <w:p w14:paraId="1C61FC08" w14:textId="1F33D756" w:rsidR="00DE1608" w:rsidRPr="005305D5" w:rsidRDefault="00DE1608" w:rsidP="00A54AAB">
      <w:pPr>
        <w:spacing w:after="0"/>
      </w:pPr>
    </w:p>
    <w:p w14:paraId="3C979192" w14:textId="18F1A92A" w:rsidR="00A321C0" w:rsidRPr="005305D5" w:rsidRDefault="00A321C0" w:rsidP="00E07C20">
      <w:pPr>
        <w:pStyle w:val="Heading2"/>
        <w:numPr>
          <w:ilvl w:val="1"/>
          <w:numId w:val="24"/>
        </w:numPr>
        <w:shd w:val="clear" w:color="auto" w:fill="D9D9D9" w:themeFill="background1" w:themeFillShade="D9"/>
        <w:spacing w:before="0" w:after="0" w:line="240" w:lineRule="auto"/>
        <w:contextualSpacing/>
      </w:pPr>
      <w:r w:rsidRPr="005305D5">
        <w:t>Lessons Learned from Global Fund and Other Partner Investments</w:t>
      </w:r>
    </w:p>
    <w:p w14:paraId="3E2C8384" w14:textId="77777777" w:rsidR="009B6C0D" w:rsidRDefault="009B6C0D" w:rsidP="009B6C0D">
      <w:pPr>
        <w:pStyle w:val="ListParagraph"/>
        <w:spacing w:after="0"/>
        <w:ind w:left="0"/>
      </w:pPr>
    </w:p>
    <w:p w14:paraId="5A03838B" w14:textId="4CBE327F" w:rsidR="00A321C0" w:rsidRDefault="00EF7EA4" w:rsidP="009B6C0D">
      <w:pPr>
        <w:pStyle w:val="ListParagraph"/>
        <w:spacing w:after="0"/>
        <w:ind w:left="0"/>
      </w:pPr>
      <w:r>
        <w:t>Describe</w:t>
      </w:r>
      <w:r w:rsidR="00A321C0">
        <w:t xml:space="preserve"> how </w:t>
      </w:r>
      <w:r w:rsidR="00A321C0" w:rsidRPr="00E117E8">
        <w:t xml:space="preserve">Global Fund and </w:t>
      </w:r>
      <w:r w:rsidR="00A321C0">
        <w:t>domestic investments, as well as those of other partners,</w:t>
      </w:r>
      <w:r w:rsidR="00A321C0" w:rsidRPr="00E117E8">
        <w:t xml:space="preserve"> </w:t>
      </w:r>
      <w:r w:rsidR="00A321C0">
        <w:t>supported national health targets</w:t>
      </w:r>
      <w:r w:rsidR="000D3875" w:rsidRPr="000D3875">
        <w:t xml:space="preserve"> </w:t>
      </w:r>
      <w:r w:rsidR="000D3875" w:rsidRPr="00E117E8">
        <w:t xml:space="preserve">during the </w:t>
      </w:r>
      <w:r w:rsidR="00CA301B">
        <w:t>current</w:t>
      </w:r>
      <w:r w:rsidR="000D3875">
        <w:t xml:space="preserve"> allocation period</w:t>
      </w:r>
      <w:r w:rsidR="00A321C0">
        <w:t xml:space="preserve">. </w:t>
      </w:r>
      <w:r w:rsidR="00A321C0" w:rsidRPr="00E117E8">
        <w:t xml:space="preserve">Include </w:t>
      </w:r>
      <w:r w:rsidR="000D3875">
        <w:t xml:space="preserve">the main </w:t>
      </w:r>
      <w:r w:rsidR="00A321C0" w:rsidRPr="002F3609">
        <w:rPr>
          <w:b/>
        </w:rPr>
        <w:t>lessons learned</w:t>
      </w:r>
      <w:r w:rsidR="00A321C0">
        <w:t xml:space="preserve"> </w:t>
      </w:r>
      <w:r w:rsidR="00CA301B">
        <w:t xml:space="preserve">that are </w:t>
      </w:r>
      <w:r w:rsidR="00CA301B" w:rsidRPr="00E117E8">
        <w:t>relevant to th</w:t>
      </w:r>
      <w:r w:rsidR="00CA301B">
        <w:t xml:space="preserve">is funding request </w:t>
      </w:r>
      <w:r w:rsidR="00A321C0">
        <w:t>(</w:t>
      </w:r>
      <w:r w:rsidR="00CA301B">
        <w:t>for example</w:t>
      </w:r>
      <w:r w:rsidR="00235BB3">
        <w:t>,</w:t>
      </w:r>
      <w:r w:rsidR="00A321C0">
        <w:t xml:space="preserve"> </w:t>
      </w:r>
      <w:r w:rsidR="000D3875">
        <w:t>innovations</w:t>
      </w:r>
      <w:r w:rsidR="00CA301B">
        <w:t xml:space="preserve"> or</w:t>
      </w:r>
      <w:r w:rsidR="000D3875">
        <w:t xml:space="preserve"> </w:t>
      </w:r>
      <w:r w:rsidR="00A321C0">
        <w:t>bottlenecks in service delivery)</w:t>
      </w:r>
      <w:r w:rsidR="000D3875">
        <w:t>.</w:t>
      </w:r>
      <w:r w:rsidR="000D3875" w:rsidRPr="00E117E8" w:rsidDel="000D3875">
        <w:t xml:space="preserve"> </w:t>
      </w:r>
    </w:p>
    <w:p w14:paraId="37A42048" w14:textId="77777777" w:rsidR="009B6C0D" w:rsidRPr="005305D5" w:rsidRDefault="009B6C0D" w:rsidP="009B6C0D">
      <w:pPr>
        <w:pStyle w:val="ListParagraph"/>
        <w:spacing w:after="0"/>
        <w:ind w:left="0"/>
      </w:pPr>
    </w:p>
    <w:tbl>
      <w:tblPr>
        <w:tblStyle w:val="TableGrid"/>
        <w:tblW w:w="0" w:type="auto"/>
        <w:tblLook w:val="04A0" w:firstRow="1" w:lastRow="0" w:firstColumn="1" w:lastColumn="0" w:noHBand="0" w:noVBand="1"/>
      </w:tblPr>
      <w:tblGrid>
        <w:gridCol w:w="10456"/>
      </w:tblGrid>
      <w:tr w:rsidR="00A321C0" w:rsidRPr="005305D5" w14:paraId="0C08AB5F" w14:textId="77777777" w:rsidTr="007543E4">
        <w:tc>
          <w:tcPr>
            <w:tcW w:w="10456" w:type="dxa"/>
          </w:tcPr>
          <w:p w14:paraId="57E3532C" w14:textId="34166962" w:rsidR="00C245A7" w:rsidRDefault="00C245A7" w:rsidP="0096404A">
            <w:pPr>
              <w:spacing w:after="0"/>
            </w:pPr>
            <w:r>
              <w:t xml:space="preserve">The Philippines is currently implementing the </w:t>
            </w:r>
            <w:r w:rsidR="00755878">
              <w:t>Access</w:t>
            </w:r>
            <w:r>
              <w:t>TB Project supported by TGF covering 2018-2020.</w:t>
            </w:r>
            <w:r w:rsidR="00CF13E3">
              <w:t xml:space="preserve"> It is focused on improving the service delivery system for MDR TB and TB-HIV collaboration, finding missing TB cases through ACF and supporting operationalization of the Integrated TB Information System (ITIS). </w:t>
            </w:r>
            <w:r>
              <w:t xml:space="preserve"> Key insights ad learning from th</w:t>
            </w:r>
            <w:r w:rsidR="00CF13E3">
              <w:t>is ongoing GF TB</w:t>
            </w:r>
            <w:r>
              <w:t xml:space="preserve"> grant </w:t>
            </w:r>
            <w:r w:rsidR="00CF13E3">
              <w:t>(</w:t>
            </w:r>
            <w:r>
              <w:t>and other ongoing TB initiatives</w:t>
            </w:r>
            <w:r w:rsidR="00CF13E3">
              <w:t>)</w:t>
            </w:r>
            <w:r>
              <w:t xml:space="preserve"> supported prioritization of interventions included in this funding request.</w:t>
            </w:r>
          </w:p>
          <w:p w14:paraId="1702059C" w14:textId="77777777" w:rsidR="00C245A7" w:rsidRDefault="00C245A7" w:rsidP="0096404A">
            <w:pPr>
              <w:spacing w:after="0"/>
            </w:pPr>
          </w:p>
          <w:p w14:paraId="25D4E57C" w14:textId="1D7A8772" w:rsidR="00C245A7" w:rsidRDefault="00C245A7" w:rsidP="00E07C20">
            <w:pPr>
              <w:pStyle w:val="ListParagraph"/>
              <w:numPr>
                <w:ilvl w:val="0"/>
                <w:numId w:val="39"/>
              </w:numPr>
              <w:spacing w:after="0"/>
            </w:pPr>
            <w:r w:rsidRPr="00C245A7">
              <w:rPr>
                <w:b/>
                <w:bCs/>
              </w:rPr>
              <w:t>On finding missing TB cases.</w:t>
            </w:r>
            <w:r>
              <w:t xml:space="preserve"> The conduct of </w:t>
            </w:r>
            <w:r w:rsidR="004E38A9">
              <w:t xml:space="preserve">systematic screening through </w:t>
            </w:r>
            <w:r>
              <w:t xml:space="preserve">active case finding </w:t>
            </w:r>
            <w:r w:rsidR="0051717E">
              <w:t xml:space="preserve">among high risk groups </w:t>
            </w:r>
            <w:r w:rsidR="00CF13E3">
              <w:rPr>
                <w:rStyle w:val="FootnoteReference"/>
              </w:rPr>
              <w:footnoteReference w:id="9"/>
            </w:r>
            <w:r w:rsidR="0051717E">
              <w:t xml:space="preserve">in </w:t>
            </w:r>
            <w:r>
              <w:t>communities</w:t>
            </w:r>
            <w:r w:rsidR="0051717E">
              <w:t xml:space="preserve"> and closed settings </w:t>
            </w:r>
            <w:r>
              <w:t xml:space="preserve">using mobile CxR and intensified case finding through </w:t>
            </w:r>
            <w:r w:rsidR="0051717E">
              <w:t xml:space="preserve">symptomatic screening + free </w:t>
            </w:r>
            <w:r>
              <w:t xml:space="preserve">CxR voucher system positively resulted </w:t>
            </w:r>
            <w:r w:rsidR="00CF13E3">
              <w:t>in</w:t>
            </w:r>
            <w:r>
              <w:t xml:space="preserve"> 3-6% </w:t>
            </w:r>
            <w:r>
              <w:lastRenderedPageBreak/>
              <w:t>increase in case notification in the project areas.</w:t>
            </w:r>
            <w:r w:rsidR="0051717E">
              <w:t xml:space="preserve"> However, limited access to </w:t>
            </w:r>
            <w:r w:rsidR="005C7854">
              <w:t xml:space="preserve">TB </w:t>
            </w:r>
            <w:r w:rsidR="00CF13E3">
              <w:t>molecular RTD</w:t>
            </w:r>
            <w:r w:rsidR="0051717E">
              <w:t xml:space="preserve"> contributed to initial loss to follow-up </w:t>
            </w:r>
            <w:r w:rsidR="00D95C97">
              <w:t xml:space="preserve">of identified presumptive TB for testing </w:t>
            </w:r>
            <w:r w:rsidR="0051717E">
              <w:t>and high clinical diagnosis. It is recommended that these innovative case finding initiatives should be scale</w:t>
            </w:r>
            <w:r w:rsidR="00E670D8">
              <w:t>d</w:t>
            </w:r>
            <w:r w:rsidR="0051717E">
              <w:t xml:space="preserve">-up </w:t>
            </w:r>
            <w:r w:rsidR="00523F67">
              <w:t>(</w:t>
            </w:r>
            <w:r w:rsidR="00AE164B">
              <w:t>a</w:t>
            </w:r>
            <w:r w:rsidR="00523F67">
              <w:t>) through active engagement of local government units</w:t>
            </w:r>
            <w:r w:rsidR="00AE164B">
              <w:t xml:space="preserve">, </w:t>
            </w:r>
            <w:r w:rsidR="00523F67">
              <w:t>civil society organizations</w:t>
            </w:r>
            <w:r w:rsidR="00AE164B">
              <w:t>, &amp; community volunteers</w:t>
            </w:r>
            <w:r w:rsidR="004E38A9">
              <w:t xml:space="preserve"> – to augment the already burdened primary care facilities</w:t>
            </w:r>
            <w:r w:rsidR="00AE164B">
              <w:t>;</w:t>
            </w:r>
            <w:r w:rsidR="00523F67">
              <w:t xml:space="preserve"> and (</w:t>
            </w:r>
            <w:r w:rsidR="00AE164B">
              <w:t>b</w:t>
            </w:r>
            <w:r w:rsidR="00523F67">
              <w:t xml:space="preserve">) </w:t>
            </w:r>
            <w:r w:rsidR="0051717E">
              <w:t xml:space="preserve">with </w:t>
            </w:r>
            <w:r w:rsidR="00AE164B">
              <w:t xml:space="preserve">design modifications </w:t>
            </w:r>
            <w:r w:rsidR="0051717E">
              <w:t>to include on</w:t>
            </w:r>
            <w:r w:rsidR="00523F67">
              <w:t>-</w:t>
            </w:r>
            <w:r w:rsidR="0051717E">
              <w:t xml:space="preserve">site </w:t>
            </w:r>
            <w:r w:rsidR="00CF13E3">
              <w:t xml:space="preserve">CxR </w:t>
            </w:r>
            <w:r w:rsidR="0051717E">
              <w:t xml:space="preserve">reading and immediate </w:t>
            </w:r>
            <w:r w:rsidR="005C7854">
              <w:t xml:space="preserve">TB </w:t>
            </w:r>
            <w:r w:rsidR="00CF13E3">
              <w:t>molecular RDT</w:t>
            </w:r>
            <w:r w:rsidR="0051717E">
              <w:t xml:space="preserve"> (one-stop-s</w:t>
            </w:r>
            <w:r w:rsidR="0034679C">
              <w:t>ame-day</w:t>
            </w:r>
            <w:r w:rsidR="0051717E">
              <w:t xml:space="preserve"> approach). </w:t>
            </w:r>
            <w:r w:rsidR="002F7706">
              <w:t xml:space="preserve">Key insight learned also included the need to strengthen linkage of ACF initiatives to HIV testing and provision of TPT among eligible groups. </w:t>
            </w:r>
            <w:r w:rsidR="0051717E">
              <w:t xml:space="preserve">   </w:t>
            </w:r>
            <w:r>
              <w:t xml:space="preserve">   </w:t>
            </w:r>
          </w:p>
          <w:p w14:paraId="4FBF8CEF" w14:textId="77777777" w:rsidR="00C245A7" w:rsidRDefault="00C245A7" w:rsidP="00C245A7">
            <w:pPr>
              <w:pStyle w:val="ListParagraph"/>
              <w:spacing w:after="0"/>
              <w:ind w:left="360"/>
            </w:pPr>
          </w:p>
          <w:p w14:paraId="40BA748D" w14:textId="68CED3B5" w:rsidR="00C245A7" w:rsidRDefault="00C245A7" w:rsidP="00E07C20">
            <w:pPr>
              <w:pStyle w:val="ListParagraph"/>
              <w:numPr>
                <w:ilvl w:val="0"/>
                <w:numId w:val="39"/>
              </w:numPr>
              <w:spacing w:after="0"/>
            </w:pPr>
            <w:r w:rsidRPr="0051717E">
              <w:rPr>
                <w:b/>
                <w:bCs/>
              </w:rPr>
              <w:t>On mandatory case notification.</w:t>
            </w:r>
            <w:r w:rsidR="0051717E">
              <w:t xml:space="preserve"> Both </w:t>
            </w:r>
            <w:r w:rsidR="00FC5FCB">
              <w:t>t</w:t>
            </w:r>
            <w:r w:rsidR="0051717E">
              <w:t xml:space="preserve">he </w:t>
            </w:r>
            <w:r w:rsidR="00FC5FCB">
              <w:t xml:space="preserve">2019 </w:t>
            </w:r>
            <w:r w:rsidR="0051717E">
              <w:t xml:space="preserve">JPR and the </w:t>
            </w:r>
            <w:r w:rsidR="00FC5FCB">
              <w:t>2020 TGF-</w:t>
            </w:r>
            <w:r w:rsidR="0051717E">
              <w:t xml:space="preserve">CT </w:t>
            </w:r>
            <w:r w:rsidR="00FC5FCB">
              <w:t xml:space="preserve">TB </w:t>
            </w:r>
            <w:r w:rsidR="0051717E">
              <w:t xml:space="preserve">Portfolio </w:t>
            </w:r>
            <w:r w:rsidR="00E670D8">
              <w:t>Analysis</w:t>
            </w:r>
            <w:r w:rsidR="0051717E">
              <w:t xml:space="preserve"> recognized the </w:t>
            </w:r>
            <w:r w:rsidR="00FC5FCB">
              <w:t xml:space="preserve">significant </w:t>
            </w:r>
            <w:r w:rsidR="0051717E">
              <w:t xml:space="preserve">contribution </w:t>
            </w:r>
            <w:r w:rsidR="00FC5FCB">
              <w:t xml:space="preserve">in TB case notification (10% of all cases notified in 2018) resulting from </w:t>
            </w:r>
            <w:r w:rsidR="0051717E">
              <w:t>the deployment of TB Notification Officers</w:t>
            </w:r>
            <w:r w:rsidR="00FC5FCB">
              <w:t xml:space="preserve"> to engage stand-alone physicians and sub-clinics in hospitals. However, it was noted that more than 9</w:t>
            </w:r>
            <w:r w:rsidR="00EF3548">
              <w:t>5</w:t>
            </w:r>
            <w:r w:rsidR="00FC5FCB">
              <w:t xml:space="preserve">% of those cases notified were clinical diagnosis and treatment outcome is not reported. Key insight in advancing this intervention is expanding the role of TB notification officers to build the capacity of private health care providers to comply with the NTP TB diagnostic and treatment algorithms, including utilization of the Integrated TB Information System that is linked to the mandatory TB case notification platform. Furthermore, there is a need to incentivize the private health care providers by providing access to </w:t>
            </w:r>
            <w:r w:rsidR="005C7854">
              <w:t>TB MOLECULAR TEST</w:t>
            </w:r>
            <w:r w:rsidR="004E38A9">
              <w:t>s</w:t>
            </w:r>
            <w:r w:rsidR="00FC5FCB">
              <w:t xml:space="preserve">, free medicines, and financial incentives through optimizing PhilHealth.  </w:t>
            </w:r>
          </w:p>
          <w:p w14:paraId="7A79A169" w14:textId="77777777" w:rsidR="00FC5FCB" w:rsidRDefault="00FC5FCB" w:rsidP="00FC5FCB">
            <w:pPr>
              <w:spacing w:after="0"/>
            </w:pPr>
          </w:p>
          <w:p w14:paraId="38796F38" w14:textId="19D2AE92" w:rsidR="00523F67" w:rsidRDefault="0051717E" w:rsidP="00E07C20">
            <w:pPr>
              <w:pStyle w:val="ListParagraph"/>
              <w:numPr>
                <w:ilvl w:val="0"/>
                <w:numId w:val="39"/>
              </w:numPr>
              <w:spacing w:after="0"/>
            </w:pPr>
            <w:r w:rsidRPr="00523F67">
              <w:rPr>
                <w:b/>
                <w:bCs/>
              </w:rPr>
              <w:t xml:space="preserve">On making </w:t>
            </w:r>
            <w:r w:rsidR="00CF13E3">
              <w:rPr>
                <w:b/>
                <w:bCs/>
              </w:rPr>
              <w:t xml:space="preserve">TB </w:t>
            </w:r>
            <w:r w:rsidRPr="00523F67">
              <w:rPr>
                <w:b/>
                <w:bCs/>
              </w:rPr>
              <w:t xml:space="preserve">molecular </w:t>
            </w:r>
            <w:r w:rsidR="00CF13E3">
              <w:rPr>
                <w:b/>
                <w:bCs/>
              </w:rPr>
              <w:t>RDT</w:t>
            </w:r>
            <w:r w:rsidRPr="00523F67">
              <w:rPr>
                <w:b/>
                <w:bCs/>
              </w:rPr>
              <w:t xml:space="preserve"> as primary diagnostic tool.</w:t>
            </w:r>
            <w:r>
              <w:t xml:space="preserve"> </w:t>
            </w:r>
            <w:r w:rsidR="00523F67">
              <w:t xml:space="preserve">While the NTP MOP identifies molecular </w:t>
            </w:r>
            <w:r w:rsidR="00CA1FEA">
              <w:t xml:space="preserve">TB molecular RTD </w:t>
            </w:r>
            <w:r w:rsidR="00523F67">
              <w:t xml:space="preserve">as primary diagnostic tool for TB, access to </w:t>
            </w:r>
            <w:r w:rsidR="00CA1FEA">
              <w:t>TB molecular RTD</w:t>
            </w:r>
            <w:r w:rsidR="00523F67">
              <w:t xml:space="preserve"> machines and commodities remain limited. With the high number of missing cases and the limited domestic investment for </w:t>
            </w:r>
            <w:r w:rsidR="00CA1FEA">
              <w:t xml:space="preserve">TB molecular RTD </w:t>
            </w:r>
            <w:r w:rsidR="00E670D8">
              <w:t>now</w:t>
            </w:r>
            <w:r w:rsidR="00523F67">
              <w:t xml:space="preserve">, optimizing systematic screening and prioritizing most at risk population groups (PLHIV, contacts, and PDL) is critical. Furthermore, the engagement of </w:t>
            </w:r>
            <w:r w:rsidR="00CA1FEA">
              <w:t>sputum transport riders (</w:t>
            </w:r>
            <w:r w:rsidR="00523F67">
              <w:t>STR</w:t>
            </w:r>
            <w:r w:rsidR="00E670D8">
              <w:t>iders</w:t>
            </w:r>
            <w:r w:rsidR="00CA1FEA">
              <w:t>)</w:t>
            </w:r>
            <w:r w:rsidR="00523F67">
              <w:t xml:space="preserve"> showed success in increasing access to </w:t>
            </w:r>
            <w:r w:rsidR="00CA1FEA">
              <w:t xml:space="preserve">TB molecular RTD </w:t>
            </w:r>
            <w:r w:rsidR="00523F67">
              <w:t xml:space="preserve">and reducing turnaround time, as such was recommended to be continued until enough </w:t>
            </w:r>
            <w:r w:rsidR="00CA1FEA">
              <w:t xml:space="preserve">TB molecular RTD </w:t>
            </w:r>
            <w:r w:rsidR="00523F67">
              <w:t>facilities have been established for the country.</w:t>
            </w:r>
            <w:r w:rsidR="000B3D06">
              <w:t xml:space="preserve"> In addition, health promotion efforts are necessary to increase awareness and acceptance of medical doctors of </w:t>
            </w:r>
            <w:r w:rsidR="00CA1FEA">
              <w:t xml:space="preserve">TB molecular RTD </w:t>
            </w:r>
            <w:r w:rsidR="000B3D06">
              <w:t xml:space="preserve">for TB diagnosis and reinforce understanding to limit the use of CxR for screening purposes only. </w:t>
            </w:r>
            <w:r w:rsidR="002F7706">
              <w:t xml:space="preserve">On a related note, the Xpert MTB/Rif should be leveraged to support improving access of PLHIVs for viral load testing.  </w:t>
            </w:r>
            <w:r w:rsidR="000B3D06">
              <w:t xml:space="preserve"> </w:t>
            </w:r>
            <w:r w:rsidR="00523F67">
              <w:t xml:space="preserve">    </w:t>
            </w:r>
          </w:p>
          <w:p w14:paraId="4C161A0B" w14:textId="1D9D5959" w:rsidR="00C245A7" w:rsidRDefault="00523F67" w:rsidP="00523F67">
            <w:pPr>
              <w:spacing w:after="0"/>
            </w:pPr>
            <w:r>
              <w:t xml:space="preserve">   </w:t>
            </w:r>
          </w:p>
          <w:p w14:paraId="0620C130" w14:textId="1DB9BB70" w:rsidR="000B3D06" w:rsidRDefault="00C245A7" w:rsidP="00E07C20">
            <w:pPr>
              <w:pStyle w:val="ListParagraph"/>
              <w:numPr>
                <w:ilvl w:val="0"/>
                <w:numId w:val="39"/>
              </w:numPr>
              <w:spacing w:after="0"/>
            </w:pPr>
            <w:r w:rsidRPr="000B3D06">
              <w:rPr>
                <w:b/>
                <w:bCs/>
              </w:rPr>
              <w:t>On TB Preventive T</w:t>
            </w:r>
            <w:r w:rsidR="00D95C97">
              <w:rPr>
                <w:b/>
                <w:bCs/>
              </w:rPr>
              <w:t>reatment</w:t>
            </w:r>
            <w:r w:rsidRPr="000B3D06">
              <w:rPr>
                <w:b/>
                <w:bCs/>
              </w:rPr>
              <w:t>.</w:t>
            </w:r>
            <w:r w:rsidR="00523F67">
              <w:t xml:space="preserve"> </w:t>
            </w:r>
            <w:r w:rsidR="000B3D06">
              <w:t xml:space="preserve">The coverage of TPT </w:t>
            </w:r>
            <w:r w:rsidR="00CA1FEA">
              <w:t xml:space="preserve">(among all eligible) </w:t>
            </w:r>
            <w:r w:rsidR="000B3D06">
              <w:t xml:space="preserve">in the Philippines in 2018 is </w:t>
            </w:r>
            <w:r w:rsidR="0034679C">
              <w:t>estimated to be at 1</w:t>
            </w:r>
            <w:r w:rsidR="000B3D06">
              <w:t>%</w:t>
            </w:r>
            <w:r w:rsidR="0034679C">
              <w:t xml:space="preserve">. </w:t>
            </w:r>
            <w:r w:rsidR="000B3D06">
              <w:t>Without scaling up efforts to increase coverage of managing latent TB infections and TPT, TB cannot be eliminated by 2035. Furthermore, there is a need to introduce innovative TPT technologies that are more patient friendly.</w:t>
            </w:r>
          </w:p>
          <w:p w14:paraId="4907BCE3" w14:textId="7E7518E9" w:rsidR="00C245A7" w:rsidRDefault="00C245A7" w:rsidP="000B3D06">
            <w:pPr>
              <w:spacing w:after="0"/>
            </w:pPr>
          </w:p>
          <w:p w14:paraId="4DE8E80A" w14:textId="5675648C" w:rsidR="00C245A7" w:rsidRDefault="00C245A7" w:rsidP="00E07C20">
            <w:pPr>
              <w:pStyle w:val="ListParagraph"/>
              <w:numPr>
                <w:ilvl w:val="0"/>
                <w:numId w:val="39"/>
              </w:numPr>
              <w:spacing w:after="0"/>
            </w:pPr>
            <w:r w:rsidRPr="000B3D06">
              <w:rPr>
                <w:b/>
                <w:bCs/>
              </w:rPr>
              <w:t>On implementing MDR-TB.</w:t>
            </w:r>
            <w:r w:rsidR="000B3D06">
              <w:t xml:space="preserve"> The combination of decentralizing MDR T</w:t>
            </w:r>
            <w:r w:rsidR="000B3D06" w:rsidRPr="004E38A9">
              <w:t xml:space="preserve">B treatment in iDOTS facilities with home-based care options, adopting </w:t>
            </w:r>
            <w:r w:rsidR="00CA1FEA">
              <w:t xml:space="preserve">an </w:t>
            </w:r>
            <w:r w:rsidR="000B3D06" w:rsidRPr="004E38A9">
              <w:t>all-oral standard treatment regimen</w:t>
            </w:r>
            <w:r w:rsidR="00CA1FEA">
              <w:t>,</w:t>
            </w:r>
            <w:r w:rsidR="000B3D06" w:rsidRPr="004E38A9">
              <w:t xml:space="preserve"> and </w:t>
            </w:r>
            <w:r w:rsidR="000066A3" w:rsidRPr="004E38A9">
              <w:t>patient enabler package</w:t>
            </w:r>
            <w:r w:rsidR="000B3D06" w:rsidRPr="004E38A9">
              <w:t xml:space="preserve"> result</w:t>
            </w:r>
            <w:r w:rsidR="00CA1FEA">
              <w:t>ed</w:t>
            </w:r>
            <w:r w:rsidR="000B3D06" w:rsidRPr="004E38A9">
              <w:t xml:space="preserve"> </w:t>
            </w:r>
            <w:r w:rsidR="00CA1FEA">
              <w:t>in</w:t>
            </w:r>
            <w:r w:rsidR="000B3D06" w:rsidRPr="004E38A9">
              <w:t xml:space="preserve"> better health outcomes.</w:t>
            </w:r>
            <w:r w:rsidR="000066A3" w:rsidRPr="004E38A9">
              <w:t xml:space="preserve"> </w:t>
            </w:r>
            <w:r w:rsidR="004E38A9" w:rsidRPr="004E38A9">
              <w:t>It was also noted that all-oral regimen yielded better treatment outcomes versus the conventional treatment regimen</w:t>
            </w:r>
            <w:r w:rsidR="00CA1FEA">
              <w:t>—</w:t>
            </w:r>
            <w:r w:rsidR="00CA1FEA" w:rsidRPr="004A4EF9">
              <w:rPr>
                <w:rFonts w:asciiTheme="minorHAnsi" w:hAnsiTheme="minorHAnsi" w:cstheme="minorHAnsi"/>
              </w:rPr>
              <w:t>TSR</w:t>
            </w:r>
            <w:r w:rsidR="00CA1FEA" w:rsidRPr="00D95C97">
              <w:rPr>
                <w:rFonts w:asciiTheme="minorHAnsi" w:hAnsiTheme="minorHAnsi" w:cstheme="minorHAnsi"/>
              </w:rPr>
              <w:t xml:space="preserve"> among </w:t>
            </w:r>
            <w:r w:rsidR="00CA1FEA">
              <w:rPr>
                <w:rFonts w:asciiTheme="minorHAnsi" w:hAnsiTheme="minorHAnsi" w:cstheme="minorHAnsi"/>
              </w:rPr>
              <w:t xml:space="preserve">DR TB case was </w:t>
            </w:r>
            <w:r w:rsidR="00CA1FEA" w:rsidRPr="006A5D03">
              <w:rPr>
                <w:rFonts w:asciiTheme="minorHAnsi" w:hAnsiTheme="minorHAnsi" w:cstheme="minorHAnsi"/>
              </w:rPr>
              <w:t xml:space="preserve">69% (3815/5549) for 2018 cohort using standard shorter treatment regimen and 33% (233/703) for 2018 cohort using conventional </w:t>
            </w:r>
            <w:r w:rsidR="00CA1FEA" w:rsidRPr="004A4EF9">
              <w:rPr>
                <w:rFonts w:asciiTheme="minorHAnsi" w:hAnsiTheme="minorHAnsi" w:cstheme="minorHAnsi"/>
              </w:rPr>
              <w:t>treatment regimen</w:t>
            </w:r>
            <w:r w:rsidR="004E38A9" w:rsidRPr="004E38A9">
              <w:t>.</w:t>
            </w:r>
            <w:r w:rsidR="004E38A9">
              <w:t xml:space="preserve"> </w:t>
            </w:r>
            <w:r w:rsidR="00CA1FEA">
              <w:t>Furthermore, d</w:t>
            </w:r>
            <w:r w:rsidR="000066A3">
              <w:t xml:space="preserve">iscussions with key affected populations provided key insights in improving the patient enabler package to consider livelihood support to mitigate catastrophic cost to patients and their families. Furthermore, the </w:t>
            </w:r>
            <w:r w:rsidR="0034679C">
              <w:t>DS and DR</w:t>
            </w:r>
            <w:r w:rsidR="00903374">
              <w:t xml:space="preserve"> </w:t>
            </w:r>
            <w:r w:rsidR="000066A3">
              <w:t>TB case management capabilities should be expanded to include the private sector</w:t>
            </w:r>
            <w:r w:rsidR="00AE164B">
              <w:t xml:space="preserve"> for a more comprehensive </w:t>
            </w:r>
            <w:r w:rsidR="00AE164B" w:rsidRPr="008B0651">
              <w:t xml:space="preserve">TB Health Care Provider Network (HCPN)- as envisaged under the UHC Law. </w:t>
            </w:r>
            <w:r w:rsidR="0034679C" w:rsidRPr="008B0651">
              <w:t xml:space="preserve">Vital to private sector engagement however, </w:t>
            </w:r>
            <w:r w:rsidR="008B0651" w:rsidRPr="008B0651">
              <w:t xml:space="preserve">is their compliance </w:t>
            </w:r>
            <w:r w:rsidR="00CA1FEA">
              <w:t>with</w:t>
            </w:r>
            <w:r w:rsidR="008B0651" w:rsidRPr="008B0651">
              <w:t xml:space="preserve"> the NTP protocols to </w:t>
            </w:r>
            <w:r w:rsidR="00CA1FEA">
              <w:t xml:space="preserve">ensure provision of </w:t>
            </w:r>
            <w:r w:rsidR="0034679C" w:rsidRPr="008B0651">
              <w:t>quality clinical care</w:t>
            </w:r>
            <w:r w:rsidR="008B0651" w:rsidRPr="008B0651">
              <w:t xml:space="preserve">, while the </w:t>
            </w:r>
            <w:r w:rsidR="0034679C" w:rsidRPr="008B0651">
              <w:t xml:space="preserve">public sector can provide their patients with essential public health care (e.g., contact tracing, home visits), as </w:t>
            </w:r>
            <w:r w:rsidR="008B0651" w:rsidRPr="008B0651">
              <w:t xml:space="preserve">evident </w:t>
            </w:r>
            <w:r w:rsidR="0034679C" w:rsidRPr="008B0651">
              <w:t xml:space="preserve">in all high-quality TB care </w:t>
            </w:r>
            <w:r w:rsidR="00CA1FEA">
              <w:t>settings</w:t>
            </w:r>
            <w:r w:rsidR="0034679C" w:rsidRPr="008B0651">
              <w:t xml:space="preserve"> </w:t>
            </w:r>
            <w:r w:rsidR="008B0651" w:rsidRPr="008B0651">
              <w:t xml:space="preserve">like </w:t>
            </w:r>
            <w:r w:rsidR="0034679C" w:rsidRPr="008B0651">
              <w:t>Japan</w:t>
            </w:r>
            <w:r w:rsidR="008B0651" w:rsidRPr="008B0651">
              <w:t xml:space="preserve"> and </w:t>
            </w:r>
            <w:r w:rsidR="0034679C" w:rsidRPr="008B0651">
              <w:t>Taiwan.</w:t>
            </w:r>
            <w:r w:rsidR="0034679C">
              <w:t xml:space="preserve"> </w:t>
            </w:r>
            <w:r w:rsidR="000066A3">
              <w:t xml:space="preserve">  </w:t>
            </w:r>
            <w:r w:rsidR="000B3D06">
              <w:t xml:space="preserve">    </w:t>
            </w:r>
          </w:p>
          <w:p w14:paraId="7B181CF8" w14:textId="77777777" w:rsidR="000B3D06" w:rsidRDefault="000B3D06" w:rsidP="000B3D06">
            <w:pPr>
              <w:pStyle w:val="ListParagraph"/>
              <w:spacing w:after="0"/>
              <w:ind w:left="360"/>
            </w:pPr>
          </w:p>
          <w:p w14:paraId="3DA18784" w14:textId="00B0007D" w:rsidR="00C245A7" w:rsidRDefault="00C245A7" w:rsidP="00E07C20">
            <w:pPr>
              <w:pStyle w:val="ListParagraph"/>
              <w:numPr>
                <w:ilvl w:val="0"/>
                <w:numId w:val="39"/>
              </w:numPr>
              <w:spacing w:after="0"/>
            </w:pPr>
            <w:r w:rsidRPr="00AE164B">
              <w:rPr>
                <w:b/>
                <w:bCs/>
              </w:rPr>
              <w:t>On TB-HIV Collaboration</w:t>
            </w:r>
            <w:r w:rsidR="00AE164B" w:rsidRPr="00AE164B">
              <w:rPr>
                <w:b/>
                <w:bCs/>
              </w:rPr>
              <w:t>.</w:t>
            </w:r>
            <w:r w:rsidR="00AE164B">
              <w:rPr>
                <w:b/>
                <w:bCs/>
              </w:rPr>
              <w:t xml:space="preserve"> </w:t>
            </w:r>
            <w:r w:rsidR="00AE164B">
              <w:t xml:space="preserve"> HIV testing among TB patients in facilities capacitated by the current TGF TB grant </w:t>
            </w:r>
            <w:r w:rsidR="00E862D6">
              <w:t>is around 80</w:t>
            </w:r>
            <w:r w:rsidR="00AE164B">
              <w:t xml:space="preserve">% HIV testing among TB patients. It is recommended that nationwide coverage to support all TB facilities and HIV hubs would improve national performance. Furthermore, </w:t>
            </w:r>
            <w:r w:rsidR="002F7706">
              <w:t xml:space="preserve">there is recognition on the </w:t>
            </w:r>
            <w:r w:rsidR="00AE164B">
              <w:t>need to</w:t>
            </w:r>
            <w:r w:rsidR="002F7706">
              <w:t xml:space="preserve"> leverage active TB case finding initiatives among most at risk populations by strengthening link to HIV testing.  </w:t>
            </w:r>
            <w:r w:rsidR="00AE164B">
              <w:t xml:space="preserve">  </w:t>
            </w:r>
            <w:r>
              <w:t xml:space="preserve"> </w:t>
            </w:r>
          </w:p>
          <w:p w14:paraId="45B1D21D" w14:textId="77777777" w:rsidR="000066A3" w:rsidRDefault="000066A3" w:rsidP="000066A3">
            <w:pPr>
              <w:pStyle w:val="ListParagraph"/>
              <w:spacing w:after="0"/>
              <w:ind w:left="360"/>
            </w:pPr>
          </w:p>
          <w:p w14:paraId="22343B62" w14:textId="7820767A" w:rsidR="00C245A7" w:rsidRDefault="00C245A7" w:rsidP="00E07C20">
            <w:pPr>
              <w:pStyle w:val="ListParagraph"/>
              <w:numPr>
                <w:ilvl w:val="0"/>
                <w:numId w:val="39"/>
              </w:numPr>
              <w:spacing w:after="0"/>
            </w:pPr>
            <w:r w:rsidRPr="002F7706">
              <w:rPr>
                <w:b/>
                <w:bCs/>
              </w:rPr>
              <w:lastRenderedPageBreak/>
              <w:t>On TB Information Management.</w:t>
            </w:r>
            <w:r w:rsidR="002F7706" w:rsidRPr="002F7706">
              <w:rPr>
                <w:b/>
                <w:bCs/>
              </w:rPr>
              <w:t xml:space="preserve"> </w:t>
            </w:r>
            <w:r w:rsidR="002F7706">
              <w:t>The Integrated TB Information System (ITIS) is the official source of TB information in the Philippines. While designed as a real time data recording and reporting system, users still do not use it on real time. This is probably due to parallel implementation of paper and electronic recording. As such, there is a need to</w:t>
            </w:r>
            <w:r w:rsidR="0007555F">
              <w:t xml:space="preserve"> stop the paper-based system and fully support real time data recording in </w:t>
            </w:r>
            <w:r w:rsidR="008E45FF">
              <w:t>IT IS and manage program performance using the data</w:t>
            </w:r>
            <w:r w:rsidR="0007555F">
              <w:t xml:space="preserve">. In addition, there is low utilization of the ITIS laboratory module which should be enhanced to mimic business process flow of laboratory personnel. Furthermore, the 2019 JPR also recommended the need to integrate the TB case notification platform into the ITIS and make it interoperable with other information systems (HOMIS, </w:t>
            </w:r>
            <w:r w:rsidR="001529A6">
              <w:t xml:space="preserve">eHARP, FHSIS, eLMIS, </w:t>
            </w:r>
            <w:r w:rsidR="0007555F">
              <w:t xml:space="preserve">SSS, GSIS, PhilHealth, FDA, etc.)   </w:t>
            </w:r>
            <w:r w:rsidR="002F7706">
              <w:t xml:space="preserve">    </w:t>
            </w:r>
          </w:p>
          <w:p w14:paraId="2C31E344" w14:textId="77777777" w:rsidR="000066A3" w:rsidRDefault="000066A3" w:rsidP="000066A3">
            <w:pPr>
              <w:pStyle w:val="ListParagraph"/>
              <w:spacing w:after="0"/>
              <w:ind w:left="360"/>
            </w:pPr>
          </w:p>
          <w:p w14:paraId="1B940AE7" w14:textId="7CD2D231" w:rsidR="00F829E7" w:rsidRPr="00F829E7" w:rsidRDefault="00F829E7" w:rsidP="00E07C20">
            <w:pPr>
              <w:pStyle w:val="ListParagraph"/>
              <w:numPr>
                <w:ilvl w:val="0"/>
                <w:numId w:val="39"/>
              </w:numPr>
              <w:spacing w:after="0"/>
            </w:pPr>
            <w:r w:rsidRPr="00F829E7">
              <w:rPr>
                <w:b/>
                <w:bCs/>
              </w:rPr>
              <w:t>On building resilient and sustainable systems for Health.</w:t>
            </w:r>
            <w:r>
              <w:t xml:space="preserve"> </w:t>
            </w:r>
            <w:r w:rsidR="00A415C0">
              <w:t>Immediate and long</w:t>
            </w:r>
            <w:r w:rsidR="00794135">
              <w:t>-</w:t>
            </w:r>
            <w:r w:rsidR="00A415C0">
              <w:t>term solutions</w:t>
            </w:r>
            <w:r w:rsidR="00CA1FEA">
              <w:t xml:space="preserve"> are needed</w:t>
            </w:r>
            <w:r w:rsidR="00794135">
              <w:t xml:space="preserve"> </w:t>
            </w:r>
            <w:r w:rsidR="00030097">
              <w:t>for</w:t>
            </w:r>
            <w:r w:rsidR="00794135">
              <w:t xml:space="preserve"> </w:t>
            </w:r>
            <w:r w:rsidR="00A415C0">
              <w:t>health system</w:t>
            </w:r>
            <w:r w:rsidR="008E45FF">
              <w:t xml:space="preserve"> elements</w:t>
            </w:r>
            <w:r w:rsidR="00A415C0">
              <w:t xml:space="preserve"> </w:t>
            </w:r>
            <w:r w:rsidR="00794135">
              <w:t>that currently encumber program implementation for TB, HIV/AIDS and Malaria</w:t>
            </w:r>
            <w:r w:rsidR="00030097">
              <w:t xml:space="preserve">: (1) </w:t>
            </w:r>
            <w:r w:rsidR="008E45FF">
              <w:t>I</w:t>
            </w:r>
            <w:r w:rsidR="00030097">
              <w:t>ncreas</w:t>
            </w:r>
            <w:r w:rsidR="008E45FF">
              <w:t xml:space="preserve">e the </w:t>
            </w:r>
            <w:r w:rsidR="00030097">
              <w:t>c</w:t>
            </w:r>
            <w:r>
              <w:t>apacity for procurement at both the national and local levels to prevent/mitigate stock outs</w:t>
            </w:r>
            <w:r w:rsidR="00A415C0">
              <w:t xml:space="preserve"> of medicines and commodities</w:t>
            </w:r>
            <w:r w:rsidR="00030097">
              <w:t>;</w:t>
            </w:r>
            <w:r w:rsidR="00794135">
              <w:t xml:space="preserve"> </w:t>
            </w:r>
            <w:r w:rsidR="00030097">
              <w:t>(2) Reinforce d</w:t>
            </w:r>
            <w:r w:rsidR="00794135">
              <w:t xml:space="preserve">ata-driven decision making </w:t>
            </w:r>
            <w:r w:rsidR="00030097">
              <w:t>by maintaining information systems on logistics, laboratory, and human resources</w:t>
            </w:r>
            <w:r w:rsidR="008E45FF">
              <w:t xml:space="preserve"> and establishing routines for data to drive operations</w:t>
            </w:r>
            <w:r w:rsidR="00030097">
              <w:t xml:space="preserve">; (3) Support advocacy initiatives to improve </w:t>
            </w:r>
            <w:r w:rsidR="00A415C0">
              <w:t>domestic</w:t>
            </w:r>
            <w:r w:rsidR="008E45FF">
              <w:t xml:space="preserve"> sub-national </w:t>
            </w:r>
            <w:r w:rsidR="00A415C0">
              <w:t>resource mobilization to ensure sustainability of efforts currently augmented by donor funding</w:t>
            </w:r>
            <w:r w:rsidR="00030097">
              <w:t>; (4) increase capacity for service level performance management and continuous improvement of care pathways</w:t>
            </w:r>
            <w:r w:rsidR="00D95C97">
              <w:t xml:space="preserve">; and (5) </w:t>
            </w:r>
            <w:r w:rsidR="006D6C8E">
              <w:t>address</w:t>
            </w:r>
            <w:r w:rsidR="00D95C97">
              <w:t xml:space="preserve"> bottlenecks in ensuring adequate and competent human resource for health </w:t>
            </w:r>
            <w:r w:rsidR="006D6C8E">
              <w:t xml:space="preserve">across all levels of the health care delivery system. </w:t>
            </w:r>
          </w:p>
          <w:p w14:paraId="197302AF" w14:textId="77777777" w:rsidR="00F829E7" w:rsidRPr="00F829E7" w:rsidRDefault="00F829E7" w:rsidP="00F829E7">
            <w:pPr>
              <w:pStyle w:val="ListParagraph"/>
              <w:rPr>
                <w:b/>
                <w:bCs/>
              </w:rPr>
            </w:pPr>
          </w:p>
          <w:p w14:paraId="648359CB" w14:textId="58FF70A7" w:rsidR="00C245A7" w:rsidRDefault="00C245A7" w:rsidP="00E07C20">
            <w:pPr>
              <w:pStyle w:val="ListParagraph"/>
              <w:numPr>
                <w:ilvl w:val="0"/>
                <w:numId w:val="39"/>
              </w:numPr>
              <w:spacing w:after="0"/>
            </w:pPr>
            <w:r w:rsidRPr="0007555F">
              <w:rPr>
                <w:b/>
                <w:bCs/>
              </w:rPr>
              <w:t xml:space="preserve">On supporting </w:t>
            </w:r>
            <w:r w:rsidR="0096404A" w:rsidRPr="0007555F">
              <w:rPr>
                <w:b/>
                <w:bCs/>
              </w:rPr>
              <w:t xml:space="preserve">UHC </w:t>
            </w:r>
            <w:r w:rsidRPr="0007555F">
              <w:rPr>
                <w:b/>
                <w:bCs/>
              </w:rPr>
              <w:t>implementation</w:t>
            </w:r>
            <w:r w:rsidR="0007555F" w:rsidRPr="0007555F">
              <w:rPr>
                <w:b/>
                <w:bCs/>
              </w:rPr>
              <w:t xml:space="preserve">. </w:t>
            </w:r>
            <w:r w:rsidR="0007555F">
              <w:t xml:space="preserve">The road to full implementation of </w:t>
            </w:r>
            <w:r w:rsidR="00CA1FEA">
              <w:t>UHC</w:t>
            </w:r>
            <w:r w:rsidR="0007555F">
              <w:t xml:space="preserve"> in the Philippines, as provided by the UHC </w:t>
            </w:r>
            <w:r w:rsidR="008E45FF">
              <w:t>Act</w:t>
            </w:r>
            <w:r w:rsidR="0007555F">
              <w:t xml:space="preserve"> and its implementing rules and regulations is very challenging and will take </w:t>
            </w:r>
            <w:r w:rsidR="008E45FF">
              <w:t xml:space="preserve">a </w:t>
            </w:r>
            <w:r w:rsidR="0007555F">
              <w:t>substantial amount of time. Critical in the process is identifying evidence-based implementation models that will feed policy development and implementation. A critical insight from consultations with key stakeholders is to leverage the FR and other donor projects to optimize the NTP as a tracer program in testing approaches towards technical, manage</w:t>
            </w:r>
            <w:r w:rsidR="008E45FF">
              <w:t>rial</w:t>
            </w:r>
            <w:r w:rsidR="0007555F">
              <w:t xml:space="preserve"> and financial integration</w:t>
            </w:r>
            <w:r w:rsidR="008E45FF">
              <w:t xml:space="preserve"> under UHC.</w:t>
            </w:r>
          </w:p>
          <w:p w14:paraId="36729EAA" w14:textId="546F2AC0" w:rsidR="00C245A7" w:rsidRDefault="00C245A7" w:rsidP="000066A3">
            <w:pPr>
              <w:pStyle w:val="ListParagraph"/>
              <w:spacing w:after="0"/>
              <w:ind w:left="360"/>
            </w:pPr>
          </w:p>
          <w:p w14:paraId="135ABD4F" w14:textId="1BC0526E" w:rsidR="008846BB" w:rsidRDefault="008846BB" w:rsidP="008846BB">
            <w:pPr>
              <w:spacing w:after="0"/>
            </w:pPr>
            <w:r w:rsidRPr="008846BB">
              <w:t>AuTuMN (Australian Tuberculosis Modelling Network) team</w:t>
            </w:r>
            <w:r>
              <w:t xml:space="preserve"> conducted an epidemiological and economic analysis for the DOH-NTP in 2017</w:t>
            </w:r>
            <w:r w:rsidR="0080189C">
              <w:t xml:space="preserve"> t</w:t>
            </w:r>
            <w:r>
              <w:t xml:space="preserve">hrough TGF Special Initiative </w:t>
            </w:r>
            <w:r w:rsidRPr="008846BB">
              <w:t>of Optimizing Value for Money and Financial Sustainability</w:t>
            </w:r>
            <w:r>
              <w:t>. Optimization revealed that s</w:t>
            </w:r>
            <w:r w:rsidRPr="008846BB">
              <w:t xml:space="preserve">ystematic screening in all risk groups including prisoners, urban poor, rural poor, PLHIV and diabetes is the most impactful intervention. Engagement of providers not compliant </w:t>
            </w:r>
            <w:r w:rsidR="00CA1FEA">
              <w:t>with</w:t>
            </w:r>
            <w:r w:rsidRPr="008846BB">
              <w:t xml:space="preserve"> NTP protocol and </w:t>
            </w:r>
            <w:r w:rsidR="008B0651">
              <w:t xml:space="preserve">molecular </w:t>
            </w:r>
            <w:r w:rsidR="005C7854">
              <w:t>TB MOLECULAR TEST</w:t>
            </w:r>
            <w:r w:rsidR="008B0651">
              <w:t>s</w:t>
            </w:r>
            <w:r w:rsidRPr="008846BB">
              <w:t xml:space="preserve"> replacing smear microscopy as primary diagnostic are the second and third most impactful interventions, respectively.</w:t>
            </w:r>
          </w:p>
          <w:p w14:paraId="0FDC594E" w14:textId="0626409D" w:rsidR="008846BB" w:rsidRDefault="008846BB" w:rsidP="008846BB">
            <w:pPr>
              <w:pStyle w:val="ListParagraph"/>
              <w:spacing w:after="0"/>
              <w:ind w:left="360"/>
            </w:pPr>
            <w:r>
              <w:t xml:space="preserve">  </w:t>
            </w:r>
          </w:p>
          <w:p w14:paraId="63B403F5" w14:textId="307EE0CD" w:rsidR="00A321C0" w:rsidRPr="005305D5" w:rsidRDefault="00A321C0" w:rsidP="00311EA8">
            <w:pPr>
              <w:spacing w:after="0"/>
            </w:pPr>
          </w:p>
        </w:tc>
      </w:tr>
    </w:tbl>
    <w:p w14:paraId="7156D3D6" w14:textId="7AEA2026" w:rsidR="00A321C0" w:rsidRPr="00A321C0" w:rsidRDefault="00A321C0" w:rsidP="009B6C0D">
      <w:pPr>
        <w:spacing w:after="0" w:line="0" w:lineRule="auto"/>
        <w:rPr>
          <w:strike/>
        </w:rPr>
      </w:pPr>
    </w:p>
    <w:p w14:paraId="053858ED" w14:textId="26689DCC" w:rsidR="00F53018" w:rsidRDefault="00F53018" w:rsidP="009B6C0D">
      <w:pPr>
        <w:spacing w:after="0" w:line="0" w:lineRule="auto"/>
      </w:pPr>
      <w:r>
        <w:br w:type="page"/>
      </w:r>
    </w:p>
    <w:p w14:paraId="32836519" w14:textId="4853758A" w:rsidR="0098274C" w:rsidRPr="00C92797" w:rsidRDefault="009B6C0D" w:rsidP="009B6C0D">
      <w:pPr>
        <w:pStyle w:val="Heading1"/>
        <w:numPr>
          <w:ilvl w:val="0"/>
          <w:numId w:val="0"/>
        </w:numPr>
        <w:spacing w:before="0"/>
        <w:ind w:left="567" w:hanging="567"/>
      </w:pPr>
      <w:r>
        <w:lastRenderedPageBreak/>
        <w:t xml:space="preserve">Section 2: </w:t>
      </w:r>
      <w:r w:rsidR="0098274C" w:rsidRPr="00C92797">
        <w:t>Funding Request and Prioritization</w:t>
      </w:r>
    </w:p>
    <w:p w14:paraId="30899E89" w14:textId="77777777" w:rsidR="009B6C0D" w:rsidRDefault="009B6C0D" w:rsidP="009B6C0D">
      <w:pPr>
        <w:spacing w:after="0"/>
      </w:pPr>
    </w:p>
    <w:p w14:paraId="307312A3" w14:textId="6E13D8C2" w:rsidR="00250AD1" w:rsidRDefault="000D3875" w:rsidP="009B6C0D">
      <w:pPr>
        <w:spacing w:after="0"/>
      </w:pPr>
      <w:r>
        <w:t xml:space="preserve">To respond to the questions below, refer to the </w:t>
      </w:r>
      <w:r w:rsidRPr="00DD3612">
        <w:rPr>
          <w:i/>
        </w:rPr>
        <w:t>Instructions</w:t>
      </w:r>
      <w:r w:rsidR="00CA301B">
        <w:rPr>
          <w:i/>
        </w:rPr>
        <w:t>,</w:t>
      </w:r>
      <w:r w:rsidRPr="00DD3612">
        <w:rPr>
          <w:i/>
        </w:rPr>
        <w:t xml:space="preserve"> </w:t>
      </w:r>
      <w:r w:rsidR="001C4F53">
        <w:t>as well as national strategy</w:t>
      </w:r>
      <w:r>
        <w:t xml:space="preserve"> documents, </w:t>
      </w:r>
      <w:r w:rsidR="0098274C" w:rsidRPr="005305D5">
        <w:rPr>
          <w:b/>
          <w:bCs/>
        </w:rPr>
        <w:t>Programmatic Gap Table(s), Funding Landscape Table(s), Performance Framework, Budget and Essential Data Table(s)</w:t>
      </w:r>
      <w:r w:rsidR="0098274C" w:rsidRPr="005305D5">
        <w:t xml:space="preserve">. </w:t>
      </w:r>
    </w:p>
    <w:p w14:paraId="239767A8" w14:textId="77777777" w:rsidR="00DE1608" w:rsidRDefault="00DE1608" w:rsidP="009B6C0D">
      <w:pPr>
        <w:spacing w:after="0"/>
      </w:pPr>
    </w:p>
    <w:p w14:paraId="6CE2E43A" w14:textId="2FF011BD" w:rsidR="0098274C" w:rsidRPr="00C92797" w:rsidRDefault="009B6C0D" w:rsidP="009B6C0D">
      <w:pPr>
        <w:pStyle w:val="Heading2"/>
        <w:numPr>
          <w:ilvl w:val="0"/>
          <w:numId w:val="0"/>
        </w:numPr>
        <w:shd w:val="clear" w:color="auto" w:fill="D9D9D9" w:themeFill="background1" w:themeFillShade="D9"/>
        <w:spacing w:before="0" w:after="0" w:line="240" w:lineRule="auto"/>
        <w:ind w:left="567" w:hanging="567"/>
        <w:contextualSpacing/>
      </w:pPr>
      <w:bookmarkStart w:id="10" w:name="_Toc8896984"/>
      <w:r>
        <w:t xml:space="preserve">2.1 </w:t>
      </w:r>
      <w:r w:rsidR="0098274C" w:rsidRPr="00C92797">
        <w:t>Overview of Funding</w:t>
      </w:r>
      <w:bookmarkEnd w:id="10"/>
      <w:r w:rsidR="0098274C">
        <w:t xml:space="preserve"> Priorities</w:t>
      </w:r>
    </w:p>
    <w:p w14:paraId="12976D40" w14:textId="77777777" w:rsidR="009B6C0D" w:rsidRDefault="009B6C0D" w:rsidP="009B6C0D">
      <w:pPr>
        <w:spacing w:after="0" w:line="260" w:lineRule="atLeast"/>
        <w:rPr>
          <w:bCs/>
          <w:iCs/>
        </w:rPr>
      </w:pPr>
    </w:p>
    <w:p w14:paraId="5EC0BBC9" w14:textId="5646E260" w:rsidR="005D2909" w:rsidRDefault="00CA301B" w:rsidP="009B6C0D">
      <w:pPr>
        <w:spacing w:after="0" w:line="260" w:lineRule="atLeast"/>
        <w:rPr>
          <w:bCs/>
          <w:iCs/>
        </w:rPr>
      </w:pPr>
      <w:r>
        <w:rPr>
          <w:bCs/>
          <w:iCs/>
        </w:rPr>
        <w:t>Summarize</w:t>
      </w:r>
      <w:r w:rsidR="005D2909" w:rsidRPr="004F1255">
        <w:rPr>
          <w:bCs/>
          <w:iCs/>
        </w:rPr>
        <w:t xml:space="preserve"> the </w:t>
      </w:r>
      <w:r w:rsidR="005D2909" w:rsidRPr="002F3609">
        <w:rPr>
          <w:b/>
          <w:bCs/>
          <w:iCs/>
        </w:rPr>
        <w:t>approach used for prioritization</w:t>
      </w:r>
      <w:r w:rsidR="003A7307" w:rsidRPr="004F1255">
        <w:rPr>
          <w:bCs/>
          <w:iCs/>
        </w:rPr>
        <w:t xml:space="preserve"> of modules and i</w:t>
      </w:r>
      <w:r w:rsidR="00003615">
        <w:rPr>
          <w:bCs/>
          <w:iCs/>
        </w:rPr>
        <w:t>nterventions (</w:t>
      </w:r>
      <w:r w:rsidR="003A7307" w:rsidRPr="004F1255">
        <w:rPr>
          <w:bCs/>
          <w:iCs/>
        </w:rPr>
        <w:t>or in the case of Payment for Results, the performance indicators and/or milestones</w:t>
      </w:r>
      <w:r w:rsidR="00003615">
        <w:rPr>
          <w:bCs/>
          <w:iCs/>
        </w:rPr>
        <w:t>)</w:t>
      </w:r>
      <w:r w:rsidR="003A7307" w:rsidRPr="004F1255">
        <w:rPr>
          <w:bCs/>
          <w:iCs/>
        </w:rPr>
        <w:t>. The response should include:</w:t>
      </w:r>
    </w:p>
    <w:p w14:paraId="78676A91" w14:textId="77777777" w:rsidR="009B6C0D" w:rsidRPr="004F1255" w:rsidRDefault="009B6C0D" w:rsidP="009B6C0D">
      <w:pPr>
        <w:spacing w:after="0" w:line="260" w:lineRule="atLeast"/>
      </w:pPr>
    </w:p>
    <w:p w14:paraId="2D65B2FA" w14:textId="024C820E" w:rsidR="004F1255" w:rsidRDefault="006D0956" w:rsidP="00E07C20">
      <w:pPr>
        <w:pStyle w:val="ListParagraph"/>
        <w:numPr>
          <w:ilvl w:val="0"/>
          <w:numId w:val="21"/>
        </w:numPr>
        <w:spacing w:after="0" w:line="260" w:lineRule="atLeast"/>
        <w:ind w:left="720" w:hanging="270"/>
      </w:pPr>
      <w:r>
        <w:t>H</w:t>
      </w:r>
      <w:r w:rsidR="00FD28F4">
        <w:t xml:space="preserve">ow these prioritized modules ensure the highest possible impact with a view to ending the </w:t>
      </w:r>
      <w:r w:rsidR="000F55C3">
        <w:t>epidemics of HIV, TB and malaria</w:t>
      </w:r>
      <w:r w:rsidR="00FD28F4">
        <w:t>; and</w:t>
      </w:r>
    </w:p>
    <w:p w14:paraId="344FE4F1" w14:textId="49732EFF" w:rsidR="00FD28F4" w:rsidRDefault="006D0956" w:rsidP="00E07C20">
      <w:pPr>
        <w:pStyle w:val="ListParagraph"/>
        <w:numPr>
          <w:ilvl w:val="0"/>
          <w:numId w:val="21"/>
        </w:numPr>
        <w:spacing w:after="0" w:line="260" w:lineRule="atLeast"/>
        <w:ind w:left="720" w:hanging="270"/>
      </w:pPr>
      <w:r>
        <w:t>H</w:t>
      </w:r>
      <w:r w:rsidR="008C7619">
        <w:t xml:space="preserve">ow challenges, barriers and inequities, including those related to human rights and gender, are being addressed through the modules </w:t>
      </w:r>
      <w:r w:rsidR="00CA301B">
        <w:t xml:space="preserve">prioritized </w:t>
      </w:r>
      <w:r w:rsidR="008C7619">
        <w:t>within this funding request.</w:t>
      </w:r>
    </w:p>
    <w:p w14:paraId="0636ABAF" w14:textId="77777777" w:rsidR="00FD28F4" w:rsidRPr="00C92797" w:rsidRDefault="00FD28F4" w:rsidP="009B6C0D">
      <w:pPr>
        <w:pStyle w:val="ListParagraph"/>
        <w:spacing w:after="0" w:line="260" w:lineRule="atLeast"/>
      </w:pPr>
    </w:p>
    <w:tbl>
      <w:tblPr>
        <w:tblStyle w:val="TableGrid"/>
        <w:tblW w:w="0" w:type="auto"/>
        <w:tblLook w:val="04A0" w:firstRow="1" w:lastRow="0" w:firstColumn="1" w:lastColumn="0" w:noHBand="0" w:noVBand="1"/>
      </w:tblPr>
      <w:tblGrid>
        <w:gridCol w:w="10456"/>
      </w:tblGrid>
      <w:tr w:rsidR="00FD28F4" w:rsidRPr="00C92797" w14:paraId="4833B938" w14:textId="77777777" w:rsidTr="00D63E4B">
        <w:tc>
          <w:tcPr>
            <w:tcW w:w="10790" w:type="dxa"/>
          </w:tcPr>
          <w:p w14:paraId="5B234FED" w14:textId="3CFB67AA" w:rsidR="009A321C" w:rsidRDefault="00394066" w:rsidP="009B6C0D">
            <w:pPr>
              <w:spacing w:after="0"/>
            </w:pPr>
            <w:r>
              <w:t xml:space="preserve">Over-all, the funding request (FR) directly contributes to priority commitments targeted by the Updated PhilSTEP Phase 1. </w:t>
            </w:r>
            <w:r w:rsidR="006D6C8E">
              <w:t xml:space="preserve">These commitments are anchored on the cascade of care approach to find and successfully treat the missing TB cases and to increase coverage of TB Preventive Treatment. </w:t>
            </w:r>
            <w:r w:rsidR="009A321C">
              <w:t>T</w:t>
            </w:r>
            <w:r>
              <w:t xml:space="preserve">he FR  strongly aligns with the (1) </w:t>
            </w:r>
            <w:r w:rsidR="00DA49EE">
              <w:t xml:space="preserve">application focus requirements </w:t>
            </w:r>
            <w:r>
              <w:t xml:space="preserve">detailed in the allocation letter received by the Philippines for TB, (2) TGF Country </w:t>
            </w:r>
            <w:r w:rsidR="00B11236">
              <w:t xml:space="preserve">Portfolio </w:t>
            </w:r>
            <w:r>
              <w:t xml:space="preserve">Analysis, (3) recommendations from the </w:t>
            </w:r>
            <w:r w:rsidR="00D91478">
              <w:t xml:space="preserve">2019 </w:t>
            </w:r>
            <w:r>
              <w:t xml:space="preserve">Joint Program Review, (4) recommendations from key affected population during the various stakeholder consultation sessions in updating the PhilSTEP Phase 1 and </w:t>
            </w:r>
            <w:r w:rsidR="001B19F1">
              <w:t>the Joint Philippine C</w:t>
            </w:r>
            <w:r>
              <w:t xml:space="preserve">ountry </w:t>
            </w:r>
            <w:r w:rsidR="001B19F1">
              <w:t>D</w:t>
            </w:r>
            <w:r>
              <w:t xml:space="preserve">ialogue </w:t>
            </w:r>
            <w:r w:rsidR="001B19F1">
              <w:t>conducted in February 2020</w:t>
            </w:r>
            <w:r>
              <w:t xml:space="preserve">. </w:t>
            </w:r>
          </w:p>
          <w:p w14:paraId="3AEFF51C" w14:textId="77777777" w:rsidR="009A321C" w:rsidRDefault="009A321C" w:rsidP="009B6C0D">
            <w:pPr>
              <w:spacing w:after="0"/>
            </w:pPr>
          </w:p>
          <w:p w14:paraId="37F497F5" w14:textId="0F49248C" w:rsidR="001B19F1" w:rsidRDefault="009A321C" w:rsidP="009B6C0D">
            <w:pPr>
              <w:spacing w:after="0"/>
            </w:pPr>
            <w:r>
              <w:t xml:space="preserve">In addition, the FR </w:t>
            </w:r>
            <w:r w:rsidR="00394066">
              <w:t xml:space="preserve">leverages on key learning and accomplishments of successful interventions </w:t>
            </w:r>
            <w:r w:rsidR="001B19F1">
              <w:t xml:space="preserve">from the </w:t>
            </w:r>
            <w:r w:rsidR="00394066">
              <w:t xml:space="preserve">current </w:t>
            </w:r>
            <w:r w:rsidR="001B19F1">
              <w:t xml:space="preserve">TGF TB </w:t>
            </w:r>
            <w:r w:rsidR="00394066">
              <w:t xml:space="preserve">grant </w:t>
            </w:r>
            <w:r w:rsidR="00B11236">
              <w:t xml:space="preserve">( as detailed in Section 1.3) </w:t>
            </w:r>
            <w:r w:rsidR="00394066">
              <w:t xml:space="preserve">and </w:t>
            </w:r>
            <w:r w:rsidR="001B19F1">
              <w:t xml:space="preserve">strategically placing TGF investment for 2020-2023 to advance UHC implementation, by using the National TB Program as a tracer program to demonstrate operational elements </w:t>
            </w:r>
            <w:r w:rsidR="008E45FF">
              <w:t xml:space="preserve">of </w:t>
            </w:r>
            <w:r w:rsidR="001B19F1">
              <w:t>technical, manage</w:t>
            </w:r>
            <w:r w:rsidR="008E45FF">
              <w:t>rial</w:t>
            </w:r>
            <w:r w:rsidR="001B19F1">
              <w:t xml:space="preserve">, and financial integration </w:t>
            </w:r>
            <w:r w:rsidR="008E45FF">
              <w:t xml:space="preserve">of </w:t>
            </w:r>
            <w:r w:rsidR="001B19F1">
              <w:t>system</w:t>
            </w:r>
            <w:r w:rsidR="008E45FF">
              <w:t>s</w:t>
            </w:r>
            <w:r w:rsidR="001B19F1">
              <w:t xml:space="preserve"> at the province</w:t>
            </w:r>
            <w:r w:rsidR="008E45FF">
              <w:t>/city-wide</w:t>
            </w:r>
            <w:r w:rsidR="001B19F1">
              <w:t xml:space="preserve"> level</w:t>
            </w:r>
            <w:r w:rsidR="008E45FF">
              <w:t>, including their health care provider networks with public and private providers.</w:t>
            </w:r>
          </w:p>
          <w:p w14:paraId="0F5758AB" w14:textId="5CCB4A5D" w:rsidR="008846BB" w:rsidRDefault="008846BB" w:rsidP="005D2FFB">
            <w:pPr>
              <w:spacing w:after="0"/>
            </w:pPr>
          </w:p>
          <w:p w14:paraId="333CE0A7" w14:textId="0D65A428" w:rsidR="005D2FFB" w:rsidRDefault="005D2FFB" w:rsidP="005D2FFB">
            <w:pPr>
              <w:spacing w:after="0"/>
            </w:pPr>
            <w:r>
              <w:t xml:space="preserve">The country adopted a multi-stakeholder and participatory approach in prioritizing interventions to be included in the FR, ensuring that key affected population, public and private health care providers, civil society organizations, government leaders, and other interest groups were given a voice in the entire  prioritization &amp; allocation process. </w:t>
            </w:r>
          </w:p>
          <w:p w14:paraId="418330B3" w14:textId="77777777" w:rsidR="005D2FFB" w:rsidRDefault="005D2FFB" w:rsidP="005D2FFB">
            <w:pPr>
              <w:spacing w:after="0"/>
            </w:pPr>
          </w:p>
          <w:p w14:paraId="60F0082F" w14:textId="77777777" w:rsidR="005D2FFB" w:rsidRDefault="005D2FFB" w:rsidP="005D2FFB">
            <w:pPr>
              <w:spacing w:after="0"/>
            </w:pPr>
            <w:r>
              <w:t xml:space="preserve">As a guiding principle, the FR was allocated to cost items that complements the current limitations in the use of government funds &amp; other donor investments. Critically, evidence-based key interventions were selected to directly contribute to national targets. RSSH initiatives were also selected to support creation of an enabling environment to sustain the effort in the medium and long term.  </w:t>
            </w:r>
          </w:p>
          <w:p w14:paraId="43CD2B12" w14:textId="77777777" w:rsidR="005D2FFB" w:rsidRDefault="005D2FFB" w:rsidP="009B6C0D">
            <w:pPr>
              <w:spacing w:after="0"/>
            </w:pPr>
          </w:p>
          <w:p w14:paraId="05F215D9" w14:textId="77777777" w:rsidR="005D2FFB" w:rsidRDefault="005D2FFB" w:rsidP="009B6C0D">
            <w:pPr>
              <w:spacing w:after="0"/>
            </w:pPr>
          </w:p>
          <w:p w14:paraId="00E2EA6C" w14:textId="30FA1B32" w:rsidR="00D91478" w:rsidRDefault="00D91478" w:rsidP="009B6C0D">
            <w:pPr>
              <w:spacing w:after="0"/>
            </w:pPr>
            <w:r>
              <w:t>The approach used for prioritization followed this process:</w:t>
            </w:r>
          </w:p>
          <w:p w14:paraId="1D009A9D" w14:textId="122BDF69" w:rsidR="00D91478" w:rsidRDefault="00D91478" w:rsidP="009B6C0D">
            <w:pPr>
              <w:spacing w:after="0"/>
            </w:pPr>
          </w:p>
          <w:p w14:paraId="382689B3" w14:textId="27DDC95D" w:rsidR="00D91478" w:rsidRDefault="00D91478" w:rsidP="00E07C20">
            <w:pPr>
              <w:pStyle w:val="ListParagraph"/>
              <w:numPr>
                <w:ilvl w:val="0"/>
                <w:numId w:val="29"/>
              </w:numPr>
              <w:spacing w:after="0"/>
            </w:pPr>
            <w:r>
              <w:t>NTP Joint Program Review, October 2019</w:t>
            </w:r>
          </w:p>
          <w:p w14:paraId="67CBD250" w14:textId="5B8EBC3A" w:rsidR="00D91478" w:rsidRDefault="00D91478" w:rsidP="00E07C20">
            <w:pPr>
              <w:pStyle w:val="ListParagraph"/>
              <w:numPr>
                <w:ilvl w:val="0"/>
                <w:numId w:val="29"/>
              </w:numPr>
              <w:spacing w:after="0"/>
            </w:pPr>
            <w:r>
              <w:t>PhilSTEP 1 Updating Workshop</w:t>
            </w:r>
            <w:r w:rsidR="00001408">
              <w:t xml:space="preserve"> by core group/experts</w:t>
            </w:r>
            <w:r>
              <w:t xml:space="preserve">, November </w:t>
            </w:r>
            <w:r w:rsidR="00001408">
              <w:t xml:space="preserve">27-29, </w:t>
            </w:r>
            <w:r>
              <w:t xml:space="preserve">2019  </w:t>
            </w:r>
          </w:p>
          <w:p w14:paraId="4F53A6AF" w14:textId="7A166298" w:rsidR="00D91478" w:rsidRPr="00311EA8" w:rsidRDefault="00D91478" w:rsidP="00E07C20">
            <w:pPr>
              <w:pStyle w:val="ListParagraph"/>
              <w:numPr>
                <w:ilvl w:val="0"/>
                <w:numId w:val="29"/>
              </w:numPr>
              <w:spacing w:after="0"/>
            </w:pPr>
            <w:r w:rsidRPr="00311EA8">
              <w:t xml:space="preserve">Consultation </w:t>
            </w:r>
            <w:r w:rsidR="00001408" w:rsidRPr="00311EA8">
              <w:t xml:space="preserve">session with KAP </w:t>
            </w:r>
            <w:r w:rsidRPr="00311EA8">
              <w:t>on the draft updated PhilSTEP 1, Dec 2019</w:t>
            </w:r>
          </w:p>
          <w:p w14:paraId="7C725F32" w14:textId="59128594" w:rsidR="00D91478" w:rsidRPr="00311EA8" w:rsidRDefault="00D91478" w:rsidP="00E07C20">
            <w:pPr>
              <w:pStyle w:val="ListParagraph"/>
              <w:numPr>
                <w:ilvl w:val="0"/>
                <w:numId w:val="29"/>
              </w:numPr>
              <w:spacing w:after="0"/>
            </w:pPr>
            <w:r w:rsidRPr="00311EA8">
              <w:t xml:space="preserve">Consultation </w:t>
            </w:r>
            <w:r w:rsidR="00001408" w:rsidRPr="00311EA8">
              <w:t xml:space="preserve">with CSO </w:t>
            </w:r>
            <w:r w:rsidRPr="00311EA8">
              <w:t>on the draft updated PhilSTEP 1, Dec 2019</w:t>
            </w:r>
          </w:p>
          <w:p w14:paraId="2A071945" w14:textId="77777777" w:rsidR="00001408" w:rsidRPr="00311EA8" w:rsidRDefault="00001408" w:rsidP="00E07C20">
            <w:pPr>
              <w:pStyle w:val="ListParagraph"/>
              <w:numPr>
                <w:ilvl w:val="0"/>
                <w:numId w:val="29"/>
              </w:numPr>
              <w:spacing w:after="0"/>
            </w:pPr>
            <w:r w:rsidRPr="00311EA8">
              <w:t>Consultation with Providers on the draft updated PhilSTEP 1, January 2020</w:t>
            </w:r>
          </w:p>
          <w:p w14:paraId="4C30B2EB" w14:textId="77777777" w:rsidR="006D6C8E" w:rsidRDefault="00001408" w:rsidP="00E07C20">
            <w:pPr>
              <w:pStyle w:val="ListParagraph"/>
              <w:numPr>
                <w:ilvl w:val="0"/>
                <w:numId w:val="29"/>
              </w:numPr>
              <w:spacing w:after="0"/>
            </w:pPr>
            <w:r w:rsidRPr="00311EA8">
              <w:t xml:space="preserve">Consultation with the National Coordinating Council, </w:t>
            </w:r>
            <w:r w:rsidR="006D6C8E">
              <w:t>February</w:t>
            </w:r>
            <w:r w:rsidRPr="00311EA8">
              <w:t xml:space="preserve"> 2020</w:t>
            </w:r>
          </w:p>
          <w:p w14:paraId="23A23A10" w14:textId="3874ABD1" w:rsidR="00D91478" w:rsidRPr="00311EA8" w:rsidRDefault="006D6C8E" w:rsidP="00E07C20">
            <w:pPr>
              <w:pStyle w:val="ListParagraph"/>
              <w:numPr>
                <w:ilvl w:val="0"/>
                <w:numId w:val="29"/>
              </w:numPr>
              <w:spacing w:after="0"/>
            </w:pPr>
            <w:r>
              <w:t>Consultation with DOH Regional Coordinators, February/March 2020</w:t>
            </w:r>
            <w:r w:rsidR="00001408" w:rsidRPr="00311EA8">
              <w:t xml:space="preserve">  </w:t>
            </w:r>
          </w:p>
          <w:p w14:paraId="3086EA56" w14:textId="214BAEC9" w:rsidR="00001408" w:rsidRDefault="00001408" w:rsidP="00E07C20">
            <w:pPr>
              <w:pStyle w:val="ListParagraph"/>
              <w:numPr>
                <w:ilvl w:val="0"/>
                <w:numId w:val="29"/>
              </w:numPr>
              <w:spacing w:after="0"/>
            </w:pPr>
            <w:r>
              <w:t>Joint Philippine Country Dialogue, January 13-16, 2020</w:t>
            </w:r>
          </w:p>
          <w:p w14:paraId="6F7D23C4" w14:textId="0E2FF390" w:rsidR="00001408" w:rsidRDefault="00001408" w:rsidP="00E07C20">
            <w:pPr>
              <w:pStyle w:val="ListParagraph"/>
              <w:numPr>
                <w:ilvl w:val="0"/>
                <w:numId w:val="29"/>
              </w:numPr>
              <w:spacing w:after="0"/>
            </w:pPr>
            <w:r>
              <w:t xml:space="preserve">FR for TB </w:t>
            </w:r>
            <w:r w:rsidR="00DC2641">
              <w:t>t</w:t>
            </w:r>
            <w:r>
              <w:t xml:space="preserve">argeting </w:t>
            </w:r>
            <w:r w:rsidR="00DC2641">
              <w:t>s</w:t>
            </w:r>
            <w:r>
              <w:t>ession, January 23, 2020</w:t>
            </w:r>
          </w:p>
          <w:p w14:paraId="2C97F1B3" w14:textId="52E7B48F" w:rsidR="00001408" w:rsidRDefault="00001408" w:rsidP="00E07C20">
            <w:pPr>
              <w:pStyle w:val="ListParagraph"/>
              <w:numPr>
                <w:ilvl w:val="0"/>
                <w:numId w:val="29"/>
              </w:numPr>
              <w:spacing w:after="0"/>
            </w:pPr>
            <w:r>
              <w:t xml:space="preserve">FR for TB </w:t>
            </w:r>
            <w:r w:rsidR="00DC2641">
              <w:t>technical w</w:t>
            </w:r>
            <w:r>
              <w:t xml:space="preserve">riting </w:t>
            </w:r>
            <w:r w:rsidR="00DC2641">
              <w:t>w</w:t>
            </w:r>
            <w:r>
              <w:t xml:space="preserve">orkshop, February </w:t>
            </w:r>
            <w:r w:rsidR="00DC2641">
              <w:t>26-28, 2020</w:t>
            </w:r>
          </w:p>
          <w:p w14:paraId="0753A743" w14:textId="67A5AA62" w:rsidR="00D91478" w:rsidRDefault="00DC2641" w:rsidP="00E07C20">
            <w:pPr>
              <w:pStyle w:val="ListParagraph"/>
              <w:numPr>
                <w:ilvl w:val="0"/>
                <w:numId w:val="29"/>
              </w:numPr>
              <w:spacing w:after="0"/>
            </w:pPr>
            <w:r>
              <w:t>FR review by TB TWG (WHO, USAID, NTP), PCOC, and TGF CT, March 6-13, 2020</w:t>
            </w:r>
          </w:p>
          <w:p w14:paraId="76C72AE4" w14:textId="21FA68FA" w:rsidR="00DC2641" w:rsidRDefault="00DC2641" w:rsidP="00E07C20">
            <w:pPr>
              <w:pStyle w:val="ListParagraph"/>
              <w:numPr>
                <w:ilvl w:val="0"/>
                <w:numId w:val="29"/>
              </w:numPr>
              <w:spacing w:after="0"/>
            </w:pPr>
            <w:r>
              <w:t>F</w:t>
            </w:r>
            <w:r w:rsidR="009A321C">
              <w:t>R</w:t>
            </w:r>
            <w:r>
              <w:t xml:space="preserve"> revision to final version, March 16-17, 2020 </w:t>
            </w:r>
          </w:p>
          <w:p w14:paraId="19737EB9" w14:textId="6B1AE19B" w:rsidR="00DC2641" w:rsidRDefault="00DC2641" w:rsidP="00E07C20">
            <w:pPr>
              <w:pStyle w:val="ListParagraph"/>
              <w:numPr>
                <w:ilvl w:val="0"/>
                <w:numId w:val="29"/>
              </w:numPr>
              <w:spacing w:after="0"/>
            </w:pPr>
            <w:r>
              <w:lastRenderedPageBreak/>
              <w:t>PCCM presentation and endorsement of FR for TB, 18 March 2020</w:t>
            </w:r>
          </w:p>
          <w:p w14:paraId="31CE3409" w14:textId="075D27C9" w:rsidR="00DC2641" w:rsidRDefault="00DC2641" w:rsidP="00E07C20">
            <w:pPr>
              <w:pStyle w:val="ListParagraph"/>
              <w:numPr>
                <w:ilvl w:val="0"/>
                <w:numId w:val="29"/>
              </w:numPr>
              <w:spacing w:after="0"/>
            </w:pPr>
            <w:r>
              <w:t xml:space="preserve">Packaging and submission of FR for TB to TGF, 20 March 2020 </w:t>
            </w:r>
          </w:p>
          <w:p w14:paraId="0EA38C31" w14:textId="3345D9CA" w:rsidR="00E5183C" w:rsidRDefault="00E5183C" w:rsidP="009B6C0D">
            <w:pPr>
              <w:spacing w:after="0"/>
            </w:pPr>
          </w:p>
          <w:p w14:paraId="08758539" w14:textId="58955F29" w:rsidR="00E5183C" w:rsidRDefault="00E5183C" w:rsidP="00E5183C">
            <w:pPr>
              <w:spacing w:after="0"/>
            </w:pPr>
            <w:r>
              <w:t xml:space="preserve">In a nutshell, </w:t>
            </w:r>
          </w:p>
          <w:p w14:paraId="75709609" w14:textId="77777777" w:rsidR="00E5183C" w:rsidRDefault="00E5183C" w:rsidP="00E5183C">
            <w:pPr>
              <w:spacing w:after="0"/>
            </w:pPr>
          </w:p>
          <w:p w14:paraId="2CC74B83" w14:textId="3A69C186" w:rsidR="00E5183C" w:rsidRPr="00835265" w:rsidRDefault="00E5183C" w:rsidP="00E07C20">
            <w:pPr>
              <w:pStyle w:val="ListParagraph"/>
              <w:numPr>
                <w:ilvl w:val="0"/>
                <w:numId w:val="30"/>
              </w:numPr>
              <w:spacing w:after="0"/>
            </w:pPr>
            <w:bookmarkStart w:id="11" w:name="_Hlk35006546"/>
            <w:bookmarkStart w:id="12" w:name="_Hlk35006637"/>
            <w:r w:rsidRPr="00835265">
              <w:rPr>
                <w:b/>
                <w:bCs/>
                <w:sz w:val="24"/>
                <w:szCs w:val="24"/>
              </w:rPr>
              <w:t xml:space="preserve">About </w:t>
            </w:r>
            <w:r w:rsidR="00F21724" w:rsidRPr="00835265">
              <w:rPr>
                <w:b/>
                <w:bCs/>
                <w:sz w:val="24"/>
                <w:szCs w:val="24"/>
              </w:rPr>
              <w:t>5</w:t>
            </w:r>
            <w:r w:rsidR="00FE4242" w:rsidRPr="00835265">
              <w:rPr>
                <w:b/>
                <w:bCs/>
                <w:sz w:val="24"/>
                <w:szCs w:val="24"/>
              </w:rPr>
              <w:t>8</w:t>
            </w:r>
            <w:r w:rsidRPr="00835265">
              <w:rPr>
                <w:b/>
                <w:bCs/>
                <w:sz w:val="24"/>
                <w:szCs w:val="24"/>
              </w:rPr>
              <w:t>%</w:t>
            </w:r>
            <w:r w:rsidR="003122E8" w:rsidRPr="00835265">
              <w:rPr>
                <w:b/>
                <w:bCs/>
                <w:sz w:val="24"/>
                <w:szCs w:val="24"/>
              </w:rPr>
              <w:t xml:space="preserve"> </w:t>
            </w:r>
            <w:r w:rsidR="00311EA8" w:rsidRPr="00835265">
              <w:rPr>
                <w:b/>
                <w:bCs/>
                <w:sz w:val="24"/>
                <w:szCs w:val="24"/>
              </w:rPr>
              <w:t>(</w:t>
            </w:r>
            <w:r w:rsidR="00F21724" w:rsidRPr="00835265">
              <w:rPr>
                <w:b/>
                <w:bCs/>
                <w:sz w:val="24"/>
                <w:szCs w:val="24"/>
              </w:rPr>
              <w:t>USD 7</w:t>
            </w:r>
            <w:r w:rsidR="00FE4242" w:rsidRPr="00835265">
              <w:rPr>
                <w:b/>
                <w:bCs/>
                <w:sz w:val="24"/>
                <w:szCs w:val="24"/>
              </w:rPr>
              <w:t>4</w:t>
            </w:r>
            <w:r w:rsidR="00F21724" w:rsidRPr="00835265">
              <w:rPr>
                <w:b/>
                <w:bCs/>
                <w:sz w:val="24"/>
                <w:szCs w:val="24"/>
              </w:rPr>
              <w:t>,</w:t>
            </w:r>
            <w:r w:rsidR="00FE4242" w:rsidRPr="00835265">
              <w:rPr>
                <w:b/>
                <w:bCs/>
                <w:sz w:val="24"/>
                <w:szCs w:val="24"/>
              </w:rPr>
              <w:t>291</w:t>
            </w:r>
            <w:r w:rsidR="00F21724" w:rsidRPr="00835265">
              <w:rPr>
                <w:b/>
                <w:bCs/>
                <w:sz w:val="24"/>
                <w:szCs w:val="24"/>
              </w:rPr>
              <w:t>,</w:t>
            </w:r>
            <w:r w:rsidR="00FE4242" w:rsidRPr="00835265">
              <w:rPr>
                <w:b/>
                <w:bCs/>
                <w:sz w:val="24"/>
                <w:szCs w:val="24"/>
              </w:rPr>
              <w:t>746</w:t>
            </w:r>
            <w:r w:rsidR="00311EA8" w:rsidRPr="00835265">
              <w:rPr>
                <w:b/>
                <w:bCs/>
                <w:sz w:val="24"/>
                <w:szCs w:val="24"/>
              </w:rPr>
              <w:t>)</w:t>
            </w:r>
            <w:r w:rsidR="00311EA8" w:rsidRPr="00835265">
              <w:rPr>
                <w:sz w:val="28"/>
                <w:szCs w:val="28"/>
              </w:rPr>
              <w:t xml:space="preserve"> </w:t>
            </w:r>
            <w:r w:rsidRPr="00835265">
              <w:t>of the FR will support MDR</w:t>
            </w:r>
            <w:r w:rsidR="00903374" w:rsidRPr="00835265">
              <w:t xml:space="preserve"> </w:t>
            </w:r>
            <w:r w:rsidRPr="00835265">
              <w:t xml:space="preserve">TB case detection and management. This is critical as the government maintains 100% cost coverage for DSTB case detection and management, while setting up its systems to increasing resources for DRTB case management. </w:t>
            </w:r>
          </w:p>
          <w:p w14:paraId="072A6977" w14:textId="77777777" w:rsidR="00E5183C" w:rsidRPr="00835265" w:rsidRDefault="00E5183C" w:rsidP="00E5183C">
            <w:pPr>
              <w:pStyle w:val="ListParagraph"/>
              <w:spacing w:after="0"/>
            </w:pPr>
          </w:p>
          <w:p w14:paraId="4526C014" w14:textId="23370561" w:rsidR="00E5183C" w:rsidRPr="00835265" w:rsidRDefault="00E5183C" w:rsidP="00E07C20">
            <w:pPr>
              <w:pStyle w:val="ListParagraph"/>
              <w:numPr>
                <w:ilvl w:val="0"/>
                <w:numId w:val="30"/>
              </w:numPr>
              <w:spacing w:after="0"/>
            </w:pPr>
            <w:r w:rsidRPr="00835265">
              <w:rPr>
                <w:b/>
                <w:bCs/>
                <w:sz w:val="24"/>
                <w:szCs w:val="24"/>
              </w:rPr>
              <w:t>About 2</w:t>
            </w:r>
            <w:r w:rsidR="00F21724" w:rsidRPr="00835265">
              <w:rPr>
                <w:b/>
                <w:bCs/>
                <w:sz w:val="24"/>
                <w:szCs w:val="24"/>
              </w:rPr>
              <w:t>4</w:t>
            </w:r>
            <w:r w:rsidRPr="00835265">
              <w:rPr>
                <w:b/>
                <w:bCs/>
                <w:sz w:val="24"/>
                <w:szCs w:val="24"/>
              </w:rPr>
              <w:t>%</w:t>
            </w:r>
            <w:r w:rsidR="00311EA8" w:rsidRPr="00835265">
              <w:rPr>
                <w:b/>
                <w:bCs/>
                <w:sz w:val="24"/>
                <w:szCs w:val="24"/>
              </w:rPr>
              <w:t xml:space="preserve"> (USD </w:t>
            </w:r>
            <w:r w:rsidR="00F21724" w:rsidRPr="00835265">
              <w:rPr>
                <w:b/>
                <w:bCs/>
                <w:sz w:val="24"/>
                <w:szCs w:val="24"/>
              </w:rPr>
              <w:t>3</w:t>
            </w:r>
            <w:r w:rsidR="00FE4242" w:rsidRPr="00835265">
              <w:rPr>
                <w:b/>
                <w:bCs/>
                <w:sz w:val="24"/>
                <w:szCs w:val="24"/>
              </w:rPr>
              <w:t>0</w:t>
            </w:r>
            <w:r w:rsidR="00F21724" w:rsidRPr="00835265">
              <w:rPr>
                <w:b/>
                <w:bCs/>
                <w:sz w:val="24"/>
                <w:szCs w:val="24"/>
              </w:rPr>
              <w:t>,</w:t>
            </w:r>
            <w:r w:rsidR="00FE4242" w:rsidRPr="00835265">
              <w:rPr>
                <w:b/>
                <w:bCs/>
                <w:sz w:val="24"/>
                <w:szCs w:val="24"/>
              </w:rPr>
              <w:t>575,894</w:t>
            </w:r>
            <w:r w:rsidR="00311EA8" w:rsidRPr="00835265">
              <w:rPr>
                <w:b/>
                <w:bCs/>
                <w:sz w:val="24"/>
                <w:szCs w:val="24"/>
              </w:rPr>
              <w:t>)</w:t>
            </w:r>
            <w:r w:rsidR="00311EA8" w:rsidRPr="00835265">
              <w:rPr>
                <w:sz w:val="24"/>
                <w:szCs w:val="24"/>
              </w:rPr>
              <w:t xml:space="preserve"> </w:t>
            </w:r>
            <w:r w:rsidRPr="00835265">
              <w:t xml:space="preserve">of the FR will be used to support finding the missing TB cases through (1)  active, intensified, and enhanced case finding interventions among high risk groups (PLHIV, patient contacts, </w:t>
            </w:r>
            <w:r w:rsidR="00721D89" w:rsidRPr="00835265">
              <w:t>PDL</w:t>
            </w:r>
            <w:r w:rsidRPr="00835265">
              <w:t>, and urban poor), (2) engaging private health providers to comply with the mandatory case notification, outcome reporting, and compliance to the NTP Diagnostics and treatment protocols, and (3) introducing &amp; scaling up adoption of innovative TB preventive therapy among P</w:t>
            </w:r>
            <w:r w:rsidR="00903374" w:rsidRPr="00835265">
              <w:t>L</w:t>
            </w:r>
            <w:r w:rsidRPr="00835265">
              <w:t xml:space="preserve">HIV and patient contacts. </w:t>
            </w:r>
          </w:p>
          <w:p w14:paraId="7AA3A83D" w14:textId="77777777" w:rsidR="00E5183C" w:rsidRPr="00835265" w:rsidRDefault="00E5183C" w:rsidP="00E5183C">
            <w:pPr>
              <w:pStyle w:val="ListParagraph"/>
            </w:pPr>
          </w:p>
          <w:p w14:paraId="3E672D6B" w14:textId="4EC5B9A1" w:rsidR="00CA1FEA" w:rsidRPr="00835265" w:rsidRDefault="00E5183C" w:rsidP="00E07C20">
            <w:pPr>
              <w:pStyle w:val="ListParagraph"/>
              <w:numPr>
                <w:ilvl w:val="0"/>
                <w:numId w:val="30"/>
              </w:numPr>
              <w:spacing w:after="0"/>
            </w:pPr>
            <w:r w:rsidRPr="00835265">
              <w:rPr>
                <w:b/>
                <w:bCs/>
                <w:sz w:val="24"/>
                <w:szCs w:val="24"/>
              </w:rPr>
              <w:t xml:space="preserve">About 4% </w:t>
            </w:r>
            <w:r w:rsidR="003122E8" w:rsidRPr="00835265">
              <w:rPr>
                <w:b/>
                <w:bCs/>
                <w:sz w:val="24"/>
                <w:szCs w:val="24"/>
              </w:rPr>
              <w:t>(USD 4</w:t>
            </w:r>
            <w:r w:rsidR="00F21724" w:rsidRPr="00835265">
              <w:rPr>
                <w:b/>
                <w:bCs/>
                <w:sz w:val="24"/>
                <w:szCs w:val="24"/>
              </w:rPr>
              <w:t>,</w:t>
            </w:r>
            <w:r w:rsidR="00FE4242" w:rsidRPr="00835265">
              <w:rPr>
                <w:b/>
                <w:bCs/>
                <w:sz w:val="24"/>
                <w:szCs w:val="24"/>
              </w:rPr>
              <w:t>527</w:t>
            </w:r>
            <w:r w:rsidR="00F21724" w:rsidRPr="00835265">
              <w:rPr>
                <w:b/>
                <w:bCs/>
                <w:sz w:val="24"/>
                <w:szCs w:val="24"/>
              </w:rPr>
              <w:t>,</w:t>
            </w:r>
            <w:r w:rsidR="00FE4242" w:rsidRPr="00835265">
              <w:rPr>
                <w:b/>
                <w:bCs/>
                <w:sz w:val="24"/>
                <w:szCs w:val="24"/>
              </w:rPr>
              <w:t>759</w:t>
            </w:r>
            <w:r w:rsidR="003122E8" w:rsidRPr="00835265">
              <w:rPr>
                <w:b/>
                <w:bCs/>
                <w:sz w:val="24"/>
                <w:szCs w:val="24"/>
              </w:rPr>
              <w:t>)</w:t>
            </w:r>
            <w:r w:rsidR="003122E8" w:rsidRPr="00835265">
              <w:rPr>
                <w:sz w:val="24"/>
                <w:szCs w:val="24"/>
              </w:rPr>
              <w:t xml:space="preserve"> </w:t>
            </w:r>
            <w:r w:rsidRPr="00835265">
              <w:t xml:space="preserve">of the FR will be allocated to ensuring TB-HIV co-management is delivered in all TB care facilities and HIV treatment hubs nationwide. </w:t>
            </w:r>
          </w:p>
          <w:p w14:paraId="17464A2D" w14:textId="77777777" w:rsidR="00CA1FEA" w:rsidRPr="00835265" w:rsidRDefault="00CA1FEA" w:rsidP="00CA1FEA">
            <w:pPr>
              <w:pStyle w:val="ListParagraph"/>
            </w:pPr>
          </w:p>
          <w:p w14:paraId="6259EE5D" w14:textId="53A3A792" w:rsidR="00E5183C" w:rsidRPr="00835265" w:rsidRDefault="00CA1FEA" w:rsidP="00E07C20">
            <w:pPr>
              <w:pStyle w:val="ListParagraph"/>
              <w:numPr>
                <w:ilvl w:val="0"/>
                <w:numId w:val="30"/>
              </w:numPr>
              <w:spacing w:after="0"/>
            </w:pPr>
            <w:r w:rsidRPr="00835265">
              <w:rPr>
                <w:b/>
                <w:bCs/>
                <w:sz w:val="24"/>
                <w:szCs w:val="24"/>
              </w:rPr>
              <w:t xml:space="preserve">About </w:t>
            </w:r>
            <w:r w:rsidR="006C728E" w:rsidRPr="00835265">
              <w:rPr>
                <w:b/>
                <w:bCs/>
                <w:sz w:val="24"/>
                <w:szCs w:val="24"/>
              </w:rPr>
              <w:t>6</w:t>
            </w:r>
            <w:r w:rsidRPr="00835265">
              <w:rPr>
                <w:b/>
                <w:bCs/>
                <w:sz w:val="24"/>
                <w:szCs w:val="24"/>
              </w:rPr>
              <w:t xml:space="preserve">% (USD </w:t>
            </w:r>
            <w:r w:rsidR="00FE4242" w:rsidRPr="00835265">
              <w:rPr>
                <w:b/>
                <w:bCs/>
                <w:sz w:val="24"/>
                <w:szCs w:val="24"/>
              </w:rPr>
              <w:t>9,337,690</w:t>
            </w:r>
            <w:r w:rsidRPr="00835265">
              <w:rPr>
                <w:b/>
                <w:bCs/>
                <w:sz w:val="24"/>
                <w:szCs w:val="24"/>
              </w:rPr>
              <w:t xml:space="preserve">) </w:t>
            </w:r>
            <w:r w:rsidRPr="00835265">
              <w:t>of the FR</w:t>
            </w:r>
            <w:r w:rsidR="00E5183C" w:rsidRPr="00835265">
              <w:t xml:space="preserve"> will be allocated to cross cutting interventions to support RSSH interventions relative to improving procurement &amp; supply chain management systems, improving public health financial management systems, improving interoperable management information systems, and addressing specific human rights and gender related concerns. </w:t>
            </w:r>
          </w:p>
          <w:p w14:paraId="42FD14EA" w14:textId="77777777" w:rsidR="00FE4242" w:rsidRPr="00835265" w:rsidRDefault="00FE4242" w:rsidP="00FE4242">
            <w:pPr>
              <w:pStyle w:val="ListParagraph"/>
            </w:pPr>
          </w:p>
          <w:p w14:paraId="7D95A39A" w14:textId="01D2EACB" w:rsidR="00FE4242" w:rsidRPr="00835265" w:rsidRDefault="00FE4242" w:rsidP="00FE4242">
            <w:pPr>
              <w:pStyle w:val="ListParagraph"/>
              <w:numPr>
                <w:ilvl w:val="2"/>
                <w:numId w:val="30"/>
              </w:numPr>
              <w:spacing w:after="0"/>
            </w:pPr>
            <w:r w:rsidRPr="00835265">
              <w:t>HMIS &amp; ME: 2,608,394</w:t>
            </w:r>
          </w:p>
          <w:p w14:paraId="1386172F" w14:textId="74E9A02B" w:rsidR="00FE4242" w:rsidRPr="00835265" w:rsidRDefault="00FE4242" w:rsidP="00FE4242">
            <w:pPr>
              <w:pStyle w:val="ListParagraph"/>
              <w:numPr>
                <w:ilvl w:val="2"/>
                <w:numId w:val="30"/>
              </w:numPr>
              <w:spacing w:after="0"/>
            </w:pPr>
            <w:r w:rsidRPr="00835265">
              <w:t>HPMS: 985,895</w:t>
            </w:r>
          </w:p>
          <w:p w14:paraId="27C45368" w14:textId="77777777" w:rsidR="008D5A79" w:rsidRPr="00835265" w:rsidRDefault="00FE4242" w:rsidP="008D5A79">
            <w:pPr>
              <w:pStyle w:val="ListParagraph"/>
              <w:numPr>
                <w:ilvl w:val="2"/>
                <w:numId w:val="30"/>
              </w:numPr>
              <w:spacing w:after="0"/>
            </w:pPr>
            <w:r w:rsidRPr="00835265">
              <w:t>HSGP: 1,478,843</w:t>
            </w:r>
            <w:r w:rsidR="008D5A79" w:rsidRPr="00835265">
              <w:t xml:space="preserve"> </w:t>
            </w:r>
          </w:p>
          <w:p w14:paraId="41B2920C" w14:textId="7FC4F864" w:rsidR="00FE4242" w:rsidRPr="00835265" w:rsidRDefault="008D5A79" w:rsidP="008D5A79">
            <w:pPr>
              <w:pStyle w:val="ListParagraph"/>
              <w:numPr>
                <w:ilvl w:val="2"/>
                <w:numId w:val="30"/>
              </w:numPr>
              <w:spacing w:after="0"/>
            </w:pPr>
            <w:r w:rsidRPr="00835265">
              <w:t>Lab Strengthening: 3,240,000</w:t>
            </w:r>
          </w:p>
          <w:p w14:paraId="1BA1FAB7" w14:textId="0E9E4983" w:rsidR="00FE4242" w:rsidRPr="00835265" w:rsidRDefault="00FE4242" w:rsidP="00FE4242">
            <w:pPr>
              <w:pStyle w:val="ListParagraph"/>
              <w:numPr>
                <w:ilvl w:val="2"/>
                <w:numId w:val="30"/>
              </w:numPr>
              <w:spacing w:after="0"/>
            </w:pPr>
            <w:r w:rsidRPr="00835265">
              <w:t>HR: 1,024,558</w:t>
            </w:r>
          </w:p>
          <w:p w14:paraId="2F1A622B" w14:textId="77777777" w:rsidR="00E5183C" w:rsidRPr="00835265" w:rsidRDefault="00E5183C" w:rsidP="00E5183C">
            <w:pPr>
              <w:pStyle w:val="ListParagraph"/>
            </w:pPr>
          </w:p>
          <w:p w14:paraId="1AED1A4E" w14:textId="61FA7946" w:rsidR="00E5183C" w:rsidRPr="00835265" w:rsidRDefault="00E5183C" w:rsidP="00E07C20">
            <w:pPr>
              <w:pStyle w:val="ListParagraph"/>
              <w:numPr>
                <w:ilvl w:val="0"/>
                <w:numId w:val="30"/>
              </w:numPr>
              <w:spacing w:after="0"/>
            </w:pPr>
            <w:r w:rsidRPr="00835265">
              <w:rPr>
                <w:b/>
                <w:bCs/>
                <w:sz w:val="24"/>
                <w:szCs w:val="24"/>
              </w:rPr>
              <w:t xml:space="preserve">About </w:t>
            </w:r>
            <w:r w:rsidR="00FE4242" w:rsidRPr="00835265">
              <w:rPr>
                <w:b/>
                <w:bCs/>
                <w:sz w:val="24"/>
                <w:szCs w:val="24"/>
              </w:rPr>
              <w:t>8</w:t>
            </w:r>
            <w:r w:rsidRPr="00835265">
              <w:rPr>
                <w:b/>
                <w:bCs/>
                <w:sz w:val="24"/>
                <w:szCs w:val="24"/>
              </w:rPr>
              <w:t xml:space="preserve">% </w:t>
            </w:r>
            <w:r w:rsidR="00311EA8" w:rsidRPr="00835265">
              <w:rPr>
                <w:b/>
                <w:bCs/>
                <w:sz w:val="24"/>
                <w:szCs w:val="24"/>
              </w:rPr>
              <w:t xml:space="preserve">(USD </w:t>
            </w:r>
            <w:r w:rsidR="00FE4242" w:rsidRPr="00835265">
              <w:rPr>
                <w:b/>
                <w:bCs/>
                <w:sz w:val="24"/>
                <w:szCs w:val="24"/>
              </w:rPr>
              <w:t>10</w:t>
            </w:r>
            <w:r w:rsidR="00F21724" w:rsidRPr="00835265">
              <w:rPr>
                <w:b/>
                <w:bCs/>
                <w:sz w:val="24"/>
                <w:szCs w:val="24"/>
              </w:rPr>
              <w:t>,</w:t>
            </w:r>
            <w:r w:rsidR="00FE4242" w:rsidRPr="00835265">
              <w:rPr>
                <w:b/>
                <w:bCs/>
                <w:sz w:val="24"/>
                <w:szCs w:val="24"/>
              </w:rPr>
              <w:t>363</w:t>
            </w:r>
            <w:r w:rsidR="00F21724" w:rsidRPr="00835265">
              <w:rPr>
                <w:b/>
                <w:bCs/>
                <w:sz w:val="24"/>
                <w:szCs w:val="24"/>
              </w:rPr>
              <w:t>,</w:t>
            </w:r>
            <w:r w:rsidR="00FE4242" w:rsidRPr="00835265">
              <w:rPr>
                <w:b/>
                <w:bCs/>
                <w:sz w:val="24"/>
                <w:szCs w:val="24"/>
              </w:rPr>
              <w:t>079</w:t>
            </w:r>
            <w:r w:rsidR="00311EA8" w:rsidRPr="00835265">
              <w:rPr>
                <w:b/>
                <w:bCs/>
                <w:sz w:val="24"/>
                <w:szCs w:val="24"/>
              </w:rPr>
              <w:t>)</w:t>
            </w:r>
            <w:r w:rsidR="00311EA8" w:rsidRPr="00835265">
              <w:t xml:space="preserve"> </w:t>
            </w:r>
            <w:r w:rsidRPr="00835265">
              <w:t xml:space="preserve">will be used by the Principal Recipient to ensure the grant is managed efficiently and surrounding risks are mitigated, if not eliminated. </w:t>
            </w:r>
          </w:p>
          <w:bookmarkEnd w:id="11"/>
          <w:p w14:paraId="19C0F7BF" w14:textId="77777777" w:rsidR="00E5183C" w:rsidRDefault="00E5183C" w:rsidP="00332A8A">
            <w:pPr>
              <w:spacing w:after="0"/>
              <w:ind w:left="360"/>
            </w:pPr>
          </w:p>
          <w:bookmarkEnd w:id="12"/>
          <w:p w14:paraId="773BB24A" w14:textId="77777777" w:rsidR="00FD28F4" w:rsidRPr="00C92797" w:rsidRDefault="00FD28F4" w:rsidP="009A321C">
            <w:pPr>
              <w:spacing w:after="0"/>
            </w:pPr>
          </w:p>
        </w:tc>
      </w:tr>
    </w:tbl>
    <w:p w14:paraId="46CEC7B0" w14:textId="006C7415" w:rsidR="00F22610" w:rsidRDefault="00F22610" w:rsidP="009B6C0D">
      <w:pPr>
        <w:spacing w:after="0" w:line="0" w:lineRule="auto"/>
      </w:pPr>
      <w:r>
        <w:lastRenderedPageBreak/>
        <w:br w:type="page"/>
      </w:r>
    </w:p>
    <w:p w14:paraId="07A88DAF" w14:textId="3E0E5376" w:rsidR="0098274C" w:rsidRPr="004F1255" w:rsidRDefault="0098274C" w:rsidP="00E07C20">
      <w:pPr>
        <w:pStyle w:val="Heading2"/>
        <w:numPr>
          <w:ilvl w:val="1"/>
          <w:numId w:val="25"/>
        </w:numPr>
        <w:shd w:val="clear" w:color="auto" w:fill="D9D9D9" w:themeFill="background1" w:themeFillShade="D9"/>
        <w:spacing w:before="0" w:after="0" w:line="240" w:lineRule="auto"/>
        <w:contextualSpacing/>
      </w:pPr>
      <w:r w:rsidRPr="004F1255">
        <w:lastRenderedPageBreak/>
        <w:t xml:space="preserve">Funding Priorities </w:t>
      </w:r>
    </w:p>
    <w:p w14:paraId="0EE0552E" w14:textId="77777777" w:rsidR="009B6C0D" w:rsidRDefault="009B6C0D" w:rsidP="009B6C0D">
      <w:pPr>
        <w:pStyle w:val="ListParagraph"/>
        <w:spacing w:after="0" w:line="260" w:lineRule="atLeast"/>
        <w:ind w:left="450"/>
        <w:rPr>
          <w:rFonts w:eastAsia="Calibri"/>
        </w:rPr>
      </w:pPr>
    </w:p>
    <w:p w14:paraId="68502E24" w14:textId="3612EB79" w:rsidR="0098274C" w:rsidRPr="004F1255" w:rsidRDefault="0098274C" w:rsidP="00E07C20">
      <w:pPr>
        <w:pStyle w:val="ListParagraph"/>
        <w:numPr>
          <w:ilvl w:val="0"/>
          <w:numId w:val="20"/>
        </w:numPr>
        <w:spacing w:after="0" w:line="260" w:lineRule="atLeast"/>
        <w:ind w:left="450" w:hanging="450"/>
        <w:rPr>
          <w:rFonts w:eastAsia="Calibri"/>
        </w:rPr>
      </w:pPr>
      <w:r w:rsidRPr="004F1255">
        <w:rPr>
          <w:rFonts w:eastAsia="Calibri"/>
        </w:rPr>
        <w:t xml:space="preserve">Based on the </w:t>
      </w:r>
      <w:r w:rsidRPr="004F1255">
        <w:rPr>
          <w:rFonts w:eastAsia="Calibri"/>
          <w:color w:val="3596EF"/>
          <w:u w:val="single"/>
        </w:rPr>
        <w:t>Global Fund Modular Framework</w:t>
      </w:r>
      <w:r w:rsidRPr="004F1255">
        <w:rPr>
          <w:rFonts w:eastAsia="Calibri"/>
        </w:rPr>
        <w:t xml:space="preserve">, use the table below to detail </w:t>
      </w:r>
      <w:r w:rsidRPr="004F1255">
        <w:rPr>
          <w:rFonts w:eastAsia="Calibri"/>
          <w:b/>
          <w:bCs/>
          <w:u w:val="single"/>
        </w:rPr>
        <w:t>each</w:t>
      </w:r>
      <w:r w:rsidRPr="004F1255">
        <w:rPr>
          <w:rFonts w:eastAsia="Calibri"/>
        </w:rPr>
        <w:t xml:space="preserve"> </w:t>
      </w:r>
      <w:r w:rsidRPr="002F3609">
        <w:rPr>
          <w:rFonts w:eastAsia="Calibri"/>
          <w:b/>
        </w:rPr>
        <w:t>prioritized module</w:t>
      </w:r>
      <w:r w:rsidRPr="004F1255">
        <w:rPr>
          <w:rFonts w:eastAsia="Calibri"/>
        </w:rPr>
        <w:t xml:space="preserve"> proposed for Global Fund investment </w:t>
      </w:r>
      <w:r w:rsidR="000E257D" w:rsidRPr="004F1255">
        <w:rPr>
          <w:rFonts w:eastAsia="Calibri"/>
        </w:rPr>
        <w:t xml:space="preserve">for the </w:t>
      </w:r>
      <w:r w:rsidRPr="004F1255">
        <w:t>relevant disease component(s) and/or Resilient and Sustainable Systems for Health (RSSH)</w:t>
      </w:r>
      <w:r w:rsidRPr="004F1255">
        <w:rPr>
          <w:rFonts w:eastAsia="Calibri"/>
        </w:rPr>
        <w:t xml:space="preserve">. </w:t>
      </w:r>
      <w:r w:rsidR="009341F1" w:rsidRPr="004F1255">
        <w:rPr>
          <w:rFonts w:eastAsia="Calibri"/>
        </w:rPr>
        <w:t xml:space="preserve"> </w:t>
      </w:r>
    </w:p>
    <w:p w14:paraId="6707046D" w14:textId="1C2F0DE7" w:rsidR="0098274C" w:rsidRPr="007F7A64" w:rsidRDefault="0098274C" w:rsidP="009B6C0D">
      <w:pPr>
        <w:spacing w:after="0"/>
        <w:ind w:left="450"/>
        <w:rPr>
          <w:rFonts w:eastAsia="Calibri"/>
        </w:rPr>
      </w:pPr>
      <w:bookmarkStart w:id="13" w:name="_Hlk8921192"/>
      <w:bookmarkEnd w:id="13"/>
    </w:p>
    <w:tbl>
      <w:tblPr>
        <w:tblStyle w:val="TableGrid"/>
        <w:tblW w:w="10795" w:type="dxa"/>
        <w:tblLook w:val="04A0" w:firstRow="1" w:lastRow="0" w:firstColumn="1" w:lastColumn="0" w:noHBand="0" w:noVBand="1"/>
      </w:tblPr>
      <w:tblGrid>
        <w:gridCol w:w="10795"/>
      </w:tblGrid>
      <w:tr w:rsidR="0098274C" w14:paraId="08136033" w14:textId="77777777" w:rsidTr="000E257D">
        <w:tc>
          <w:tcPr>
            <w:tcW w:w="10795" w:type="dxa"/>
          </w:tcPr>
          <w:p w14:paraId="007AF4F1" w14:textId="64F914E5" w:rsidR="0098274C" w:rsidRPr="00FA2A25" w:rsidRDefault="0098274C" w:rsidP="009B6C0D">
            <w:pPr>
              <w:spacing w:after="0"/>
              <w:rPr>
                <w:i/>
              </w:rPr>
            </w:pPr>
            <w:bookmarkStart w:id="14" w:name="_Hlk11328283"/>
            <w:bookmarkStart w:id="15" w:name="_Hlk11328334"/>
            <w:bookmarkStart w:id="16" w:name="_Hlk11328321"/>
            <w:r w:rsidRPr="004A6887">
              <w:rPr>
                <w:b/>
              </w:rPr>
              <w:t xml:space="preserve">COMPONENT: </w:t>
            </w:r>
            <w:bookmarkEnd w:id="14"/>
            <w:r w:rsidR="004A2539">
              <w:rPr>
                <w:i/>
              </w:rPr>
              <w:t>Tuberculosis</w:t>
            </w:r>
          </w:p>
        </w:tc>
      </w:tr>
      <w:bookmarkEnd w:id="15"/>
      <w:bookmarkEnd w:id="16"/>
    </w:tbl>
    <w:p w14:paraId="6A5E432B" w14:textId="1832F6FF" w:rsidR="0098274C" w:rsidRDefault="0098274C" w:rsidP="009B6C0D">
      <w:pPr>
        <w:spacing w:after="0"/>
      </w:pPr>
    </w:p>
    <w:tbl>
      <w:tblPr>
        <w:tblStyle w:val="TableGrid30"/>
        <w:tblW w:w="10800" w:type="dxa"/>
        <w:tblInd w:w="-5" w:type="dxa"/>
        <w:tblLook w:val="04A0" w:firstRow="1" w:lastRow="0" w:firstColumn="1" w:lastColumn="0" w:noHBand="0" w:noVBand="1"/>
      </w:tblPr>
      <w:tblGrid>
        <w:gridCol w:w="2520"/>
        <w:gridCol w:w="8280"/>
      </w:tblGrid>
      <w:tr w:rsidR="008C7F6A" w:rsidRPr="007F7A64" w14:paraId="1F16CBF7" w14:textId="77777777" w:rsidTr="00D0186A">
        <w:trPr>
          <w:trHeight w:val="288"/>
        </w:trPr>
        <w:tc>
          <w:tcPr>
            <w:tcW w:w="2520" w:type="dxa"/>
            <w:shd w:val="clear" w:color="auto" w:fill="F2F2F2"/>
            <w:vAlign w:val="center"/>
          </w:tcPr>
          <w:p w14:paraId="08C084C0" w14:textId="77777777" w:rsidR="008C7F6A" w:rsidRPr="00E41EDC" w:rsidRDefault="008C7F6A" w:rsidP="00D0186A">
            <w:pPr>
              <w:spacing w:after="0"/>
              <w:rPr>
                <w:b/>
              </w:rPr>
            </w:pPr>
            <w:r>
              <w:rPr>
                <w:b/>
              </w:rPr>
              <w:t>Module # 1</w:t>
            </w:r>
          </w:p>
        </w:tc>
        <w:tc>
          <w:tcPr>
            <w:tcW w:w="8280" w:type="dxa"/>
          </w:tcPr>
          <w:p w14:paraId="5CB1765E" w14:textId="77777777" w:rsidR="008C7F6A" w:rsidRPr="00E41EDC" w:rsidRDefault="008C7F6A" w:rsidP="00D0186A">
            <w:pPr>
              <w:spacing w:after="0"/>
            </w:pPr>
            <w:r>
              <w:t>MDR TB</w:t>
            </w:r>
          </w:p>
        </w:tc>
      </w:tr>
      <w:tr w:rsidR="008C7F6A" w:rsidRPr="007F7A64" w14:paraId="3FBE6E48" w14:textId="77777777" w:rsidTr="00D0186A">
        <w:trPr>
          <w:trHeight w:val="288"/>
        </w:trPr>
        <w:tc>
          <w:tcPr>
            <w:tcW w:w="2520" w:type="dxa"/>
            <w:shd w:val="clear" w:color="auto" w:fill="F2F2F2"/>
            <w:vAlign w:val="center"/>
          </w:tcPr>
          <w:p w14:paraId="489B9813" w14:textId="77777777" w:rsidR="008C7F6A" w:rsidRPr="007F7A64" w:rsidRDefault="008C7F6A" w:rsidP="00D0186A">
            <w:pPr>
              <w:spacing w:after="0"/>
              <w:rPr>
                <w:b/>
              </w:rPr>
            </w:pPr>
            <w:r w:rsidRPr="007F7A64">
              <w:rPr>
                <w:b/>
              </w:rPr>
              <w:t>Intervention(s)</w:t>
            </w:r>
            <w:r>
              <w:rPr>
                <w:b/>
              </w:rPr>
              <w:t xml:space="preserve"> &amp; Key Activities</w:t>
            </w:r>
          </w:p>
        </w:tc>
        <w:tc>
          <w:tcPr>
            <w:tcW w:w="8280" w:type="dxa"/>
          </w:tcPr>
          <w:p w14:paraId="1425E679" w14:textId="77777777" w:rsidR="008C7F6A" w:rsidRDefault="008C7F6A" w:rsidP="00E07C20">
            <w:pPr>
              <w:pStyle w:val="ListParagraph"/>
              <w:numPr>
                <w:ilvl w:val="0"/>
                <w:numId w:val="42"/>
              </w:numPr>
              <w:spacing w:after="0"/>
            </w:pPr>
            <w:r>
              <w:t>Full adoption of the all oral shorter treatment regimen for MDR TB treatment and implementation research on the use of BPAL for XDR TB treatment.</w:t>
            </w:r>
          </w:p>
          <w:p w14:paraId="0108E2A3" w14:textId="0AE575FE" w:rsidR="00CA1FEA" w:rsidRDefault="00CA1FEA" w:rsidP="00E07C20">
            <w:pPr>
              <w:pStyle w:val="ListParagraph"/>
              <w:numPr>
                <w:ilvl w:val="0"/>
                <w:numId w:val="42"/>
              </w:numPr>
              <w:spacing w:after="0"/>
            </w:pPr>
            <w:r>
              <w:t>Full adoption of TB molecular RDT as primary diagnostic tool</w:t>
            </w:r>
            <w:r w:rsidR="00D0543D">
              <w:t>.</w:t>
            </w:r>
          </w:p>
          <w:p w14:paraId="74CC7E97" w14:textId="39B27517" w:rsidR="00483352" w:rsidRDefault="00483352" w:rsidP="00E07C20">
            <w:pPr>
              <w:pStyle w:val="ListParagraph"/>
              <w:numPr>
                <w:ilvl w:val="0"/>
                <w:numId w:val="42"/>
              </w:numPr>
              <w:spacing w:after="0"/>
            </w:pPr>
            <w:r>
              <w:t>Establishment of two additional LPA Centers</w:t>
            </w:r>
          </w:p>
          <w:p w14:paraId="0D077412" w14:textId="1035A375" w:rsidR="008C7F6A" w:rsidRDefault="008C7F6A" w:rsidP="00E07C20">
            <w:pPr>
              <w:pStyle w:val="ListParagraph"/>
              <w:numPr>
                <w:ilvl w:val="0"/>
                <w:numId w:val="42"/>
              </w:numPr>
              <w:spacing w:after="0"/>
            </w:pPr>
            <w:r>
              <w:t xml:space="preserve">Provision of quality assured laboratory tests necessary for baseline and treatment progress monitoring, particularly for </w:t>
            </w:r>
            <w:r w:rsidR="005C7854">
              <w:t xml:space="preserve">TB </w:t>
            </w:r>
            <w:r w:rsidR="00D0543D">
              <w:t>molecular RDT</w:t>
            </w:r>
            <w:r>
              <w:t xml:space="preserve">, DST, </w:t>
            </w:r>
            <w:r w:rsidR="00D0543D">
              <w:t>sputum microscopy</w:t>
            </w:r>
            <w:r>
              <w:t xml:space="preserve">, and </w:t>
            </w:r>
            <w:r w:rsidR="00D0543D">
              <w:t>c</w:t>
            </w:r>
            <w:r>
              <w:t>ulture.</w:t>
            </w:r>
          </w:p>
          <w:p w14:paraId="323C478B" w14:textId="55E3F5F3" w:rsidR="00B74C16" w:rsidRDefault="00B74C16" w:rsidP="00E07C20">
            <w:pPr>
              <w:pStyle w:val="ListParagraph"/>
              <w:numPr>
                <w:ilvl w:val="0"/>
                <w:numId w:val="42"/>
              </w:numPr>
              <w:spacing w:after="0"/>
            </w:pPr>
            <w:r>
              <w:t xml:space="preserve">Set up two additional LPA centers (currently with 3) for full country coverage.  </w:t>
            </w:r>
          </w:p>
          <w:p w14:paraId="37AE0A1D" w14:textId="11E250A3" w:rsidR="008B0651" w:rsidRDefault="008C7F6A" w:rsidP="00E07C20">
            <w:pPr>
              <w:pStyle w:val="ListParagraph"/>
              <w:numPr>
                <w:ilvl w:val="0"/>
                <w:numId w:val="42"/>
              </w:numPr>
              <w:spacing w:after="0"/>
            </w:pPr>
            <w:r>
              <w:t xml:space="preserve">Testing and adaptation of digital technologies </w:t>
            </w:r>
            <w:r w:rsidR="008B0651">
              <w:t>as part of the end-to-end digital solution.</w:t>
            </w:r>
          </w:p>
          <w:p w14:paraId="00EB65C2" w14:textId="77C5F2FA" w:rsidR="008C7F6A" w:rsidRDefault="008C7F6A" w:rsidP="00E07C20">
            <w:pPr>
              <w:pStyle w:val="ListParagraph"/>
              <w:numPr>
                <w:ilvl w:val="0"/>
                <w:numId w:val="42"/>
              </w:numPr>
              <w:spacing w:after="0"/>
            </w:pPr>
            <w:r>
              <w:t>Expansion of the patient enabler package to include options to learn technical-vocational skills that can support livelihood and reintegration into the community after treatment completion. The current package includes transport/treatment allowance, food provision, ancillary medicines, hospitalization, special diagnostics, special medical services, and post treatment laboratory follow-up up to 1 year.</w:t>
            </w:r>
            <w:r w:rsidR="00FF0907">
              <w:t xml:space="preserve"> </w:t>
            </w:r>
          </w:p>
          <w:p w14:paraId="61AB71DB" w14:textId="665B0431" w:rsidR="008C7F6A" w:rsidRDefault="001E309E" w:rsidP="00E07C20">
            <w:pPr>
              <w:pStyle w:val="ListParagraph"/>
              <w:numPr>
                <w:ilvl w:val="0"/>
                <w:numId w:val="42"/>
              </w:numPr>
              <w:spacing w:after="0"/>
            </w:pPr>
            <w:r>
              <w:t>Development of job aids and c</w:t>
            </w:r>
            <w:r w:rsidR="008C7F6A">
              <w:t>ontinuing the engagement of community volunteers li</w:t>
            </w:r>
            <w:r w:rsidR="008B0651">
              <w:t>n</w:t>
            </w:r>
            <w:r w:rsidR="008C7F6A">
              <w:t xml:space="preserve">ked to iDOTS and PMDT satellite treatment centers that support contact tracing activities in finding cases and supporting community/home-based care. </w:t>
            </w:r>
          </w:p>
          <w:p w14:paraId="093BC91D" w14:textId="3346A5B5" w:rsidR="008C7F6A" w:rsidRPr="00D65437" w:rsidRDefault="008C7F6A" w:rsidP="00E07C20">
            <w:pPr>
              <w:pStyle w:val="ListParagraph"/>
              <w:numPr>
                <w:ilvl w:val="0"/>
                <w:numId w:val="42"/>
              </w:numPr>
              <w:spacing w:after="0"/>
            </w:pPr>
            <w:r>
              <w:t xml:space="preserve">Continuing the engagement of STRiders in transporting specimens to increase access to </w:t>
            </w:r>
            <w:r w:rsidR="00146F18">
              <w:t>TB molecular test</w:t>
            </w:r>
            <w:r>
              <w:t xml:space="preserve">, reduce turnaround time, and prevent initial loss to follow-up by prompt initiation of treatment. </w:t>
            </w:r>
          </w:p>
          <w:p w14:paraId="559F015A" w14:textId="51E594CA" w:rsidR="008C7F6A" w:rsidRPr="00D65437" w:rsidRDefault="008C7F6A" w:rsidP="00E07C20">
            <w:pPr>
              <w:pStyle w:val="ListParagraph"/>
              <w:numPr>
                <w:ilvl w:val="0"/>
                <w:numId w:val="42"/>
              </w:numPr>
              <w:spacing w:after="0"/>
            </w:pPr>
            <w:r>
              <w:t xml:space="preserve">Decentralization of MDR TB case management in </w:t>
            </w:r>
            <w:r w:rsidR="00D0543D">
              <w:t>at least</w:t>
            </w:r>
            <w:r>
              <w:t xml:space="preserve"> </w:t>
            </w:r>
            <w:r w:rsidR="00D0543D">
              <w:t xml:space="preserve">2,600 </w:t>
            </w:r>
            <w:r>
              <w:t xml:space="preserve">primary care </w:t>
            </w:r>
            <w:r w:rsidR="00D0543D">
              <w:t>facilities</w:t>
            </w:r>
            <w:r>
              <w:t xml:space="preserve"> by </w:t>
            </w:r>
            <w:r w:rsidR="008E45FF">
              <w:t xml:space="preserve">integrating a </w:t>
            </w:r>
            <w:r>
              <w:t xml:space="preserve">comprehensive TB </w:t>
            </w:r>
            <w:r w:rsidR="008E45FF">
              <w:t xml:space="preserve">care services into the </w:t>
            </w:r>
            <w:r>
              <w:t xml:space="preserve">Health Care Provider Network </w:t>
            </w:r>
            <w:r w:rsidR="008E45FF">
              <w:t>(</w:t>
            </w:r>
            <w:r>
              <w:t xml:space="preserve">HCPN) as envisaged in the UHC </w:t>
            </w:r>
            <w:r w:rsidR="008E45FF">
              <w:t>Act</w:t>
            </w:r>
            <w:r>
              <w:t xml:space="preserve"> (iDOTS Phase 2).</w:t>
            </w:r>
          </w:p>
          <w:p w14:paraId="5003ACCA" w14:textId="256AF8A9" w:rsidR="008C7F6A" w:rsidRDefault="008C7F6A" w:rsidP="00E07C20">
            <w:pPr>
              <w:pStyle w:val="ListParagraph"/>
              <w:numPr>
                <w:ilvl w:val="0"/>
                <w:numId w:val="42"/>
              </w:numPr>
              <w:spacing w:after="0"/>
            </w:pPr>
            <w:r>
              <w:t xml:space="preserve">Strengthening supportive supervision for continuous provision of people-centered clinical care management of DRTB patients, including supporting patient treatment literacy, aDSM, and </w:t>
            </w:r>
            <w:r w:rsidR="00D0543D">
              <w:t>treatment adherence monitoring</w:t>
            </w:r>
            <w:r>
              <w:t xml:space="preserve">.  </w:t>
            </w:r>
          </w:p>
          <w:p w14:paraId="3808AC15" w14:textId="77777777" w:rsidR="008C7F6A" w:rsidRPr="00D65437" w:rsidRDefault="008C7F6A" w:rsidP="00D0186A">
            <w:pPr>
              <w:pStyle w:val="ListParagraph"/>
              <w:spacing w:after="0"/>
              <w:ind w:left="360"/>
            </w:pPr>
          </w:p>
        </w:tc>
      </w:tr>
      <w:tr w:rsidR="008C7F6A" w:rsidRPr="007F7A64" w14:paraId="2AF052BA" w14:textId="77777777" w:rsidTr="00D0186A">
        <w:trPr>
          <w:trHeight w:val="288"/>
        </w:trPr>
        <w:tc>
          <w:tcPr>
            <w:tcW w:w="2520" w:type="dxa"/>
            <w:shd w:val="clear" w:color="auto" w:fill="F2F2F2"/>
            <w:vAlign w:val="center"/>
          </w:tcPr>
          <w:p w14:paraId="07999308" w14:textId="77777777" w:rsidR="008C7F6A" w:rsidRPr="007F7A64" w:rsidRDefault="008C7F6A" w:rsidP="00D0186A">
            <w:pPr>
              <w:spacing w:after="0"/>
              <w:rPr>
                <w:b/>
              </w:rPr>
            </w:pPr>
            <w:r>
              <w:rPr>
                <w:b/>
              </w:rPr>
              <w:t>Priority Population(s)</w:t>
            </w:r>
          </w:p>
        </w:tc>
        <w:tc>
          <w:tcPr>
            <w:tcW w:w="8280" w:type="dxa"/>
          </w:tcPr>
          <w:p w14:paraId="29AA4956" w14:textId="7C953380" w:rsidR="008C7F6A" w:rsidRDefault="008C7F6A" w:rsidP="00D0186A">
            <w:pPr>
              <w:spacing w:after="0"/>
            </w:pPr>
            <w:r>
              <w:t>DR</w:t>
            </w:r>
            <w:r w:rsidR="00903374">
              <w:t xml:space="preserve"> </w:t>
            </w:r>
            <w:r>
              <w:t>TB patients, contacts of DR</w:t>
            </w:r>
            <w:r w:rsidR="00903374">
              <w:t xml:space="preserve"> </w:t>
            </w:r>
            <w:r>
              <w:t>TB patients, retreatment cases, PLHIV</w:t>
            </w:r>
          </w:p>
          <w:p w14:paraId="04CC4143" w14:textId="77777777" w:rsidR="008C7F6A" w:rsidRPr="007C1BE9" w:rsidRDefault="008C7F6A" w:rsidP="00D0186A">
            <w:pPr>
              <w:spacing w:after="0"/>
            </w:pPr>
            <w:r>
              <w:t xml:space="preserve">  </w:t>
            </w:r>
          </w:p>
        </w:tc>
      </w:tr>
      <w:tr w:rsidR="008C7F6A" w:rsidRPr="007F7A64" w14:paraId="607B4A98" w14:textId="77777777" w:rsidTr="00D0186A">
        <w:trPr>
          <w:trHeight w:val="288"/>
        </w:trPr>
        <w:tc>
          <w:tcPr>
            <w:tcW w:w="2520" w:type="dxa"/>
            <w:shd w:val="clear" w:color="auto" w:fill="F2F2F2"/>
            <w:vAlign w:val="center"/>
          </w:tcPr>
          <w:p w14:paraId="60A26390" w14:textId="77777777" w:rsidR="008C7F6A" w:rsidRDefault="008C7F6A" w:rsidP="00D0186A">
            <w:pPr>
              <w:spacing w:after="0"/>
              <w:rPr>
                <w:b/>
              </w:rPr>
            </w:pPr>
            <w:r>
              <w:rPr>
                <w:b/>
              </w:rPr>
              <w:t>Barriers and Inequities</w:t>
            </w:r>
          </w:p>
        </w:tc>
        <w:tc>
          <w:tcPr>
            <w:tcW w:w="8280" w:type="dxa"/>
          </w:tcPr>
          <w:p w14:paraId="0A77B26C" w14:textId="77777777" w:rsidR="00483352" w:rsidRDefault="00E50833" w:rsidP="00E07C20">
            <w:pPr>
              <w:pStyle w:val="ListParagraph"/>
              <w:numPr>
                <w:ilvl w:val="0"/>
                <w:numId w:val="43"/>
              </w:numPr>
              <w:spacing w:after="0"/>
            </w:pPr>
            <w:r>
              <w:t xml:space="preserve">There is a need for the adoption of TB molecular RDT for better diagnosis and increase in </w:t>
            </w:r>
            <w:r w:rsidR="00483352">
              <w:t xml:space="preserve">capacity for DST. </w:t>
            </w:r>
          </w:p>
          <w:p w14:paraId="50D27BC7" w14:textId="68506A3B" w:rsidR="008C7F6A" w:rsidRDefault="00483352" w:rsidP="00E07C20">
            <w:pPr>
              <w:pStyle w:val="ListParagraph"/>
              <w:numPr>
                <w:ilvl w:val="0"/>
                <w:numId w:val="43"/>
              </w:numPr>
              <w:spacing w:after="0"/>
            </w:pPr>
            <w:r>
              <w:t xml:space="preserve">MDR TB TSR is low and can be improved with the adoption of all oral shorter treatment regimen. </w:t>
            </w:r>
          </w:p>
          <w:p w14:paraId="35E373C9" w14:textId="18FBD19D" w:rsidR="008C7F6A" w:rsidRDefault="00483352" w:rsidP="00E07C20">
            <w:pPr>
              <w:pStyle w:val="ListParagraph"/>
              <w:numPr>
                <w:ilvl w:val="0"/>
                <w:numId w:val="43"/>
              </w:numPr>
              <w:spacing w:after="0"/>
            </w:pPr>
            <w:r>
              <w:t>High loss to follow-up and poor treatment adherence can be addressed by d</w:t>
            </w:r>
            <w:r w:rsidR="008C7F6A">
              <w:t xml:space="preserve">ecentralizing MDR TB case detection and management and integrating it in the primary care facilities and providing options for community/home-based care supports reducing the TB stigma and risk of discrimination among the patients, their families, health care providers, and the general public. </w:t>
            </w:r>
          </w:p>
          <w:p w14:paraId="71DDAE79" w14:textId="77777777" w:rsidR="008C7F6A" w:rsidRPr="00FD38A6" w:rsidRDefault="008C7F6A" w:rsidP="00D0186A">
            <w:pPr>
              <w:pStyle w:val="ListParagraph"/>
              <w:spacing w:after="0"/>
              <w:ind w:left="360"/>
            </w:pPr>
            <w:r>
              <w:t xml:space="preserve">  </w:t>
            </w:r>
          </w:p>
        </w:tc>
      </w:tr>
      <w:tr w:rsidR="008C7F6A" w:rsidRPr="007F7A64" w14:paraId="4E05E187" w14:textId="77777777" w:rsidTr="00D0186A">
        <w:trPr>
          <w:trHeight w:val="288"/>
        </w:trPr>
        <w:tc>
          <w:tcPr>
            <w:tcW w:w="2520" w:type="dxa"/>
            <w:shd w:val="clear" w:color="auto" w:fill="F2F2F2"/>
            <w:vAlign w:val="center"/>
          </w:tcPr>
          <w:p w14:paraId="74E9A61F" w14:textId="77777777" w:rsidR="008C7F6A" w:rsidRPr="007F7A64" w:rsidRDefault="008C7F6A" w:rsidP="00D0186A">
            <w:pPr>
              <w:spacing w:after="0"/>
              <w:rPr>
                <w:b/>
              </w:rPr>
            </w:pPr>
            <w:r>
              <w:rPr>
                <w:b/>
              </w:rPr>
              <w:t>Rationale</w:t>
            </w:r>
          </w:p>
        </w:tc>
        <w:tc>
          <w:tcPr>
            <w:tcW w:w="8280" w:type="dxa"/>
          </w:tcPr>
          <w:p w14:paraId="4296EB99" w14:textId="77FDF41A" w:rsidR="008C7F6A" w:rsidRDefault="008C7F6A" w:rsidP="00D0186A">
            <w:pPr>
              <w:spacing w:after="0"/>
            </w:pPr>
            <w:r>
              <w:t>This module was prioritized for this FR considering that the case notification gap for DR</w:t>
            </w:r>
            <w:r w:rsidR="00903374">
              <w:t xml:space="preserve"> </w:t>
            </w:r>
            <w:r>
              <w:t>TB cases in 2018 is more than 60% and TSR is less than 70%. Furthermore, government requires time to prepare its systems and resources to fully finance MDR</w:t>
            </w:r>
            <w:r w:rsidR="00903374">
              <w:t xml:space="preserve"> </w:t>
            </w:r>
            <w:r>
              <w:t xml:space="preserve">TB case detection and management. All interventions listed above are based on WHO guidelines, recommendations from the 2019 JPR, </w:t>
            </w:r>
            <w:r>
              <w:lastRenderedPageBreak/>
              <w:t xml:space="preserve">effective </w:t>
            </w:r>
            <w:r w:rsidR="00755878">
              <w:t xml:space="preserve">AccessTB project </w:t>
            </w:r>
            <w:r>
              <w:t xml:space="preserve">interventions, and key affected population recommendations during the NSP development and country dialogue. </w:t>
            </w:r>
          </w:p>
          <w:p w14:paraId="32D91BA2" w14:textId="77777777" w:rsidR="008C7F6A" w:rsidRPr="007F7A64" w:rsidRDefault="008C7F6A" w:rsidP="00D0186A">
            <w:pPr>
              <w:spacing w:after="0"/>
            </w:pPr>
            <w:r>
              <w:t xml:space="preserve">    </w:t>
            </w:r>
          </w:p>
        </w:tc>
      </w:tr>
      <w:tr w:rsidR="008C7F6A" w:rsidRPr="007F7A64" w14:paraId="6B18FBBB" w14:textId="77777777" w:rsidTr="00D0186A">
        <w:trPr>
          <w:trHeight w:val="288"/>
        </w:trPr>
        <w:tc>
          <w:tcPr>
            <w:tcW w:w="2520" w:type="dxa"/>
            <w:shd w:val="clear" w:color="auto" w:fill="F2F2F2"/>
            <w:vAlign w:val="center"/>
          </w:tcPr>
          <w:p w14:paraId="52A9E36A" w14:textId="77777777" w:rsidR="008C7F6A" w:rsidRPr="007F7A64" w:rsidRDefault="008C7F6A" w:rsidP="00D0186A">
            <w:pPr>
              <w:spacing w:after="0"/>
              <w:rPr>
                <w:b/>
              </w:rPr>
            </w:pPr>
            <w:r w:rsidRPr="007F7A64">
              <w:rPr>
                <w:b/>
              </w:rPr>
              <w:lastRenderedPageBreak/>
              <w:t xml:space="preserve">Expected </w:t>
            </w:r>
            <w:r>
              <w:rPr>
                <w:b/>
              </w:rPr>
              <w:t>Outcome</w:t>
            </w:r>
          </w:p>
        </w:tc>
        <w:tc>
          <w:tcPr>
            <w:tcW w:w="8280" w:type="dxa"/>
          </w:tcPr>
          <w:p w14:paraId="3E777535" w14:textId="21931582" w:rsidR="008C7F6A" w:rsidRDefault="008C7F6A" w:rsidP="00E07C20">
            <w:pPr>
              <w:pStyle w:val="ListParagraph"/>
              <w:numPr>
                <w:ilvl w:val="0"/>
                <w:numId w:val="45"/>
              </w:numPr>
              <w:spacing w:after="0"/>
            </w:pPr>
            <w:r w:rsidRPr="00973F14">
              <w:t>The FR investment will directly contribute to the Updated PhilSTEP Phase 1 targets as presented below:</w:t>
            </w:r>
          </w:p>
          <w:p w14:paraId="22ACE6A2" w14:textId="77777777" w:rsidR="00A12F60" w:rsidRPr="00973F14" w:rsidRDefault="00A12F60" w:rsidP="00A12F60">
            <w:pPr>
              <w:pStyle w:val="ListParagraph"/>
              <w:spacing w:after="0"/>
              <w:ind w:left="360"/>
            </w:pPr>
          </w:p>
          <w:tbl>
            <w:tblPr>
              <w:tblStyle w:val="TableGrid"/>
              <w:tblW w:w="0" w:type="auto"/>
              <w:tblLook w:val="04A0" w:firstRow="1" w:lastRow="0" w:firstColumn="1" w:lastColumn="0" w:noHBand="0" w:noVBand="1"/>
            </w:tblPr>
            <w:tblGrid>
              <w:gridCol w:w="3185"/>
              <w:gridCol w:w="1559"/>
              <w:gridCol w:w="1701"/>
              <w:gridCol w:w="1609"/>
            </w:tblGrid>
            <w:tr w:rsidR="008C7F6A" w:rsidRPr="004070A9" w14:paraId="7C74ED71" w14:textId="77777777" w:rsidTr="00D0186A">
              <w:tc>
                <w:tcPr>
                  <w:tcW w:w="3185" w:type="dxa"/>
                  <w:shd w:val="clear" w:color="auto" w:fill="002A55" w:themeFill="accent5" w:themeFillShade="80"/>
                </w:tcPr>
                <w:p w14:paraId="59BAF81B" w14:textId="39683016" w:rsidR="008C7F6A" w:rsidRPr="004070A9" w:rsidRDefault="008C7F6A" w:rsidP="008C7F6A">
                  <w:pPr>
                    <w:spacing w:after="0"/>
                    <w:jc w:val="center"/>
                    <w:rPr>
                      <w:b/>
                      <w:bCs/>
                      <w:sz w:val="18"/>
                      <w:szCs w:val="18"/>
                    </w:rPr>
                  </w:pPr>
                  <w:r>
                    <w:rPr>
                      <w:b/>
                      <w:bCs/>
                      <w:sz w:val="18"/>
                      <w:szCs w:val="18"/>
                    </w:rPr>
                    <w:t>Indicators</w:t>
                  </w:r>
                </w:p>
              </w:tc>
              <w:tc>
                <w:tcPr>
                  <w:tcW w:w="1559" w:type="dxa"/>
                  <w:shd w:val="clear" w:color="auto" w:fill="002A55" w:themeFill="accent5" w:themeFillShade="80"/>
                </w:tcPr>
                <w:p w14:paraId="74CD02BD" w14:textId="77777777" w:rsidR="008C7F6A" w:rsidRPr="004070A9" w:rsidRDefault="008C7F6A" w:rsidP="008C7F6A">
                  <w:pPr>
                    <w:spacing w:after="0"/>
                    <w:jc w:val="center"/>
                    <w:rPr>
                      <w:b/>
                      <w:bCs/>
                      <w:sz w:val="18"/>
                      <w:szCs w:val="18"/>
                    </w:rPr>
                  </w:pPr>
                  <w:r w:rsidRPr="004070A9">
                    <w:rPr>
                      <w:b/>
                      <w:bCs/>
                      <w:sz w:val="18"/>
                      <w:szCs w:val="18"/>
                    </w:rPr>
                    <w:t>2021</w:t>
                  </w:r>
                </w:p>
              </w:tc>
              <w:tc>
                <w:tcPr>
                  <w:tcW w:w="1701" w:type="dxa"/>
                  <w:shd w:val="clear" w:color="auto" w:fill="002A55" w:themeFill="accent5" w:themeFillShade="80"/>
                </w:tcPr>
                <w:p w14:paraId="77EF122E" w14:textId="77777777" w:rsidR="008C7F6A" w:rsidRPr="004070A9" w:rsidRDefault="008C7F6A" w:rsidP="008C7F6A">
                  <w:pPr>
                    <w:spacing w:after="0"/>
                    <w:jc w:val="center"/>
                    <w:rPr>
                      <w:b/>
                      <w:bCs/>
                      <w:sz w:val="18"/>
                      <w:szCs w:val="18"/>
                    </w:rPr>
                  </w:pPr>
                  <w:r w:rsidRPr="004070A9">
                    <w:rPr>
                      <w:b/>
                      <w:bCs/>
                      <w:sz w:val="18"/>
                      <w:szCs w:val="18"/>
                    </w:rPr>
                    <w:t>2022</w:t>
                  </w:r>
                </w:p>
              </w:tc>
              <w:tc>
                <w:tcPr>
                  <w:tcW w:w="1609" w:type="dxa"/>
                  <w:shd w:val="clear" w:color="auto" w:fill="002A55" w:themeFill="accent5" w:themeFillShade="80"/>
                </w:tcPr>
                <w:p w14:paraId="299962ED" w14:textId="77777777" w:rsidR="008C7F6A" w:rsidRPr="004070A9" w:rsidRDefault="008C7F6A" w:rsidP="008C7F6A">
                  <w:pPr>
                    <w:spacing w:after="0"/>
                    <w:jc w:val="center"/>
                    <w:rPr>
                      <w:b/>
                      <w:bCs/>
                      <w:sz w:val="18"/>
                      <w:szCs w:val="18"/>
                    </w:rPr>
                  </w:pPr>
                  <w:r w:rsidRPr="004070A9">
                    <w:rPr>
                      <w:b/>
                      <w:bCs/>
                      <w:sz w:val="18"/>
                      <w:szCs w:val="18"/>
                    </w:rPr>
                    <w:t>2023</w:t>
                  </w:r>
                </w:p>
              </w:tc>
            </w:tr>
            <w:tr w:rsidR="008C7F6A" w:rsidRPr="004070A9" w14:paraId="5F85C7C5" w14:textId="77777777" w:rsidTr="00D0186A">
              <w:tc>
                <w:tcPr>
                  <w:tcW w:w="3185" w:type="dxa"/>
                  <w:shd w:val="clear" w:color="auto" w:fill="BBDCFF" w:themeFill="accent5" w:themeFillTint="33"/>
                </w:tcPr>
                <w:p w14:paraId="30CBE4D7" w14:textId="77777777" w:rsidR="008C7F6A" w:rsidRDefault="008C7F6A" w:rsidP="008C7F6A">
                  <w:pPr>
                    <w:spacing w:after="0"/>
                    <w:rPr>
                      <w:sz w:val="18"/>
                      <w:szCs w:val="18"/>
                    </w:rPr>
                  </w:pPr>
                  <w:r>
                    <w:rPr>
                      <w:sz w:val="18"/>
                      <w:szCs w:val="18"/>
                    </w:rPr>
                    <w:t xml:space="preserve">MDR TB </w:t>
                  </w:r>
                  <w:r w:rsidR="00BB49C8">
                    <w:rPr>
                      <w:sz w:val="18"/>
                      <w:szCs w:val="18"/>
                    </w:rPr>
                    <w:t>n</w:t>
                  </w:r>
                  <w:r>
                    <w:rPr>
                      <w:sz w:val="18"/>
                      <w:szCs w:val="18"/>
                    </w:rPr>
                    <w:t xml:space="preserve">otified </w:t>
                  </w:r>
                  <w:r w:rsidR="00BB49C8">
                    <w:rPr>
                      <w:sz w:val="18"/>
                      <w:szCs w:val="18"/>
                    </w:rPr>
                    <w:t>c</w:t>
                  </w:r>
                  <w:r>
                    <w:rPr>
                      <w:sz w:val="18"/>
                      <w:szCs w:val="18"/>
                    </w:rPr>
                    <w:t xml:space="preserve">ases </w:t>
                  </w:r>
                </w:p>
                <w:p w14:paraId="2CC615F7" w14:textId="3DE2EC2C" w:rsidR="00BB49C8" w:rsidRPr="00BB49C8" w:rsidRDefault="00BB49C8" w:rsidP="008C7F6A">
                  <w:pPr>
                    <w:spacing w:after="0"/>
                    <w:rPr>
                      <w:i/>
                      <w:iCs/>
                      <w:sz w:val="18"/>
                      <w:szCs w:val="18"/>
                    </w:rPr>
                  </w:pPr>
                  <w:r w:rsidRPr="00BB49C8">
                    <w:rPr>
                      <w:i/>
                      <w:iCs/>
                      <w:sz w:val="18"/>
                      <w:szCs w:val="18"/>
                    </w:rPr>
                    <w:t>(</w:t>
                  </w:r>
                  <w:r>
                    <w:rPr>
                      <w:i/>
                      <w:iCs/>
                      <w:sz w:val="18"/>
                      <w:szCs w:val="18"/>
                    </w:rPr>
                    <w:t>P</w:t>
                  </w:r>
                  <w:r w:rsidRPr="00BB49C8">
                    <w:rPr>
                      <w:i/>
                      <w:iCs/>
                      <w:sz w:val="18"/>
                      <w:szCs w:val="18"/>
                    </w:rPr>
                    <w:t xml:space="preserve">roportion </w:t>
                  </w:r>
                  <w:r>
                    <w:rPr>
                      <w:i/>
                      <w:iCs/>
                      <w:sz w:val="18"/>
                      <w:szCs w:val="18"/>
                    </w:rPr>
                    <w:t>vs</w:t>
                  </w:r>
                  <w:r w:rsidRPr="00BB49C8">
                    <w:rPr>
                      <w:i/>
                      <w:iCs/>
                      <w:sz w:val="18"/>
                      <w:szCs w:val="18"/>
                    </w:rPr>
                    <w:t xml:space="preserve"> total estimated cases)</w:t>
                  </w:r>
                </w:p>
              </w:tc>
              <w:tc>
                <w:tcPr>
                  <w:tcW w:w="1559" w:type="dxa"/>
                  <w:shd w:val="clear" w:color="auto" w:fill="BBDCFF" w:themeFill="accent5" w:themeFillTint="33"/>
                </w:tcPr>
                <w:p w14:paraId="2FB362F6" w14:textId="77777777" w:rsidR="008C7F6A" w:rsidRDefault="008C7F6A" w:rsidP="008C7F6A">
                  <w:pPr>
                    <w:spacing w:after="0"/>
                    <w:jc w:val="center"/>
                    <w:rPr>
                      <w:sz w:val="18"/>
                      <w:szCs w:val="18"/>
                    </w:rPr>
                  </w:pPr>
                  <w:r>
                    <w:rPr>
                      <w:sz w:val="18"/>
                      <w:szCs w:val="18"/>
                    </w:rPr>
                    <w:t>9,288</w:t>
                  </w:r>
                </w:p>
                <w:p w14:paraId="46457FC5" w14:textId="10A35DBB" w:rsidR="00BB49C8" w:rsidRPr="004070A9" w:rsidRDefault="00BB49C8" w:rsidP="008C7F6A">
                  <w:pPr>
                    <w:spacing w:after="0"/>
                    <w:jc w:val="center"/>
                    <w:rPr>
                      <w:sz w:val="18"/>
                      <w:szCs w:val="18"/>
                    </w:rPr>
                  </w:pPr>
                  <w:r>
                    <w:rPr>
                      <w:sz w:val="18"/>
                      <w:szCs w:val="18"/>
                    </w:rPr>
                    <w:t>(53%)</w:t>
                  </w:r>
                </w:p>
              </w:tc>
              <w:tc>
                <w:tcPr>
                  <w:tcW w:w="1701" w:type="dxa"/>
                  <w:shd w:val="clear" w:color="auto" w:fill="BBDCFF" w:themeFill="accent5" w:themeFillTint="33"/>
                </w:tcPr>
                <w:p w14:paraId="158C8DD3" w14:textId="77777777" w:rsidR="008C7F6A" w:rsidRDefault="008C7F6A" w:rsidP="008C7F6A">
                  <w:pPr>
                    <w:spacing w:after="0"/>
                    <w:jc w:val="center"/>
                    <w:rPr>
                      <w:sz w:val="18"/>
                      <w:szCs w:val="18"/>
                    </w:rPr>
                  </w:pPr>
                  <w:r>
                    <w:rPr>
                      <w:sz w:val="18"/>
                      <w:szCs w:val="18"/>
                    </w:rPr>
                    <w:t>10,655</w:t>
                  </w:r>
                </w:p>
                <w:p w14:paraId="734376A4" w14:textId="5363F38B" w:rsidR="00BB49C8" w:rsidRPr="004070A9" w:rsidRDefault="00BB49C8" w:rsidP="008C7F6A">
                  <w:pPr>
                    <w:spacing w:after="0"/>
                    <w:jc w:val="center"/>
                    <w:rPr>
                      <w:sz w:val="18"/>
                      <w:szCs w:val="18"/>
                    </w:rPr>
                  </w:pPr>
                  <w:r>
                    <w:rPr>
                      <w:sz w:val="18"/>
                      <w:szCs w:val="18"/>
                    </w:rPr>
                    <w:t>(58%)</w:t>
                  </w:r>
                </w:p>
              </w:tc>
              <w:tc>
                <w:tcPr>
                  <w:tcW w:w="1609" w:type="dxa"/>
                  <w:shd w:val="clear" w:color="auto" w:fill="BBDCFF" w:themeFill="accent5" w:themeFillTint="33"/>
                </w:tcPr>
                <w:p w14:paraId="0A85CDD4" w14:textId="77777777" w:rsidR="008C7F6A" w:rsidRDefault="008C7F6A" w:rsidP="008C7F6A">
                  <w:pPr>
                    <w:spacing w:after="0"/>
                    <w:jc w:val="center"/>
                    <w:rPr>
                      <w:sz w:val="18"/>
                      <w:szCs w:val="18"/>
                    </w:rPr>
                  </w:pPr>
                  <w:r>
                    <w:rPr>
                      <w:sz w:val="18"/>
                      <w:szCs w:val="18"/>
                    </w:rPr>
                    <w:t>11,713</w:t>
                  </w:r>
                </w:p>
                <w:p w14:paraId="7E2B55C1" w14:textId="04C18D88" w:rsidR="00BB49C8" w:rsidRPr="004070A9" w:rsidRDefault="00BB49C8" w:rsidP="008C7F6A">
                  <w:pPr>
                    <w:spacing w:after="0"/>
                    <w:jc w:val="center"/>
                    <w:rPr>
                      <w:sz w:val="18"/>
                      <w:szCs w:val="18"/>
                    </w:rPr>
                  </w:pPr>
                  <w:r>
                    <w:rPr>
                      <w:sz w:val="18"/>
                      <w:szCs w:val="18"/>
                    </w:rPr>
                    <w:t>(62%)</w:t>
                  </w:r>
                </w:p>
              </w:tc>
            </w:tr>
            <w:tr w:rsidR="00BB49C8" w:rsidRPr="004070A9" w14:paraId="46221C4A" w14:textId="77777777" w:rsidTr="00D0186A">
              <w:tc>
                <w:tcPr>
                  <w:tcW w:w="3185" w:type="dxa"/>
                  <w:shd w:val="clear" w:color="auto" w:fill="BBDCFF" w:themeFill="accent5" w:themeFillTint="33"/>
                </w:tcPr>
                <w:p w14:paraId="2A4DB7BF" w14:textId="11567F4E" w:rsidR="00BB49C8" w:rsidRPr="004070A9" w:rsidRDefault="00BB49C8" w:rsidP="00BB49C8">
                  <w:pPr>
                    <w:spacing w:after="0"/>
                    <w:rPr>
                      <w:sz w:val="18"/>
                      <w:szCs w:val="18"/>
                    </w:rPr>
                  </w:pPr>
                  <w:r>
                    <w:rPr>
                      <w:sz w:val="18"/>
                      <w:szCs w:val="18"/>
                    </w:rPr>
                    <w:t>MDR TB enrolled for treatment</w:t>
                  </w:r>
                </w:p>
              </w:tc>
              <w:tc>
                <w:tcPr>
                  <w:tcW w:w="1559" w:type="dxa"/>
                  <w:shd w:val="clear" w:color="auto" w:fill="BBDCFF" w:themeFill="accent5" w:themeFillTint="33"/>
                </w:tcPr>
                <w:p w14:paraId="06EF8BA5" w14:textId="77777777" w:rsidR="006D6C8E" w:rsidRDefault="006D6C8E" w:rsidP="00BB49C8">
                  <w:pPr>
                    <w:spacing w:after="0"/>
                    <w:jc w:val="center"/>
                    <w:rPr>
                      <w:sz w:val="18"/>
                      <w:szCs w:val="18"/>
                    </w:rPr>
                  </w:pPr>
                  <w:r>
                    <w:rPr>
                      <w:sz w:val="18"/>
                      <w:szCs w:val="18"/>
                    </w:rPr>
                    <w:t>8</w:t>
                  </w:r>
                  <w:r w:rsidR="00BB49C8">
                    <w:rPr>
                      <w:sz w:val="18"/>
                      <w:szCs w:val="18"/>
                    </w:rPr>
                    <w:t>,</w:t>
                  </w:r>
                  <w:r>
                    <w:rPr>
                      <w:sz w:val="18"/>
                      <w:szCs w:val="18"/>
                    </w:rPr>
                    <w:t>360</w:t>
                  </w:r>
                </w:p>
                <w:p w14:paraId="028ED270" w14:textId="28635CE5" w:rsidR="00BB49C8" w:rsidRPr="004070A9" w:rsidRDefault="006D6C8E" w:rsidP="00BB49C8">
                  <w:pPr>
                    <w:spacing w:after="0"/>
                    <w:jc w:val="center"/>
                    <w:rPr>
                      <w:sz w:val="18"/>
                      <w:szCs w:val="18"/>
                    </w:rPr>
                  </w:pPr>
                  <w:r>
                    <w:rPr>
                      <w:sz w:val="18"/>
                      <w:szCs w:val="18"/>
                    </w:rPr>
                    <w:t>(90%)</w:t>
                  </w:r>
                </w:p>
              </w:tc>
              <w:tc>
                <w:tcPr>
                  <w:tcW w:w="1701" w:type="dxa"/>
                  <w:shd w:val="clear" w:color="auto" w:fill="BBDCFF" w:themeFill="accent5" w:themeFillTint="33"/>
                </w:tcPr>
                <w:p w14:paraId="4A266222" w14:textId="77777777" w:rsidR="006D6C8E" w:rsidRDefault="006D6C8E" w:rsidP="00BB49C8">
                  <w:pPr>
                    <w:spacing w:after="0"/>
                    <w:jc w:val="center"/>
                    <w:rPr>
                      <w:sz w:val="18"/>
                      <w:szCs w:val="18"/>
                    </w:rPr>
                  </w:pPr>
                  <w:r>
                    <w:rPr>
                      <w:sz w:val="18"/>
                      <w:szCs w:val="18"/>
                    </w:rPr>
                    <w:t>10</w:t>
                  </w:r>
                  <w:r w:rsidR="00BB49C8">
                    <w:rPr>
                      <w:sz w:val="18"/>
                      <w:szCs w:val="18"/>
                    </w:rPr>
                    <w:t>,</w:t>
                  </w:r>
                  <w:r>
                    <w:rPr>
                      <w:sz w:val="18"/>
                      <w:szCs w:val="18"/>
                    </w:rPr>
                    <w:t>122</w:t>
                  </w:r>
                </w:p>
                <w:p w14:paraId="3C2BC112" w14:textId="72C6A7F5" w:rsidR="00BB49C8" w:rsidRPr="004070A9" w:rsidRDefault="006D6C8E" w:rsidP="00BB49C8">
                  <w:pPr>
                    <w:spacing w:after="0"/>
                    <w:jc w:val="center"/>
                    <w:rPr>
                      <w:sz w:val="18"/>
                      <w:szCs w:val="18"/>
                    </w:rPr>
                  </w:pPr>
                  <w:r>
                    <w:rPr>
                      <w:sz w:val="18"/>
                      <w:szCs w:val="18"/>
                    </w:rPr>
                    <w:t>(95%)</w:t>
                  </w:r>
                </w:p>
              </w:tc>
              <w:tc>
                <w:tcPr>
                  <w:tcW w:w="1609" w:type="dxa"/>
                  <w:shd w:val="clear" w:color="auto" w:fill="BBDCFF" w:themeFill="accent5" w:themeFillTint="33"/>
                </w:tcPr>
                <w:p w14:paraId="418B5CF1" w14:textId="77777777" w:rsidR="006D6C8E" w:rsidRDefault="006D6C8E" w:rsidP="00BB49C8">
                  <w:pPr>
                    <w:spacing w:after="0"/>
                    <w:jc w:val="center"/>
                    <w:rPr>
                      <w:sz w:val="18"/>
                      <w:szCs w:val="18"/>
                    </w:rPr>
                  </w:pPr>
                  <w:r>
                    <w:rPr>
                      <w:sz w:val="18"/>
                      <w:szCs w:val="18"/>
                    </w:rPr>
                    <w:t>11</w:t>
                  </w:r>
                  <w:r w:rsidR="00BB49C8">
                    <w:rPr>
                      <w:sz w:val="18"/>
                      <w:szCs w:val="18"/>
                    </w:rPr>
                    <w:t>,</w:t>
                  </w:r>
                  <w:r>
                    <w:rPr>
                      <w:sz w:val="18"/>
                      <w:szCs w:val="18"/>
                    </w:rPr>
                    <w:t>127</w:t>
                  </w:r>
                </w:p>
                <w:p w14:paraId="759A93B9" w14:textId="68B9F8D1" w:rsidR="00BB49C8" w:rsidRPr="004070A9" w:rsidRDefault="006D6C8E" w:rsidP="00BB49C8">
                  <w:pPr>
                    <w:spacing w:after="0"/>
                    <w:jc w:val="center"/>
                    <w:rPr>
                      <w:sz w:val="18"/>
                      <w:szCs w:val="18"/>
                    </w:rPr>
                  </w:pPr>
                  <w:r>
                    <w:rPr>
                      <w:sz w:val="18"/>
                      <w:szCs w:val="18"/>
                    </w:rPr>
                    <w:t>(95%)</w:t>
                  </w:r>
                </w:p>
              </w:tc>
            </w:tr>
            <w:tr w:rsidR="00BB49C8" w:rsidRPr="004070A9" w14:paraId="7D26B25B" w14:textId="77777777" w:rsidTr="00D0186A">
              <w:tc>
                <w:tcPr>
                  <w:tcW w:w="3185" w:type="dxa"/>
                  <w:shd w:val="clear" w:color="auto" w:fill="BBDCFF" w:themeFill="accent5" w:themeFillTint="33"/>
                </w:tcPr>
                <w:p w14:paraId="4631F217" w14:textId="77777777" w:rsidR="00BB49C8" w:rsidRDefault="00BB49C8" w:rsidP="00BB49C8">
                  <w:pPr>
                    <w:spacing w:after="0"/>
                    <w:rPr>
                      <w:sz w:val="18"/>
                      <w:szCs w:val="18"/>
                    </w:rPr>
                  </w:pPr>
                  <w:r>
                    <w:rPr>
                      <w:sz w:val="18"/>
                      <w:szCs w:val="18"/>
                    </w:rPr>
                    <w:t>MDR TB patients tested with LPA</w:t>
                  </w:r>
                </w:p>
                <w:p w14:paraId="25A414EE" w14:textId="1844070D" w:rsidR="00BB49C8" w:rsidRPr="00BB49C8" w:rsidRDefault="00BB49C8" w:rsidP="00BB49C8">
                  <w:pPr>
                    <w:spacing w:after="0"/>
                    <w:rPr>
                      <w:i/>
                      <w:iCs/>
                      <w:sz w:val="18"/>
                      <w:szCs w:val="18"/>
                    </w:rPr>
                  </w:pPr>
                  <w:r w:rsidRPr="00BB49C8">
                    <w:rPr>
                      <w:i/>
                      <w:iCs/>
                      <w:sz w:val="18"/>
                      <w:szCs w:val="18"/>
                    </w:rPr>
                    <w:t>(Proportion versus eligible pop)</w:t>
                  </w:r>
                </w:p>
              </w:tc>
              <w:tc>
                <w:tcPr>
                  <w:tcW w:w="1559" w:type="dxa"/>
                  <w:shd w:val="clear" w:color="auto" w:fill="BBDCFF" w:themeFill="accent5" w:themeFillTint="33"/>
                </w:tcPr>
                <w:p w14:paraId="787E7B24" w14:textId="77777777" w:rsidR="00BB49C8" w:rsidRDefault="00BB49C8" w:rsidP="00BB49C8">
                  <w:pPr>
                    <w:spacing w:after="0"/>
                    <w:jc w:val="center"/>
                    <w:rPr>
                      <w:sz w:val="18"/>
                      <w:szCs w:val="18"/>
                    </w:rPr>
                  </w:pPr>
                  <w:r>
                    <w:rPr>
                      <w:sz w:val="18"/>
                      <w:szCs w:val="18"/>
                    </w:rPr>
                    <w:t>8,360</w:t>
                  </w:r>
                </w:p>
                <w:p w14:paraId="22C3C455" w14:textId="492A7BD3" w:rsidR="00BB49C8" w:rsidRPr="004070A9" w:rsidRDefault="00BB49C8" w:rsidP="00BB49C8">
                  <w:pPr>
                    <w:spacing w:after="0"/>
                    <w:jc w:val="center"/>
                    <w:rPr>
                      <w:sz w:val="18"/>
                      <w:szCs w:val="18"/>
                    </w:rPr>
                  </w:pPr>
                </w:p>
              </w:tc>
              <w:tc>
                <w:tcPr>
                  <w:tcW w:w="1701" w:type="dxa"/>
                  <w:shd w:val="clear" w:color="auto" w:fill="BBDCFF" w:themeFill="accent5" w:themeFillTint="33"/>
                </w:tcPr>
                <w:p w14:paraId="390EB755" w14:textId="77777777" w:rsidR="00BB49C8" w:rsidRDefault="00BB49C8" w:rsidP="00BB49C8">
                  <w:pPr>
                    <w:spacing w:after="0"/>
                    <w:jc w:val="center"/>
                    <w:rPr>
                      <w:sz w:val="18"/>
                      <w:szCs w:val="18"/>
                    </w:rPr>
                  </w:pPr>
                  <w:r>
                    <w:rPr>
                      <w:sz w:val="18"/>
                      <w:szCs w:val="18"/>
                    </w:rPr>
                    <w:t>10,122</w:t>
                  </w:r>
                </w:p>
                <w:p w14:paraId="4B4FAA80" w14:textId="65862E86" w:rsidR="00BB49C8" w:rsidRPr="004070A9" w:rsidRDefault="00BB49C8" w:rsidP="00BB49C8">
                  <w:pPr>
                    <w:spacing w:after="0"/>
                    <w:jc w:val="center"/>
                    <w:rPr>
                      <w:sz w:val="18"/>
                      <w:szCs w:val="18"/>
                    </w:rPr>
                  </w:pPr>
                </w:p>
              </w:tc>
              <w:tc>
                <w:tcPr>
                  <w:tcW w:w="1609" w:type="dxa"/>
                  <w:shd w:val="clear" w:color="auto" w:fill="BBDCFF" w:themeFill="accent5" w:themeFillTint="33"/>
                </w:tcPr>
                <w:p w14:paraId="3758D76C" w14:textId="77777777" w:rsidR="00BB49C8" w:rsidRDefault="00BB49C8" w:rsidP="00BB49C8">
                  <w:pPr>
                    <w:spacing w:after="0"/>
                    <w:jc w:val="center"/>
                    <w:rPr>
                      <w:sz w:val="18"/>
                      <w:szCs w:val="18"/>
                    </w:rPr>
                  </w:pPr>
                  <w:r>
                    <w:rPr>
                      <w:sz w:val="18"/>
                      <w:szCs w:val="18"/>
                    </w:rPr>
                    <w:t xml:space="preserve">11,127 </w:t>
                  </w:r>
                </w:p>
                <w:p w14:paraId="4A4CBE20" w14:textId="519567C2" w:rsidR="00BB49C8" w:rsidRPr="004070A9" w:rsidRDefault="00BB49C8" w:rsidP="00BB49C8">
                  <w:pPr>
                    <w:spacing w:after="0"/>
                    <w:jc w:val="center"/>
                    <w:rPr>
                      <w:sz w:val="18"/>
                      <w:szCs w:val="18"/>
                    </w:rPr>
                  </w:pPr>
                </w:p>
              </w:tc>
            </w:tr>
            <w:tr w:rsidR="00BB64AA" w:rsidRPr="004070A9" w14:paraId="39FF2C15" w14:textId="77777777" w:rsidTr="00D0186A">
              <w:tc>
                <w:tcPr>
                  <w:tcW w:w="3185" w:type="dxa"/>
                  <w:shd w:val="clear" w:color="auto" w:fill="BBDCFF" w:themeFill="accent5" w:themeFillTint="33"/>
                </w:tcPr>
                <w:p w14:paraId="755CAB51" w14:textId="30F4A201" w:rsidR="00BB64AA" w:rsidRDefault="00146F18" w:rsidP="00BB49C8">
                  <w:pPr>
                    <w:spacing w:after="0"/>
                    <w:rPr>
                      <w:sz w:val="18"/>
                      <w:szCs w:val="18"/>
                    </w:rPr>
                  </w:pPr>
                  <w:r>
                    <w:rPr>
                      <w:sz w:val="18"/>
                      <w:szCs w:val="18"/>
                    </w:rPr>
                    <w:t xml:space="preserve">MDR TB </w:t>
                  </w:r>
                  <w:r w:rsidR="00BB64AA">
                    <w:rPr>
                      <w:sz w:val="18"/>
                      <w:szCs w:val="18"/>
                    </w:rPr>
                    <w:t xml:space="preserve">Treatment Success Rate </w:t>
                  </w:r>
                </w:p>
              </w:tc>
              <w:tc>
                <w:tcPr>
                  <w:tcW w:w="1559" w:type="dxa"/>
                  <w:shd w:val="clear" w:color="auto" w:fill="BBDCFF" w:themeFill="accent5" w:themeFillTint="33"/>
                </w:tcPr>
                <w:p w14:paraId="7F253F8D" w14:textId="1DACE8FC" w:rsidR="00BB64AA" w:rsidRDefault="00BB64AA" w:rsidP="00BB49C8">
                  <w:pPr>
                    <w:spacing w:after="0"/>
                    <w:jc w:val="center"/>
                    <w:rPr>
                      <w:sz w:val="18"/>
                      <w:szCs w:val="18"/>
                    </w:rPr>
                  </w:pPr>
                  <w:r>
                    <w:rPr>
                      <w:sz w:val="18"/>
                      <w:szCs w:val="18"/>
                    </w:rPr>
                    <w:t>75%</w:t>
                  </w:r>
                </w:p>
              </w:tc>
              <w:tc>
                <w:tcPr>
                  <w:tcW w:w="1701" w:type="dxa"/>
                  <w:shd w:val="clear" w:color="auto" w:fill="BBDCFF" w:themeFill="accent5" w:themeFillTint="33"/>
                </w:tcPr>
                <w:p w14:paraId="5304119D" w14:textId="7A4F651A" w:rsidR="00BB64AA" w:rsidRDefault="00BB64AA" w:rsidP="00BB49C8">
                  <w:pPr>
                    <w:spacing w:after="0"/>
                    <w:jc w:val="center"/>
                    <w:rPr>
                      <w:sz w:val="18"/>
                      <w:szCs w:val="18"/>
                    </w:rPr>
                  </w:pPr>
                  <w:r>
                    <w:rPr>
                      <w:sz w:val="18"/>
                      <w:szCs w:val="18"/>
                    </w:rPr>
                    <w:t>85%</w:t>
                  </w:r>
                </w:p>
              </w:tc>
              <w:tc>
                <w:tcPr>
                  <w:tcW w:w="1609" w:type="dxa"/>
                  <w:shd w:val="clear" w:color="auto" w:fill="BBDCFF" w:themeFill="accent5" w:themeFillTint="33"/>
                </w:tcPr>
                <w:p w14:paraId="5E248495" w14:textId="22E7869C" w:rsidR="00BB64AA" w:rsidRDefault="00BB64AA" w:rsidP="00BB49C8">
                  <w:pPr>
                    <w:spacing w:after="0"/>
                    <w:jc w:val="center"/>
                    <w:rPr>
                      <w:sz w:val="18"/>
                      <w:szCs w:val="18"/>
                    </w:rPr>
                  </w:pPr>
                  <w:r>
                    <w:rPr>
                      <w:sz w:val="18"/>
                      <w:szCs w:val="18"/>
                    </w:rPr>
                    <w:t>85%</w:t>
                  </w:r>
                </w:p>
              </w:tc>
            </w:tr>
          </w:tbl>
          <w:p w14:paraId="4E3CFA83" w14:textId="1C618F81" w:rsidR="00483352" w:rsidRDefault="00483352" w:rsidP="00E07C20">
            <w:pPr>
              <w:pStyle w:val="ListParagraph"/>
              <w:numPr>
                <w:ilvl w:val="0"/>
                <w:numId w:val="45"/>
              </w:numPr>
              <w:spacing w:after="0"/>
            </w:pPr>
            <w:r>
              <w:t xml:space="preserve">Scale up in use of TB molecular diagnosis for both public and private health care facilities. </w:t>
            </w:r>
          </w:p>
          <w:p w14:paraId="57DEAD05" w14:textId="0FA529B0" w:rsidR="00274301" w:rsidRPr="00973F14" w:rsidRDefault="00BB49C8" w:rsidP="00E07C20">
            <w:pPr>
              <w:pStyle w:val="ListParagraph"/>
              <w:numPr>
                <w:ilvl w:val="0"/>
                <w:numId w:val="45"/>
              </w:numPr>
              <w:spacing w:after="0"/>
            </w:pPr>
            <w:r w:rsidRPr="00973F14">
              <w:t>Establish</w:t>
            </w:r>
            <w:r w:rsidR="00973F14" w:rsidRPr="00973F14">
              <w:t>ment</w:t>
            </w:r>
            <w:r w:rsidRPr="00973F14">
              <w:t xml:space="preserve"> </w:t>
            </w:r>
            <w:r w:rsidR="00973F14" w:rsidRPr="00973F14">
              <w:t xml:space="preserve">of functional </w:t>
            </w:r>
            <w:r w:rsidRPr="00973F14">
              <w:t>TB HCPN for all 2600 iDOTS facilities.</w:t>
            </w:r>
          </w:p>
          <w:p w14:paraId="0D93693F" w14:textId="77777777" w:rsidR="00274301" w:rsidRPr="00973F14" w:rsidRDefault="00274301" w:rsidP="00E07C20">
            <w:pPr>
              <w:pStyle w:val="ListParagraph"/>
              <w:numPr>
                <w:ilvl w:val="0"/>
                <w:numId w:val="45"/>
              </w:numPr>
              <w:spacing w:after="0"/>
            </w:pPr>
            <w:r w:rsidRPr="00973F14">
              <w:t>Establishment of EQA protocols for LPA and Xpert</w:t>
            </w:r>
          </w:p>
          <w:p w14:paraId="5A863E83" w14:textId="43A5BB95" w:rsidR="008C7F6A" w:rsidRPr="00274301" w:rsidRDefault="008C7F6A" w:rsidP="00274301">
            <w:pPr>
              <w:spacing w:after="0"/>
            </w:pPr>
          </w:p>
        </w:tc>
      </w:tr>
      <w:tr w:rsidR="008C7F6A" w:rsidRPr="007F7A64" w14:paraId="51D02314" w14:textId="77777777" w:rsidTr="00D0186A">
        <w:trPr>
          <w:trHeight w:val="288"/>
        </w:trPr>
        <w:tc>
          <w:tcPr>
            <w:tcW w:w="2520" w:type="dxa"/>
            <w:shd w:val="clear" w:color="auto" w:fill="F2F2F2"/>
            <w:vAlign w:val="center"/>
          </w:tcPr>
          <w:p w14:paraId="387E3476" w14:textId="77777777" w:rsidR="008C7F6A" w:rsidRPr="00C44844" w:rsidRDefault="008C7F6A" w:rsidP="00D0186A">
            <w:pPr>
              <w:spacing w:after="0"/>
              <w:rPr>
                <w:b/>
              </w:rPr>
            </w:pPr>
            <w:r w:rsidRPr="007F7A64">
              <w:rPr>
                <w:b/>
              </w:rPr>
              <w:t>Expected Investment</w:t>
            </w:r>
          </w:p>
        </w:tc>
        <w:tc>
          <w:tcPr>
            <w:tcW w:w="8280" w:type="dxa"/>
          </w:tcPr>
          <w:p w14:paraId="71E31568" w14:textId="3B4D831E" w:rsidR="00274301" w:rsidRDefault="00FE4242" w:rsidP="00D0186A">
            <w:pPr>
              <w:spacing w:after="0"/>
            </w:pPr>
            <w:r w:rsidRPr="00FE4242">
              <w:rPr>
                <w:b/>
                <w:bCs/>
                <w:sz w:val="24"/>
                <w:szCs w:val="24"/>
              </w:rPr>
              <w:t>USD 74,291,746</w:t>
            </w:r>
          </w:p>
          <w:p w14:paraId="5CAF72B3" w14:textId="2E242630" w:rsidR="00274301" w:rsidRPr="007F7A64" w:rsidRDefault="00274301" w:rsidP="00274301">
            <w:pPr>
              <w:spacing w:after="0"/>
            </w:pPr>
            <w:r>
              <w:t xml:space="preserve">Specific to procurement of SLDs and Ancillary Medicines, DOH will procure the following requirements: </w:t>
            </w:r>
            <w:r w:rsidRPr="00274301">
              <w:t>2021: 12%; 2022: 17%; and 2023: 22%</w:t>
            </w:r>
            <w:r w:rsidR="007A440D" w:rsidRPr="007A440D">
              <w:t>$4,806,522</w:t>
            </w:r>
          </w:p>
        </w:tc>
      </w:tr>
    </w:tbl>
    <w:p w14:paraId="763A45DD" w14:textId="34971616" w:rsidR="008C7F6A" w:rsidRDefault="008C7F6A" w:rsidP="009B6C0D">
      <w:pPr>
        <w:spacing w:after="0"/>
      </w:pPr>
    </w:p>
    <w:p w14:paraId="23372BED" w14:textId="77777777" w:rsidR="008C7F6A" w:rsidRPr="005305D5" w:rsidRDefault="008C7F6A" w:rsidP="009B6C0D">
      <w:pPr>
        <w:spacing w:after="0"/>
      </w:pPr>
    </w:p>
    <w:tbl>
      <w:tblPr>
        <w:tblStyle w:val="TableGrid30"/>
        <w:tblW w:w="10800" w:type="dxa"/>
        <w:tblInd w:w="-5" w:type="dxa"/>
        <w:tblLook w:val="04A0" w:firstRow="1" w:lastRow="0" w:firstColumn="1" w:lastColumn="0" w:noHBand="0" w:noVBand="1"/>
      </w:tblPr>
      <w:tblGrid>
        <w:gridCol w:w="2520"/>
        <w:gridCol w:w="8280"/>
      </w:tblGrid>
      <w:tr w:rsidR="0098274C" w:rsidRPr="00FB015B" w14:paraId="453CB7FC" w14:textId="77777777" w:rsidTr="006E7C05">
        <w:trPr>
          <w:trHeight w:val="288"/>
        </w:trPr>
        <w:tc>
          <w:tcPr>
            <w:tcW w:w="2520" w:type="dxa"/>
            <w:shd w:val="clear" w:color="auto" w:fill="F2F2F2"/>
            <w:vAlign w:val="center"/>
          </w:tcPr>
          <w:p w14:paraId="3D43A844" w14:textId="4ADCEB12" w:rsidR="0098274C" w:rsidRPr="00FB015B" w:rsidRDefault="0098274C" w:rsidP="009B6C0D">
            <w:pPr>
              <w:spacing w:after="0"/>
              <w:rPr>
                <w:rFonts w:cstheme="minorHAnsi"/>
                <w:b/>
              </w:rPr>
            </w:pPr>
            <w:r w:rsidRPr="00FB015B">
              <w:rPr>
                <w:rFonts w:cstheme="minorHAnsi"/>
                <w:b/>
              </w:rPr>
              <w:t>Module #</w:t>
            </w:r>
            <w:r w:rsidR="008C7F6A" w:rsidRPr="00FB015B">
              <w:rPr>
                <w:rFonts w:cstheme="minorHAnsi"/>
                <w:b/>
              </w:rPr>
              <w:t xml:space="preserve"> 2</w:t>
            </w:r>
          </w:p>
        </w:tc>
        <w:tc>
          <w:tcPr>
            <w:tcW w:w="8280" w:type="dxa"/>
          </w:tcPr>
          <w:p w14:paraId="679B208D" w14:textId="38F1F876" w:rsidR="0098274C" w:rsidRPr="00FB015B" w:rsidRDefault="004A2539" w:rsidP="009B6C0D">
            <w:pPr>
              <w:spacing w:after="0"/>
              <w:rPr>
                <w:rFonts w:cstheme="minorHAnsi"/>
              </w:rPr>
            </w:pPr>
            <w:r w:rsidRPr="00FB015B">
              <w:rPr>
                <w:rFonts w:cstheme="minorHAnsi"/>
              </w:rPr>
              <w:t xml:space="preserve">TB Care and Prevention </w:t>
            </w:r>
          </w:p>
        </w:tc>
      </w:tr>
      <w:tr w:rsidR="0098274C" w:rsidRPr="00FB015B" w14:paraId="10C1B12F" w14:textId="77777777" w:rsidTr="006E7C05">
        <w:trPr>
          <w:trHeight w:val="288"/>
        </w:trPr>
        <w:tc>
          <w:tcPr>
            <w:tcW w:w="2520" w:type="dxa"/>
            <w:shd w:val="clear" w:color="auto" w:fill="F2F2F2"/>
            <w:vAlign w:val="center"/>
          </w:tcPr>
          <w:p w14:paraId="456B1491" w14:textId="3EB96621" w:rsidR="0098274C" w:rsidRPr="00FB015B" w:rsidRDefault="0098274C" w:rsidP="009B6C0D">
            <w:pPr>
              <w:spacing w:after="0"/>
              <w:rPr>
                <w:rFonts w:cstheme="minorHAnsi"/>
                <w:b/>
              </w:rPr>
            </w:pPr>
            <w:r w:rsidRPr="00FB015B">
              <w:rPr>
                <w:rFonts w:cstheme="minorHAnsi"/>
                <w:b/>
              </w:rPr>
              <w:t>Intervention(s)</w:t>
            </w:r>
            <w:r w:rsidR="007B5B88" w:rsidRPr="00FB015B">
              <w:rPr>
                <w:rFonts w:cstheme="minorHAnsi"/>
                <w:b/>
              </w:rPr>
              <w:t xml:space="preserve"> &amp; Key Activities</w:t>
            </w:r>
          </w:p>
        </w:tc>
        <w:tc>
          <w:tcPr>
            <w:tcW w:w="8280" w:type="dxa"/>
          </w:tcPr>
          <w:p w14:paraId="5A7143E4" w14:textId="10629235" w:rsidR="00F140FF" w:rsidRPr="00FB015B" w:rsidRDefault="004863A9" w:rsidP="00E07C20">
            <w:pPr>
              <w:pStyle w:val="ListParagraph"/>
              <w:numPr>
                <w:ilvl w:val="0"/>
                <w:numId w:val="40"/>
              </w:numPr>
              <w:spacing w:after="0"/>
              <w:rPr>
                <w:rFonts w:cstheme="minorHAnsi"/>
              </w:rPr>
            </w:pPr>
            <w:r w:rsidRPr="00FB015B">
              <w:rPr>
                <w:rFonts w:cstheme="minorHAnsi"/>
                <w:b/>
                <w:bCs/>
              </w:rPr>
              <w:t>A</w:t>
            </w:r>
            <w:r w:rsidR="00DC6662" w:rsidRPr="00FB015B">
              <w:rPr>
                <w:rFonts w:cstheme="minorHAnsi"/>
                <w:b/>
                <w:bCs/>
              </w:rPr>
              <w:t>ctive</w:t>
            </w:r>
            <w:r w:rsidR="008B0651">
              <w:rPr>
                <w:rFonts w:cstheme="minorHAnsi"/>
                <w:b/>
                <w:bCs/>
              </w:rPr>
              <w:t xml:space="preserve">/Intensified/Enhanced </w:t>
            </w:r>
            <w:r w:rsidR="00DC6662" w:rsidRPr="00FB015B">
              <w:rPr>
                <w:rFonts w:cstheme="minorHAnsi"/>
                <w:b/>
                <w:bCs/>
              </w:rPr>
              <w:t xml:space="preserve">Case Finding among most at risk </w:t>
            </w:r>
            <w:r w:rsidR="001E309E">
              <w:rPr>
                <w:rFonts w:cstheme="minorHAnsi"/>
                <w:b/>
                <w:bCs/>
              </w:rPr>
              <w:t xml:space="preserve">and vulnerable </w:t>
            </w:r>
            <w:r w:rsidR="00DC6662" w:rsidRPr="00FB015B">
              <w:rPr>
                <w:rFonts w:cstheme="minorHAnsi"/>
                <w:b/>
                <w:bCs/>
              </w:rPr>
              <w:t>population groups.</w:t>
            </w:r>
            <w:r w:rsidR="00DC6662" w:rsidRPr="00FB015B">
              <w:rPr>
                <w:rFonts w:cstheme="minorHAnsi"/>
              </w:rPr>
              <w:t xml:space="preserve"> This will be done </w:t>
            </w:r>
            <w:r w:rsidR="00AB5ACA" w:rsidRPr="00FB015B">
              <w:rPr>
                <w:rFonts w:cstheme="minorHAnsi"/>
              </w:rPr>
              <w:t xml:space="preserve">by scaling-up </w:t>
            </w:r>
            <w:r w:rsidR="002759B2" w:rsidRPr="00FB015B">
              <w:rPr>
                <w:rFonts w:cstheme="minorHAnsi"/>
              </w:rPr>
              <w:t xml:space="preserve">four </w:t>
            </w:r>
            <w:r w:rsidR="00AB5ACA" w:rsidRPr="00FB015B">
              <w:rPr>
                <w:rFonts w:cstheme="minorHAnsi"/>
              </w:rPr>
              <w:t>ACF</w:t>
            </w:r>
            <w:r w:rsidR="00483352">
              <w:rPr>
                <w:rFonts w:cstheme="minorHAnsi"/>
              </w:rPr>
              <w:t xml:space="preserve"> (guided by the 6</w:t>
            </w:r>
            <w:r w:rsidR="00483352" w:rsidRPr="00483352">
              <w:rPr>
                <w:rFonts w:cstheme="minorHAnsi"/>
                <w:vertAlign w:val="superscript"/>
              </w:rPr>
              <w:t>th</w:t>
            </w:r>
            <w:r w:rsidR="00483352">
              <w:rPr>
                <w:rFonts w:cstheme="minorHAnsi"/>
              </w:rPr>
              <w:t xml:space="preserve"> edition of the NTP-Manual of Procedures)</w:t>
            </w:r>
            <w:r w:rsidR="00AB5ACA" w:rsidRPr="00FB015B">
              <w:rPr>
                <w:rFonts w:cstheme="minorHAnsi"/>
              </w:rPr>
              <w:t xml:space="preserve"> activities currently being done under the AccessTB Project and TB Innovations Project </w:t>
            </w:r>
            <w:r w:rsidR="002759B2" w:rsidRPr="00FB015B">
              <w:rPr>
                <w:rFonts w:cstheme="minorHAnsi"/>
              </w:rPr>
              <w:t xml:space="preserve">that </w:t>
            </w:r>
            <w:r w:rsidR="00AB5ACA" w:rsidRPr="00FB015B">
              <w:rPr>
                <w:rFonts w:cstheme="minorHAnsi"/>
              </w:rPr>
              <w:t>yield</w:t>
            </w:r>
            <w:r w:rsidR="002759B2" w:rsidRPr="00FB015B">
              <w:rPr>
                <w:rFonts w:cstheme="minorHAnsi"/>
              </w:rPr>
              <w:t>ed</w:t>
            </w:r>
            <w:r w:rsidR="00AB5ACA" w:rsidRPr="00FB015B">
              <w:rPr>
                <w:rFonts w:cstheme="minorHAnsi"/>
              </w:rPr>
              <w:t xml:space="preserve"> promising results:</w:t>
            </w:r>
            <w:r w:rsidR="00DC6662" w:rsidRPr="00FB015B">
              <w:rPr>
                <w:rFonts w:cstheme="minorHAnsi"/>
              </w:rPr>
              <w:t xml:space="preserve"> </w:t>
            </w:r>
          </w:p>
          <w:p w14:paraId="5850DADC" w14:textId="77777777" w:rsidR="00F140FF" w:rsidRPr="00903374" w:rsidRDefault="00DC6662" w:rsidP="00903374">
            <w:pPr>
              <w:pStyle w:val="ListParagraph"/>
              <w:numPr>
                <w:ilvl w:val="1"/>
                <w:numId w:val="40"/>
              </w:numPr>
              <w:spacing w:after="0" w:line="276" w:lineRule="auto"/>
              <w:rPr>
                <w:rFonts w:cstheme="minorHAnsi"/>
                <w:i/>
                <w:iCs/>
              </w:rPr>
            </w:pPr>
            <w:r w:rsidRPr="00903374">
              <w:rPr>
                <w:rFonts w:cstheme="minorHAnsi"/>
                <w:i/>
                <w:iCs/>
              </w:rPr>
              <w:t xml:space="preserve">PR will optimize use of four existing mobile clinics as a one-stop-shop facility for TB diagnosis, being equipped with Digital Xray with AI and Xpert MTB/Rif to find missing cases among poor communities in the NCR, Region 3, and Region 4A. </w:t>
            </w:r>
            <w:r w:rsidR="00F140FF" w:rsidRPr="00903374">
              <w:rPr>
                <w:rFonts w:cstheme="minorHAnsi"/>
                <w:i/>
                <w:iCs/>
              </w:rPr>
              <w:t xml:space="preserve">This will be guided by a presumptive masterlist generated by the TB facilities and link to HIV testing and TPT will be an integral part of the service. </w:t>
            </w:r>
          </w:p>
          <w:p w14:paraId="726DE35A" w14:textId="670FDAA6" w:rsidR="00F140FF" w:rsidRPr="00903374" w:rsidRDefault="002A4F08" w:rsidP="00903374">
            <w:pPr>
              <w:pStyle w:val="ListParagraph"/>
              <w:numPr>
                <w:ilvl w:val="1"/>
                <w:numId w:val="40"/>
              </w:numPr>
              <w:spacing w:after="0" w:line="276" w:lineRule="auto"/>
              <w:rPr>
                <w:rFonts w:cstheme="minorHAnsi"/>
                <w:i/>
                <w:iCs/>
              </w:rPr>
            </w:pPr>
            <w:r w:rsidRPr="00903374">
              <w:rPr>
                <w:rFonts w:cstheme="minorHAnsi"/>
                <w:i/>
                <w:iCs/>
              </w:rPr>
              <w:t xml:space="preserve">Approach is like that of (a) </w:t>
            </w:r>
            <w:r w:rsidR="00F140FF" w:rsidRPr="00903374">
              <w:rPr>
                <w:rFonts w:cstheme="minorHAnsi"/>
                <w:i/>
                <w:iCs/>
              </w:rPr>
              <w:t xml:space="preserve">but ACF will be </w:t>
            </w:r>
            <w:r w:rsidRPr="00903374">
              <w:rPr>
                <w:rFonts w:cstheme="minorHAnsi"/>
                <w:i/>
                <w:iCs/>
              </w:rPr>
              <w:t xml:space="preserve">managed </w:t>
            </w:r>
            <w:r w:rsidR="00F140FF" w:rsidRPr="00903374">
              <w:rPr>
                <w:rFonts w:cstheme="minorHAnsi"/>
                <w:i/>
                <w:iCs/>
              </w:rPr>
              <w:t xml:space="preserve">by twenty NGOs </w:t>
            </w:r>
            <w:r w:rsidRPr="00903374">
              <w:rPr>
                <w:rFonts w:cstheme="minorHAnsi"/>
                <w:i/>
                <w:iCs/>
              </w:rPr>
              <w:t xml:space="preserve">contracted by the PR </w:t>
            </w:r>
            <w:r w:rsidR="00F140FF" w:rsidRPr="00903374">
              <w:rPr>
                <w:rFonts w:cstheme="minorHAnsi"/>
                <w:i/>
                <w:iCs/>
              </w:rPr>
              <w:t xml:space="preserve">to cover </w:t>
            </w:r>
            <w:r w:rsidRPr="00903374">
              <w:rPr>
                <w:rFonts w:cstheme="minorHAnsi"/>
                <w:i/>
                <w:iCs/>
              </w:rPr>
              <w:t xml:space="preserve">the rest of the regions. </w:t>
            </w:r>
            <w:r w:rsidR="00F140FF" w:rsidRPr="00903374">
              <w:rPr>
                <w:rFonts w:cstheme="minorHAnsi"/>
                <w:i/>
                <w:iCs/>
              </w:rPr>
              <w:t>Furthermore, it will include TB &amp; HIV education sessions and outsourcing of CxR mobile vans.</w:t>
            </w:r>
          </w:p>
          <w:p w14:paraId="1E941663" w14:textId="7476784E" w:rsidR="00FB015B" w:rsidRPr="00903374" w:rsidRDefault="00FB015B" w:rsidP="00903374">
            <w:pPr>
              <w:pStyle w:val="ListParagraph"/>
              <w:numPr>
                <w:ilvl w:val="1"/>
                <w:numId w:val="40"/>
              </w:numPr>
              <w:spacing w:after="0" w:line="276" w:lineRule="auto"/>
              <w:rPr>
                <w:rFonts w:cstheme="minorHAnsi"/>
                <w:i/>
                <w:iCs/>
              </w:rPr>
            </w:pPr>
            <w:r w:rsidRPr="00903374">
              <w:rPr>
                <w:rFonts w:cstheme="minorHAnsi"/>
                <w:i/>
                <w:iCs/>
              </w:rPr>
              <w:t xml:space="preserve">Intensified case finding in high-volume facilities. Following a selection criterion, PR in consultation with DOH will identify high-volume facilities (public and private hospitals and diagnostic facilities) nationwide where </w:t>
            </w:r>
            <w:r w:rsidR="00483352">
              <w:rPr>
                <w:rFonts w:cstheme="minorHAnsi"/>
                <w:i/>
                <w:iCs/>
              </w:rPr>
              <w:t>I</w:t>
            </w:r>
            <w:r w:rsidRPr="00903374">
              <w:rPr>
                <w:rFonts w:cstheme="minorHAnsi"/>
                <w:i/>
                <w:iCs/>
              </w:rPr>
              <w:t xml:space="preserve">CF using CxR voucher system will be arranged. Protocol will be consistent with the guidelines for ACF in facilities as outlined in the NTP MOP.   </w:t>
            </w:r>
          </w:p>
          <w:p w14:paraId="5C903A11" w14:textId="1AEB8289" w:rsidR="002A4F08" w:rsidRPr="00903374" w:rsidRDefault="00F140FF" w:rsidP="00903374">
            <w:pPr>
              <w:pStyle w:val="ListParagraph"/>
              <w:numPr>
                <w:ilvl w:val="1"/>
                <w:numId w:val="40"/>
              </w:numPr>
              <w:spacing w:after="0" w:line="276" w:lineRule="auto"/>
              <w:rPr>
                <w:rFonts w:cstheme="minorHAnsi"/>
                <w:sz w:val="24"/>
                <w:szCs w:val="24"/>
              </w:rPr>
            </w:pPr>
            <w:r w:rsidRPr="00903374">
              <w:rPr>
                <w:rFonts w:cstheme="minorHAnsi"/>
                <w:i/>
                <w:iCs/>
              </w:rPr>
              <w:t xml:space="preserve">PR to engage the Bureau of Jails Management and Penology </w:t>
            </w:r>
            <w:r w:rsidR="004B1885" w:rsidRPr="00903374">
              <w:rPr>
                <w:rFonts w:cstheme="minorHAnsi"/>
                <w:i/>
                <w:iCs/>
              </w:rPr>
              <w:t xml:space="preserve">(BJMP) </w:t>
            </w:r>
            <w:r w:rsidRPr="00903374">
              <w:rPr>
                <w:rFonts w:cstheme="minorHAnsi"/>
                <w:i/>
                <w:iCs/>
              </w:rPr>
              <w:t>for the conduct of ACF among PDLs nationwide</w:t>
            </w:r>
            <w:r w:rsidR="002A4F08" w:rsidRPr="00903374">
              <w:rPr>
                <w:rFonts w:cstheme="minorHAnsi"/>
                <w:i/>
                <w:iCs/>
              </w:rPr>
              <w:t xml:space="preserve">, following the guidelines outlined in the NTP manual of procedures. A new </w:t>
            </w:r>
            <w:r w:rsidR="00AB5ACA" w:rsidRPr="00903374">
              <w:rPr>
                <w:rFonts w:cstheme="minorHAnsi"/>
                <w:i/>
                <w:iCs/>
              </w:rPr>
              <w:t xml:space="preserve">element in the </w:t>
            </w:r>
            <w:r w:rsidR="002A4F08" w:rsidRPr="00903374">
              <w:rPr>
                <w:rFonts w:cstheme="minorHAnsi"/>
                <w:i/>
                <w:iCs/>
              </w:rPr>
              <w:t xml:space="preserve">approach </w:t>
            </w:r>
            <w:r w:rsidR="00AB5ACA" w:rsidRPr="00903374">
              <w:rPr>
                <w:rFonts w:cstheme="minorHAnsi"/>
                <w:i/>
                <w:iCs/>
              </w:rPr>
              <w:t xml:space="preserve">is </w:t>
            </w:r>
            <w:r w:rsidR="002A4F08" w:rsidRPr="00903374">
              <w:rPr>
                <w:rFonts w:cstheme="minorHAnsi"/>
                <w:i/>
                <w:iCs/>
              </w:rPr>
              <w:t xml:space="preserve">including HIV testing as part of the service offering. </w:t>
            </w:r>
            <w:r w:rsidR="002A4F08" w:rsidRPr="00903374">
              <w:rPr>
                <w:rFonts w:cstheme="minorHAnsi"/>
                <w:sz w:val="24"/>
                <w:szCs w:val="24"/>
              </w:rPr>
              <w:t xml:space="preserve"> </w:t>
            </w:r>
          </w:p>
          <w:p w14:paraId="57FB7D1D" w14:textId="77777777" w:rsidR="00FB015B" w:rsidRPr="00FB015B" w:rsidRDefault="00FB015B" w:rsidP="00FB015B">
            <w:pPr>
              <w:pStyle w:val="ListParagraph"/>
              <w:spacing w:after="0"/>
              <w:ind w:left="1080"/>
              <w:rPr>
                <w:rFonts w:cstheme="minorHAnsi"/>
              </w:rPr>
            </w:pPr>
          </w:p>
          <w:p w14:paraId="64301E00" w14:textId="77777777" w:rsidR="00483352" w:rsidRDefault="00F140FF" w:rsidP="00483352">
            <w:pPr>
              <w:pStyle w:val="ListParagraph"/>
              <w:numPr>
                <w:ilvl w:val="0"/>
                <w:numId w:val="40"/>
              </w:numPr>
              <w:spacing w:after="0"/>
              <w:rPr>
                <w:rFonts w:cstheme="minorHAnsi"/>
              </w:rPr>
            </w:pPr>
            <w:r w:rsidRPr="00FB015B">
              <w:rPr>
                <w:rFonts w:cstheme="minorHAnsi"/>
                <w:b/>
                <w:bCs/>
              </w:rPr>
              <w:t xml:space="preserve">Construction of </w:t>
            </w:r>
            <w:r w:rsidR="00AB5ACA" w:rsidRPr="00FB015B">
              <w:rPr>
                <w:rFonts w:cstheme="minorHAnsi"/>
                <w:b/>
                <w:bCs/>
              </w:rPr>
              <w:t>i</w:t>
            </w:r>
            <w:r w:rsidRPr="00FB015B">
              <w:rPr>
                <w:rFonts w:cstheme="minorHAnsi"/>
                <w:b/>
                <w:bCs/>
              </w:rPr>
              <w:t xml:space="preserve">solation </w:t>
            </w:r>
            <w:r w:rsidR="00AB5ACA" w:rsidRPr="00FB015B">
              <w:rPr>
                <w:rFonts w:cstheme="minorHAnsi"/>
                <w:b/>
                <w:bCs/>
              </w:rPr>
              <w:t>f</w:t>
            </w:r>
            <w:r w:rsidRPr="00FB015B">
              <w:rPr>
                <w:rFonts w:cstheme="minorHAnsi"/>
                <w:b/>
                <w:bCs/>
              </w:rPr>
              <w:t xml:space="preserve">acilities in </w:t>
            </w:r>
            <w:r w:rsidR="00AB5ACA" w:rsidRPr="00FB015B">
              <w:rPr>
                <w:rFonts w:cstheme="minorHAnsi"/>
                <w:b/>
                <w:bCs/>
              </w:rPr>
              <w:t xml:space="preserve">two (2) highly congested </w:t>
            </w:r>
            <w:r w:rsidR="002A4F08" w:rsidRPr="00FB015B">
              <w:rPr>
                <w:rFonts w:cstheme="minorHAnsi"/>
                <w:b/>
                <w:bCs/>
              </w:rPr>
              <w:t>prisons</w:t>
            </w:r>
            <w:r w:rsidR="00AB5ACA" w:rsidRPr="00FB015B">
              <w:rPr>
                <w:rFonts w:cstheme="minorHAnsi"/>
              </w:rPr>
              <w:t xml:space="preserve">. </w:t>
            </w:r>
            <w:r w:rsidR="00C0756B">
              <w:rPr>
                <w:rFonts w:cstheme="minorHAnsi"/>
              </w:rPr>
              <w:t>AccessTB supported BUCOR</w:t>
            </w:r>
            <w:r w:rsidR="006D6C8E">
              <w:rPr>
                <w:rFonts w:cstheme="minorHAnsi"/>
              </w:rPr>
              <w:t xml:space="preserve"> </w:t>
            </w:r>
            <w:r w:rsidR="00C0756B">
              <w:rPr>
                <w:rFonts w:cstheme="minorHAnsi"/>
              </w:rPr>
              <w:t>in setting up an isolation facility in Taguig</w:t>
            </w:r>
            <w:r w:rsidR="006D6C8E">
              <w:rPr>
                <w:rFonts w:cstheme="minorHAnsi"/>
              </w:rPr>
              <w:t xml:space="preserve"> (Camp Bagong Diwa), </w:t>
            </w:r>
            <w:r w:rsidR="00C0756B">
              <w:rPr>
                <w:rFonts w:cstheme="minorHAnsi"/>
              </w:rPr>
              <w:t xml:space="preserve">which proved to help in better TB care management among </w:t>
            </w:r>
            <w:r w:rsidR="00C0756B">
              <w:rPr>
                <w:rFonts w:cstheme="minorHAnsi"/>
              </w:rPr>
              <w:lastRenderedPageBreak/>
              <w:t>inmates. T</w:t>
            </w:r>
            <w:r w:rsidR="00C0756B" w:rsidRPr="00E16227">
              <w:rPr>
                <w:rFonts w:cstheme="minorHAnsi"/>
              </w:rPr>
              <w:t xml:space="preserve">his </w:t>
            </w:r>
            <w:r w:rsidR="00C0756B">
              <w:rPr>
                <w:rFonts w:cstheme="minorHAnsi"/>
              </w:rPr>
              <w:t>will be replicated as port of this FR in Visayas and Mindanao. Sites will be selected with BUCOR</w:t>
            </w:r>
            <w:r w:rsidR="006D6C8E">
              <w:rPr>
                <w:rFonts w:cstheme="minorHAnsi"/>
              </w:rPr>
              <w:t>/BJMP</w:t>
            </w:r>
            <w:r w:rsidR="00C0756B">
              <w:rPr>
                <w:rFonts w:cstheme="minorHAnsi"/>
              </w:rPr>
              <w:t>, following the previous criterion and arrangements.</w:t>
            </w:r>
            <w:r w:rsidR="004E38A9">
              <w:rPr>
                <w:rFonts w:cstheme="minorHAnsi"/>
              </w:rPr>
              <w:t xml:space="preserve"> Note that isolation facilities also become a referral point for nearby jails and prisons. </w:t>
            </w:r>
            <w:r w:rsidR="00C0756B">
              <w:rPr>
                <w:rFonts w:cstheme="minorHAnsi"/>
              </w:rPr>
              <w:t xml:space="preserve">  </w:t>
            </w:r>
          </w:p>
          <w:p w14:paraId="6BA4AE20" w14:textId="77777777" w:rsidR="00483352" w:rsidRPr="00483352" w:rsidRDefault="00483352" w:rsidP="00483352">
            <w:pPr>
              <w:pStyle w:val="ListParagraph"/>
              <w:spacing w:after="0"/>
              <w:ind w:left="360"/>
              <w:rPr>
                <w:rFonts w:cstheme="minorHAnsi"/>
              </w:rPr>
            </w:pPr>
          </w:p>
          <w:p w14:paraId="7E93FE1E" w14:textId="7FF2D71A" w:rsidR="00483352" w:rsidRPr="00483352" w:rsidRDefault="00DC6662" w:rsidP="00483352">
            <w:pPr>
              <w:pStyle w:val="ListParagraph"/>
              <w:numPr>
                <w:ilvl w:val="0"/>
                <w:numId w:val="40"/>
              </w:numPr>
              <w:spacing w:after="0"/>
              <w:rPr>
                <w:rFonts w:cstheme="minorHAnsi"/>
              </w:rPr>
            </w:pPr>
            <w:r w:rsidRPr="00483352">
              <w:rPr>
                <w:rFonts w:cstheme="minorHAnsi"/>
                <w:b/>
                <w:bCs/>
              </w:rPr>
              <w:t xml:space="preserve">Introduction of </w:t>
            </w:r>
            <w:r w:rsidR="00483352" w:rsidRPr="00483352">
              <w:rPr>
                <w:rFonts w:cstheme="minorHAnsi"/>
                <w:b/>
                <w:bCs/>
              </w:rPr>
              <w:t xml:space="preserve">shorter regimen for </w:t>
            </w:r>
            <w:r w:rsidRPr="00483352">
              <w:rPr>
                <w:rFonts w:cstheme="minorHAnsi"/>
                <w:b/>
                <w:bCs/>
              </w:rPr>
              <w:t>TPT and scale-up coverage.</w:t>
            </w:r>
            <w:r w:rsidRPr="00483352">
              <w:rPr>
                <w:rFonts w:cstheme="minorHAnsi"/>
              </w:rPr>
              <w:t xml:space="preserve"> </w:t>
            </w:r>
            <w:r w:rsidR="004B1885" w:rsidRPr="00483352">
              <w:rPr>
                <w:rFonts w:cstheme="minorHAnsi"/>
              </w:rPr>
              <w:t xml:space="preserve">The FR will support procurement of </w:t>
            </w:r>
            <w:r w:rsidR="00483352" w:rsidRPr="00483352">
              <w:rPr>
                <w:rFonts w:cstheme="minorHAnsi"/>
              </w:rPr>
              <w:t xml:space="preserve">shorter regimen for </w:t>
            </w:r>
            <w:r w:rsidR="004B1885" w:rsidRPr="00483352">
              <w:rPr>
                <w:rFonts w:cstheme="minorHAnsi"/>
              </w:rPr>
              <w:t xml:space="preserve">TPT, including </w:t>
            </w:r>
            <w:r w:rsidR="00E670D8" w:rsidRPr="00483352">
              <w:rPr>
                <w:rFonts w:cstheme="minorHAnsi"/>
              </w:rPr>
              <w:t xml:space="preserve">support NTP and other implementing partners in </w:t>
            </w:r>
            <w:r w:rsidR="004B1885" w:rsidRPr="00483352">
              <w:rPr>
                <w:rFonts w:cstheme="minorHAnsi"/>
              </w:rPr>
              <w:t>conduct</w:t>
            </w:r>
            <w:r w:rsidR="00E670D8" w:rsidRPr="00483352">
              <w:rPr>
                <w:rFonts w:cstheme="minorHAnsi"/>
              </w:rPr>
              <w:t>ing</w:t>
            </w:r>
            <w:r w:rsidR="004B1885" w:rsidRPr="00483352">
              <w:rPr>
                <w:rFonts w:cstheme="minorHAnsi"/>
              </w:rPr>
              <w:t xml:space="preserve"> </w:t>
            </w:r>
            <w:r w:rsidR="001E309E" w:rsidRPr="00483352">
              <w:rPr>
                <w:rFonts w:cstheme="minorHAnsi"/>
              </w:rPr>
              <w:t xml:space="preserve">large-scale </w:t>
            </w:r>
            <w:r w:rsidR="00E670D8" w:rsidRPr="00483352">
              <w:rPr>
                <w:rFonts w:cstheme="minorHAnsi"/>
              </w:rPr>
              <w:t>demand generati</w:t>
            </w:r>
            <w:r w:rsidR="001E309E" w:rsidRPr="00483352">
              <w:rPr>
                <w:rFonts w:cstheme="minorHAnsi"/>
              </w:rPr>
              <w:t>on</w:t>
            </w:r>
            <w:r w:rsidR="00E670D8" w:rsidRPr="00483352">
              <w:rPr>
                <w:rFonts w:cstheme="minorHAnsi"/>
              </w:rPr>
              <w:t xml:space="preserve"> initiatives</w:t>
            </w:r>
            <w:r w:rsidR="004B1885" w:rsidRPr="00483352">
              <w:rPr>
                <w:rFonts w:cstheme="minorHAnsi"/>
              </w:rPr>
              <w:t xml:space="preserve"> to increase uptake among eligible population groups. </w:t>
            </w:r>
            <w:r w:rsidR="001E309E" w:rsidRPr="00483352">
              <w:rPr>
                <w:rFonts w:cstheme="minorHAnsi"/>
              </w:rPr>
              <w:t xml:space="preserve">Part of the </w:t>
            </w:r>
            <w:r w:rsidR="00483352">
              <w:rPr>
                <w:rFonts w:cstheme="minorHAnsi"/>
              </w:rPr>
              <w:t xml:space="preserve">ensuring </w:t>
            </w:r>
            <w:r w:rsidR="00483352" w:rsidRPr="00483352">
              <w:t xml:space="preserve">TPT </w:t>
            </w:r>
            <w:r w:rsidR="00483352">
              <w:t>as</w:t>
            </w:r>
            <w:r w:rsidR="00483352" w:rsidRPr="00483352">
              <w:t xml:space="preserve"> part of </w:t>
            </w:r>
            <w:r w:rsidR="00483352" w:rsidRPr="00E81432">
              <w:rPr>
                <w:u w:val="single"/>
              </w:rPr>
              <w:t>contact tracing</w:t>
            </w:r>
            <w:r w:rsidR="00483352" w:rsidRPr="00483352">
              <w:t xml:space="preserve"> of all TB patients more specifically bacteriologically confirmed cases</w:t>
            </w:r>
            <w:r w:rsidR="00E81432">
              <w:t xml:space="preserve">. </w:t>
            </w:r>
            <w:r w:rsidR="00E81432" w:rsidRPr="00E81432">
              <w:rPr>
                <w:u w:val="single"/>
              </w:rPr>
              <w:t>LTBI management is also part of the various ACF</w:t>
            </w:r>
            <w:r w:rsidR="00E81432">
              <w:t xml:space="preserve"> activities planned under the FR.  </w:t>
            </w:r>
          </w:p>
          <w:p w14:paraId="51993BB2" w14:textId="77777777" w:rsidR="00483352" w:rsidRPr="00FB015B" w:rsidRDefault="00483352" w:rsidP="00483352">
            <w:pPr>
              <w:pStyle w:val="ListParagraph"/>
              <w:spacing w:after="0"/>
              <w:ind w:left="360"/>
              <w:rPr>
                <w:rFonts w:cstheme="minorHAnsi"/>
              </w:rPr>
            </w:pPr>
          </w:p>
          <w:p w14:paraId="085E7089" w14:textId="57BD98BA" w:rsidR="004863A9" w:rsidRDefault="004B1885" w:rsidP="00E07C20">
            <w:pPr>
              <w:pStyle w:val="ListParagraph"/>
              <w:numPr>
                <w:ilvl w:val="0"/>
                <w:numId w:val="40"/>
              </w:numPr>
              <w:spacing w:after="0"/>
              <w:rPr>
                <w:rFonts w:cstheme="minorHAnsi"/>
              </w:rPr>
            </w:pPr>
            <w:r w:rsidRPr="00FB015B">
              <w:rPr>
                <w:rFonts w:cstheme="minorHAnsi"/>
                <w:b/>
                <w:bCs/>
              </w:rPr>
              <w:t xml:space="preserve">Case Finding through </w:t>
            </w:r>
            <w:r w:rsidR="004863A9" w:rsidRPr="00FB015B">
              <w:rPr>
                <w:rFonts w:cstheme="minorHAnsi"/>
                <w:b/>
                <w:bCs/>
              </w:rPr>
              <w:t xml:space="preserve">Private Health Care </w:t>
            </w:r>
            <w:r w:rsidR="00FF252B" w:rsidRPr="00FB015B">
              <w:rPr>
                <w:rFonts w:cstheme="minorHAnsi"/>
                <w:b/>
                <w:bCs/>
              </w:rPr>
              <w:t>Provider</w:t>
            </w:r>
            <w:r w:rsidR="004863A9" w:rsidRPr="00FB015B">
              <w:rPr>
                <w:rFonts w:cstheme="minorHAnsi"/>
                <w:b/>
                <w:bCs/>
              </w:rPr>
              <w:t xml:space="preserve"> Engagement</w:t>
            </w:r>
            <w:r w:rsidRPr="00FB015B">
              <w:rPr>
                <w:rFonts w:cstheme="minorHAnsi"/>
                <w:b/>
                <w:bCs/>
              </w:rPr>
              <w:t>.</w:t>
            </w:r>
            <w:r w:rsidRPr="00FB015B">
              <w:rPr>
                <w:rFonts w:cstheme="minorHAnsi"/>
              </w:rPr>
              <w:t xml:space="preserve"> PR will engage a sub-recipient to oversee this intervention</w:t>
            </w:r>
            <w:r w:rsidR="00FF252B" w:rsidRPr="00FB015B">
              <w:rPr>
                <w:rFonts w:cstheme="minorHAnsi"/>
              </w:rPr>
              <w:t xml:space="preserve"> in close coordination with the regional DOH offices and the selected local government units</w:t>
            </w:r>
            <w:r w:rsidR="00A801B7">
              <w:rPr>
                <w:rFonts w:cstheme="minorHAnsi"/>
              </w:rPr>
              <w:t>, preferably aligned to the UHC implementation sites</w:t>
            </w:r>
            <w:r w:rsidR="00FF252B" w:rsidRPr="00FB015B">
              <w:rPr>
                <w:rFonts w:cstheme="minorHAnsi"/>
              </w:rPr>
              <w:t xml:space="preserve">. The over-all approach is to develop and roll-out </w:t>
            </w:r>
            <w:r w:rsidR="00D13BC3">
              <w:rPr>
                <w:rFonts w:cstheme="minorHAnsi"/>
              </w:rPr>
              <w:t xml:space="preserve">a </w:t>
            </w:r>
            <w:r w:rsidR="00FF252B" w:rsidRPr="00FB015B">
              <w:rPr>
                <w:rFonts w:cstheme="minorHAnsi"/>
              </w:rPr>
              <w:t xml:space="preserve">capacity building package </w:t>
            </w:r>
            <w:r w:rsidR="00D13BC3">
              <w:rPr>
                <w:rFonts w:cstheme="minorHAnsi"/>
              </w:rPr>
              <w:t>to support</w:t>
            </w:r>
            <w:r w:rsidR="00FF252B" w:rsidRPr="00FB015B">
              <w:rPr>
                <w:rFonts w:cstheme="minorHAnsi"/>
              </w:rPr>
              <w:t xml:space="preserve"> </w:t>
            </w:r>
            <w:r w:rsidR="001E309E" w:rsidRPr="00FB015B">
              <w:rPr>
                <w:rFonts w:cstheme="minorHAnsi"/>
              </w:rPr>
              <w:t>stand-alone</w:t>
            </w:r>
            <w:r w:rsidR="00FF252B" w:rsidRPr="00FB015B">
              <w:rPr>
                <w:rFonts w:cstheme="minorHAnsi"/>
              </w:rPr>
              <w:t xml:space="preserve"> physicians to comply with (1) mandatory case notification, (2) NTP TB diagnosis and treatment protocols, and (3) record and report TB data using the ITIS. The intervention will be implemented in the big three regions and 14 highly urbanized cities nationwide. This intervention will engage the TB Notification Officers currently engaged </w:t>
            </w:r>
            <w:r w:rsidR="00755878">
              <w:rPr>
                <w:rFonts w:cstheme="minorHAnsi"/>
              </w:rPr>
              <w:t xml:space="preserve">by AccessTB Project </w:t>
            </w:r>
            <w:r w:rsidR="00FF252B" w:rsidRPr="00FB015B">
              <w:rPr>
                <w:rFonts w:cstheme="minorHAnsi"/>
              </w:rPr>
              <w:t xml:space="preserve">with expanded roles. </w:t>
            </w:r>
            <w:r w:rsidR="00D13BC3">
              <w:rPr>
                <w:rFonts w:cstheme="minorHAnsi"/>
              </w:rPr>
              <w:t xml:space="preserve">Furthermore, incentives for private sector will be developed to include: </w:t>
            </w:r>
            <w:r w:rsidR="00D13BC3">
              <w:t xml:space="preserve">(a) providing RDTs and/or TB medicines for free or at reduced cost; and (b) include the compliance with protocols and reporting as part of requirements for accreditation or license renewal. </w:t>
            </w:r>
            <w:r w:rsidR="00FF252B" w:rsidRPr="00FB015B">
              <w:rPr>
                <w:rFonts w:cstheme="minorHAnsi"/>
              </w:rPr>
              <w:t xml:space="preserve">   </w:t>
            </w:r>
            <w:r w:rsidRPr="00FB015B">
              <w:rPr>
                <w:rFonts w:cstheme="minorHAnsi"/>
              </w:rPr>
              <w:t xml:space="preserve"> </w:t>
            </w:r>
          </w:p>
          <w:p w14:paraId="2A0FF8CF" w14:textId="77777777" w:rsidR="00AC650A" w:rsidRPr="00AC650A" w:rsidRDefault="00AC650A" w:rsidP="00AC650A">
            <w:pPr>
              <w:pStyle w:val="ListParagraph"/>
              <w:rPr>
                <w:rFonts w:cstheme="minorHAnsi"/>
              </w:rPr>
            </w:pPr>
          </w:p>
          <w:p w14:paraId="4DBDD86A" w14:textId="762576E0" w:rsidR="00AC650A" w:rsidRDefault="00AC650A" w:rsidP="00E07C20">
            <w:pPr>
              <w:pStyle w:val="ListParagraph"/>
              <w:numPr>
                <w:ilvl w:val="0"/>
                <w:numId w:val="40"/>
              </w:numPr>
              <w:spacing w:after="0"/>
              <w:rPr>
                <w:rFonts w:cstheme="minorHAnsi"/>
              </w:rPr>
            </w:pPr>
            <w:r w:rsidRPr="00AC650A">
              <w:rPr>
                <w:rFonts w:cstheme="minorHAnsi"/>
                <w:b/>
                <w:bCs/>
              </w:rPr>
              <w:t>Health Promotion</w:t>
            </w:r>
            <w:r>
              <w:rPr>
                <w:rFonts w:cstheme="minorHAnsi"/>
              </w:rPr>
              <w:t xml:space="preserve"> campaign among health care providers to correct practices on use of CxR, promote effectiveness of </w:t>
            </w:r>
            <w:r w:rsidR="005C7854">
              <w:rPr>
                <w:rFonts w:cstheme="minorHAnsi"/>
              </w:rPr>
              <w:t xml:space="preserve">TB </w:t>
            </w:r>
            <w:r w:rsidR="00146F18">
              <w:rPr>
                <w:rFonts w:cstheme="minorHAnsi"/>
              </w:rPr>
              <w:t>molecular test</w:t>
            </w:r>
            <w:r>
              <w:rPr>
                <w:rFonts w:cstheme="minorHAnsi"/>
              </w:rPr>
              <w:t xml:space="preserve">s, innovative case management protocols for both DS and DR TB cases, and use of innovative TPT for LTBI case management.  </w:t>
            </w:r>
          </w:p>
          <w:p w14:paraId="3800C63C" w14:textId="672D3E59" w:rsidR="00AC650A" w:rsidRPr="00AC650A" w:rsidRDefault="00AC650A" w:rsidP="00AC650A">
            <w:pPr>
              <w:spacing w:after="0"/>
              <w:rPr>
                <w:rFonts w:cstheme="minorHAnsi"/>
              </w:rPr>
            </w:pPr>
          </w:p>
        </w:tc>
      </w:tr>
      <w:tr w:rsidR="0098274C" w:rsidRPr="00FB015B" w14:paraId="1154E86F" w14:textId="77777777" w:rsidTr="006E7C05">
        <w:trPr>
          <w:trHeight w:val="288"/>
        </w:trPr>
        <w:tc>
          <w:tcPr>
            <w:tcW w:w="2520" w:type="dxa"/>
            <w:shd w:val="clear" w:color="auto" w:fill="F2F2F2"/>
            <w:vAlign w:val="center"/>
          </w:tcPr>
          <w:p w14:paraId="71B71331" w14:textId="385FF0A5" w:rsidR="0098274C" w:rsidRPr="00FB015B" w:rsidRDefault="00F806A3" w:rsidP="009B6C0D">
            <w:pPr>
              <w:spacing w:after="0"/>
              <w:rPr>
                <w:rFonts w:cstheme="minorHAnsi"/>
                <w:b/>
              </w:rPr>
            </w:pPr>
            <w:r w:rsidRPr="00FB015B">
              <w:rPr>
                <w:rFonts w:cstheme="minorHAnsi"/>
                <w:b/>
              </w:rPr>
              <w:lastRenderedPageBreak/>
              <w:t xml:space="preserve">Priority </w:t>
            </w:r>
            <w:r w:rsidR="0098274C" w:rsidRPr="00FB015B">
              <w:rPr>
                <w:rFonts w:cstheme="minorHAnsi"/>
                <w:b/>
              </w:rPr>
              <w:t>Population</w:t>
            </w:r>
            <w:r w:rsidR="006E7C05" w:rsidRPr="00FB015B">
              <w:rPr>
                <w:rFonts w:cstheme="minorHAnsi"/>
                <w:b/>
              </w:rPr>
              <w:t>(</w:t>
            </w:r>
            <w:r w:rsidR="0098274C" w:rsidRPr="00FB015B">
              <w:rPr>
                <w:rFonts w:cstheme="minorHAnsi"/>
                <w:b/>
              </w:rPr>
              <w:t>s</w:t>
            </w:r>
            <w:r w:rsidR="006E7C05" w:rsidRPr="00FB015B">
              <w:rPr>
                <w:rFonts w:cstheme="minorHAnsi"/>
                <w:b/>
              </w:rPr>
              <w:t>)</w:t>
            </w:r>
          </w:p>
        </w:tc>
        <w:tc>
          <w:tcPr>
            <w:tcW w:w="8280" w:type="dxa"/>
          </w:tcPr>
          <w:p w14:paraId="29A1B017" w14:textId="6E7C6C89" w:rsidR="004B1885" w:rsidRDefault="00AB5ACA" w:rsidP="009B6C0D">
            <w:pPr>
              <w:spacing w:after="0"/>
              <w:rPr>
                <w:rFonts w:cstheme="minorHAnsi"/>
              </w:rPr>
            </w:pPr>
            <w:r w:rsidRPr="00FB015B">
              <w:rPr>
                <w:rFonts w:cstheme="minorHAnsi"/>
              </w:rPr>
              <w:t>C</w:t>
            </w:r>
            <w:r w:rsidR="004863A9" w:rsidRPr="00FB015B">
              <w:rPr>
                <w:rFonts w:cstheme="minorHAnsi"/>
              </w:rPr>
              <w:t>ontacts of TB patients, People Deprived of Liberty</w:t>
            </w:r>
            <w:r w:rsidR="003E6503" w:rsidRPr="00FB015B">
              <w:rPr>
                <w:rFonts w:cstheme="minorHAnsi"/>
              </w:rPr>
              <w:t>, Urban Poor</w:t>
            </w:r>
            <w:r w:rsidR="00FA4FCC" w:rsidRPr="00FB015B">
              <w:rPr>
                <w:rFonts w:cstheme="minorHAnsi"/>
              </w:rPr>
              <w:t>, Elderly</w:t>
            </w:r>
            <w:r w:rsidR="00D13BC3">
              <w:rPr>
                <w:rFonts w:cstheme="minorHAnsi"/>
              </w:rPr>
              <w:t>, poor/malnourished, smokers, diabetics, alcoholics, PLHIV</w:t>
            </w:r>
          </w:p>
          <w:p w14:paraId="176824B5" w14:textId="259D9674" w:rsidR="00311EA8" w:rsidRPr="00FB015B" w:rsidRDefault="00311EA8" w:rsidP="009B6C0D">
            <w:pPr>
              <w:spacing w:after="0"/>
              <w:rPr>
                <w:rFonts w:cstheme="minorHAnsi"/>
              </w:rPr>
            </w:pPr>
          </w:p>
        </w:tc>
      </w:tr>
      <w:tr w:rsidR="0098274C" w:rsidRPr="00FB015B" w14:paraId="0FE1DB00" w14:textId="77777777" w:rsidTr="006E7C05">
        <w:trPr>
          <w:trHeight w:val="288"/>
        </w:trPr>
        <w:tc>
          <w:tcPr>
            <w:tcW w:w="2520" w:type="dxa"/>
            <w:shd w:val="clear" w:color="auto" w:fill="F2F2F2"/>
            <w:vAlign w:val="center"/>
          </w:tcPr>
          <w:p w14:paraId="0165920A" w14:textId="5E91C74D" w:rsidR="0098274C" w:rsidRPr="00FB015B" w:rsidRDefault="008C7619" w:rsidP="009B6C0D">
            <w:pPr>
              <w:spacing w:after="0"/>
              <w:rPr>
                <w:rFonts w:cstheme="minorHAnsi"/>
                <w:b/>
              </w:rPr>
            </w:pPr>
            <w:r w:rsidRPr="00FB015B">
              <w:rPr>
                <w:rFonts w:cstheme="minorHAnsi"/>
                <w:b/>
              </w:rPr>
              <w:t xml:space="preserve">Barriers </w:t>
            </w:r>
            <w:r w:rsidR="000D0B32" w:rsidRPr="00FB015B">
              <w:rPr>
                <w:rFonts w:cstheme="minorHAnsi"/>
                <w:b/>
              </w:rPr>
              <w:t>and</w:t>
            </w:r>
            <w:r w:rsidR="001052B0" w:rsidRPr="00FB015B">
              <w:rPr>
                <w:rFonts w:cstheme="minorHAnsi"/>
                <w:b/>
              </w:rPr>
              <w:t xml:space="preserve"> </w:t>
            </w:r>
            <w:r w:rsidRPr="00FB015B">
              <w:rPr>
                <w:rFonts w:cstheme="minorHAnsi"/>
                <w:b/>
              </w:rPr>
              <w:t>Inequities</w:t>
            </w:r>
          </w:p>
        </w:tc>
        <w:tc>
          <w:tcPr>
            <w:tcW w:w="8280" w:type="dxa"/>
          </w:tcPr>
          <w:p w14:paraId="299BDEA6" w14:textId="22EA5D2D" w:rsidR="00A541A4" w:rsidRPr="00FB015B" w:rsidRDefault="00A541A4" w:rsidP="00E07C20">
            <w:pPr>
              <w:pStyle w:val="ListParagraph"/>
              <w:numPr>
                <w:ilvl w:val="0"/>
                <w:numId w:val="41"/>
              </w:numPr>
              <w:spacing w:after="0"/>
              <w:rPr>
                <w:rFonts w:cstheme="minorHAnsi"/>
              </w:rPr>
            </w:pPr>
            <w:r w:rsidRPr="00FB015B">
              <w:rPr>
                <w:rFonts w:cstheme="minorHAnsi"/>
              </w:rPr>
              <w:t>Innovative ACF interventions provides free TB care services among the poor communities in urban slum areas and among the elderly with limited mobility.</w:t>
            </w:r>
            <w:r w:rsidR="000F1DDA" w:rsidRPr="00FB015B">
              <w:rPr>
                <w:rFonts w:cstheme="minorHAnsi"/>
              </w:rPr>
              <w:t xml:space="preserve"> Furthermore, it provides opportunity for working men and women to access TB diagnostics during weekends/ off-work hours. </w:t>
            </w:r>
          </w:p>
          <w:p w14:paraId="65E24E78" w14:textId="03F520EF" w:rsidR="00A541A4" w:rsidRPr="00FB015B" w:rsidRDefault="00A541A4" w:rsidP="00E07C20">
            <w:pPr>
              <w:pStyle w:val="ListParagraph"/>
              <w:numPr>
                <w:ilvl w:val="0"/>
                <w:numId w:val="41"/>
              </w:numPr>
              <w:spacing w:after="0"/>
              <w:rPr>
                <w:rFonts w:cstheme="minorHAnsi"/>
              </w:rPr>
            </w:pPr>
            <w:r w:rsidRPr="00FB015B">
              <w:rPr>
                <w:rFonts w:cstheme="minorHAnsi"/>
              </w:rPr>
              <w:t xml:space="preserve">Information-education campaigns that accompany ACF increases awareness of people on their rights and benefits in accessing quality TB care. </w:t>
            </w:r>
          </w:p>
          <w:p w14:paraId="39144862" w14:textId="77777777" w:rsidR="00B91E32" w:rsidRDefault="003E6503" w:rsidP="00E07C20">
            <w:pPr>
              <w:pStyle w:val="ListParagraph"/>
              <w:numPr>
                <w:ilvl w:val="0"/>
                <w:numId w:val="41"/>
              </w:numPr>
              <w:spacing w:after="0"/>
              <w:rPr>
                <w:rFonts w:cstheme="minorHAnsi"/>
              </w:rPr>
            </w:pPr>
            <w:r w:rsidRPr="00FB015B">
              <w:rPr>
                <w:rFonts w:cstheme="minorHAnsi"/>
              </w:rPr>
              <w:t xml:space="preserve">ACF in </w:t>
            </w:r>
            <w:r w:rsidR="00A541A4" w:rsidRPr="00FB015B">
              <w:rPr>
                <w:rFonts w:cstheme="minorHAnsi"/>
              </w:rPr>
              <w:t xml:space="preserve">jails and prisons, including establishment of isolation facilities and training of judicial officers aims to address inadequate conditions and services provided to people deprived of liberty. </w:t>
            </w:r>
          </w:p>
          <w:p w14:paraId="30A04773" w14:textId="3AED34ED" w:rsidR="00311EA8" w:rsidRPr="00FB015B" w:rsidRDefault="00311EA8" w:rsidP="00311EA8">
            <w:pPr>
              <w:pStyle w:val="ListParagraph"/>
              <w:spacing w:after="0"/>
              <w:ind w:left="360"/>
              <w:rPr>
                <w:rFonts w:cstheme="minorHAnsi"/>
              </w:rPr>
            </w:pPr>
          </w:p>
        </w:tc>
      </w:tr>
      <w:tr w:rsidR="000D0B32" w:rsidRPr="00FB015B" w14:paraId="58156A59" w14:textId="77777777" w:rsidTr="006E7C05">
        <w:trPr>
          <w:trHeight w:val="288"/>
        </w:trPr>
        <w:tc>
          <w:tcPr>
            <w:tcW w:w="2520" w:type="dxa"/>
            <w:shd w:val="clear" w:color="auto" w:fill="F2F2F2"/>
            <w:vAlign w:val="center"/>
          </w:tcPr>
          <w:p w14:paraId="3B2BC4F5" w14:textId="04F50DE1" w:rsidR="000D0B32" w:rsidRPr="00FB015B" w:rsidRDefault="000D0B32" w:rsidP="009B6C0D">
            <w:pPr>
              <w:spacing w:after="0"/>
              <w:rPr>
                <w:rFonts w:cstheme="minorHAnsi"/>
                <w:b/>
              </w:rPr>
            </w:pPr>
            <w:r w:rsidRPr="00FB015B">
              <w:rPr>
                <w:rFonts w:cstheme="minorHAnsi"/>
                <w:b/>
              </w:rPr>
              <w:t>Rationale</w:t>
            </w:r>
          </w:p>
        </w:tc>
        <w:tc>
          <w:tcPr>
            <w:tcW w:w="8280" w:type="dxa"/>
          </w:tcPr>
          <w:p w14:paraId="346B04AD" w14:textId="77777777" w:rsidR="00D13BC3" w:rsidRDefault="000F1DDA" w:rsidP="009B6C0D">
            <w:pPr>
              <w:spacing w:after="0"/>
              <w:rPr>
                <w:rFonts w:cstheme="minorHAnsi"/>
              </w:rPr>
            </w:pPr>
            <w:r w:rsidRPr="00FB015B">
              <w:rPr>
                <w:rFonts w:cstheme="minorHAnsi"/>
              </w:rPr>
              <w:t xml:space="preserve">The top priority of the NTP is finding the missing TB cases and as recommended during the 2019 JPR, there is a need to scale up effective active case finding initiatives and increase uptake of innovative TPT to rationally move closer to TB elimination by 2035. </w:t>
            </w:r>
            <w:r w:rsidR="00387FB7" w:rsidRPr="00FB015B">
              <w:rPr>
                <w:rFonts w:cstheme="minorHAnsi"/>
              </w:rPr>
              <w:t>In 2018, mandatory case notification among private healthcare provide</w:t>
            </w:r>
            <w:r w:rsidR="00D13BC3">
              <w:rPr>
                <w:rFonts w:cstheme="minorHAnsi"/>
              </w:rPr>
              <w:t>rs</w:t>
            </w:r>
            <w:r w:rsidR="00387FB7" w:rsidRPr="00FB015B">
              <w:rPr>
                <w:rFonts w:cstheme="minorHAnsi"/>
              </w:rPr>
              <w:t xml:space="preserve"> contributes to 18% of all notified cases. However, 9</w:t>
            </w:r>
            <w:r w:rsidR="00E862D6">
              <w:rPr>
                <w:rFonts w:cstheme="minorHAnsi"/>
              </w:rPr>
              <w:t>5</w:t>
            </w:r>
            <w:r w:rsidR="00387FB7" w:rsidRPr="00FB015B">
              <w:rPr>
                <w:rFonts w:cstheme="minorHAnsi"/>
              </w:rPr>
              <w:t>% of these cases were</w:t>
            </w:r>
            <w:r w:rsidRPr="00FB015B">
              <w:rPr>
                <w:rFonts w:cstheme="minorHAnsi"/>
              </w:rPr>
              <w:t xml:space="preserve"> clinically diagnosed TB cases</w:t>
            </w:r>
            <w:r w:rsidR="00387FB7" w:rsidRPr="00FB015B">
              <w:rPr>
                <w:rFonts w:cstheme="minorHAnsi"/>
              </w:rPr>
              <w:t xml:space="preserve"> and treatment outcomes were not reported. This information </w:t>
            </w:r>
            <w:r w:rsidR="00B91E32" w:rsidRPr="00FB015B">
              <w:rPr>
                <w:rFonts w:cstheme="minorHAnsi"/>
              </w:rPr>
              <w:t xml:space="preserve">prompts the need to actively engage </w:t>
            </w:r>
            <w:r w:rsidRPr="00FB015B">
              <w:rPr>
                <w:rFonts w:cstheme="minorHAnsi"/>
              </w:rPr>
              <w:t>private healthcare providers</w:t>
            </w:r>
            <w:r w:rsidR="00B91E32" w:rsidRPr="00FB015B">
              <w:rPr>
                <w:rFonts w:cstheme="minorHAnsi"/>
              </w:rPr>
              <w:t xml:space="preserve"> to become part of the </w:t>
            </w:r>
            <w:r w:rsidR="00A801B7">
              <w:rPr>
                <w:rFonts w:cstheme="minorHAnsi"/>
              </w:rPr>
              <w:t xml:space="preserve">comprehensive </w:t>
            </w:r>
            <w:r w:rsidR="00B91E32" w:rsidRPr="00FB015B">
              <w:rPr>
                <w:rFonts w:cstheme="minorHAnsi"/>
              </w:rPr>
              <w:t xml:space="preserve">TB </w:t>
            </w:r>
            <w:r w:rsidR="00A801B7">
              <w:rPr>
                <w:rFonts w:cstheme="minorHAnsi"/>
              </w:rPr>
              <w:t>care services integrated in the HCPN.</w:t>
            </w:r>
            <w:r w:rsidR="00387FB7" w:rsidRPr="00FB015B">
              <w:rPr>
                <w:rFonts w:cstheme="minorHAnsi"/>
              </w:rPr>
              <w:t xml:space="preserve">—i.e. </w:t>
            </w:r>
            <w:r w:rsidR="00B91E32" w:rsidRPr="00FB015B">
              <w:rPr>
                <w:rFonts w:cstheme="minorHAnsi"/>
              </w:rPr>
              <w:t xml:space="preserve">aligning </w:t>
            </w:r>
            <w:r w:rsidR="00387FB7" w:rsidRPr="00FB015B">
              <w:rPr>
                <w:rFonts w:cstheme="minorHAnsi"/>
              </w:rPr>
              <w:t xml:space="preserve">their </w:t>
            </w:r>
            <w:r w:rsidR="00B91E32" w:rsidRPr="00FB015B">
              <w:rPr>
                <w:rFonts w:cstheme="minorHAnsi"/>
              </w:rPr>
              <w:t xml:space="preserve">TB care delivery practices </w:t>
            </w:r>
            <w:r w:rsidR="00387FB7" w:rsidRPr="00FB015B">
              <w:rPr>
                <w:rFonts w:cstheme="minorHAnsi"/>
              </w:rPr>
              <w:t xml:space="preserve">with the </w:t>
            </w:r>
            <w:r w:rsidR="00B91E32" w:rsidRPr="00FB015B">
              <w:rPr>
                <w:rFonts w:cstheme="minorHAnsi"/>
              </w:rPr>
              <w:t>NTP diagnosis and treatment algorithms</w:t>
            </w:r>
            <w:r w:rsidR="00387FB7" w:rsidRPr="00FB015B">
              <w:rPr>
                <w:rFonts w:cstheme="minorHAnsi"/>
              </w:rPr>
              <w:t xml:space="preserve">, including recording and reporting of TB data. </w:t>
            </w:r>
            <w:r w:rsidR="00B91E32" w:rsidRPr="00FB015B">
              <w:rPr>
                <w:rFonts w:cstheme="minorHAnsi"/>
              </w:rPr>
              <w:t>The approach to engaging private care providers i</w:t>
            </w:r>
            <w:r w:rsidR="00387FB7" w:rsidRPr="00FB015B">
              <w:rPr>
                <w:rFonts w:cstheme="minorHAnsi"/>
              </w:rPr>
              <w:t xml:space="preserve">n this FR is </w:t>
            </w:r>
            <w:r w:rsidR="00C62BDC" w:rsidRPr="00FB015B">
              <w:rPr>
                <w:rFonts w:cstheme="minorHAnsi"/>
              </w:rPr>
              <w:t xml:space="preserve">scaling up the </w:t>
            </w:r>
            <w:r w:rsidR="00B91E32" w:rsidRPr="00FB015B">
              <w:rPr>
                <w:rFonts w:cstheme="minorHAnsi"/>
              </w:rPr>
              <w:t>u</w:t>
            </w:r>
            <w:r w:rsidR="00C62BDC" w:rsidRPr="00FB015B">
              <w:rPr>
                <w:rFonts w:cstheme="minorHAnsi"/>
              </w:rPr>
              <w:t>tilization</w:t>
            </w:r>
            <w:r w:rsidR="00B91E32" w:rsidRPr="00FB015B">
              <w:rPr>
                <w:rFonts w:cstheme="minorHAnsi"/>
              </w:rPr>
              <w:t xml:space="preserve"> of TB </w:t>
            </w:r>
            <w:r w:rsidR="00B91E32" w:rsidRPr="00FB015B">
              <w:rPr>
                <w:rFonts w:cstheme="minorHAnsi"/>
              </w:rPr>
              <w:lastRenderedPageBreak/>
              <w:t>notification officers, which proved successful in the current TGF TB grant</w:t>
            </w:r>
            <w:r w:rsidR="00903374">
              <w:rPr>
                <w:rFonts w:cstheme="minorHAnsi"/>
              </w:rPr>
              <w:t xml:space="preserve"> – AccessTB Project</w:t>
            </w:r>
            <w:r w:rsidR="00B91E32" w:rsidRPr="00FB015B">
              <w:rPr>
                <w:rFonts w:cstheme="minorHAnsi"/>
              </w:rPr>
              <w:t xml:space="preserve">. </w:t>
            </w:r>
          </w:p>
          <w:p w14:paraId="5F42279E" w14:textId="77777777" w:rsidR="00D13BC3" w:rsidRDefault="00D13BC3" w:rsidP="009B6C0D">
            <w:pPr>
              <w:spacing w:after="0"/>
              <w:rPr>
                <w:rFonts w:cstheme="minorHAnsi"/>
              </w:rPr>
            </w:pPr>
          </w:p>
          <w:p w14:paraId="011D54DB" w14:textId="01F29D3B" w:rsidR="000D0B32" w:rsidRPr="00FB015B" w:rsidRDefault="00D13BC3" w:rsidP="009B6C0D">
            <w:pPr>
              <w:spacing w:after="0"/>
              <w:rPr>
                <w:rFonts w:cstheme="minorHAnsi"/>
              </w:rPr>
            </w:pPr>
            <w:bookmarkStart w:id="17" w:name="_Hlk34998318"/>
            <w:r>
              <w:rPr>
                <w:rFonts w:cstheme="minorHAnsi"/>
              </w:rPr>
              <w:t>Important to note that 2016 NTPS found out that among Filipinos showing TB symptoms that consult a medical professional, 31.8% go to the private provider. This is higher than in 2007 (21.7%) NTPS finding.</w:t>
            </w:r>
            <w:r w:rsidR="00B91E32" w:rsidRPr="00FB015B">
              <w:rPr>
                <w:rFonts w:cstheme="minorHAnsi"/>
              </w:rPr>
              <w:t xml:space="preserve">  </w:t>
            </w:r>
            <w:r w:rsidR="000F1DDA" w:rsidRPr="00FB015B">
              <w:rPr>
                <w:rFonts w:cstheme="minorHAnsi"/>
              </w:rPr>
              <w:t xml:space="preserve">   </w:t>
            </w:r>
          </w:p>
          <w:bookmarkEnd w:id="17"/>
          <w:p w14:paraId="192FC140" w14:textId="24A8F720" w:rsidR="004070A9" w:rsidRPr="00FB015B" w:rsidRDefault="004070A9" w:rsidP="009B6C0D">
            <w:pPr>
              <w:spacing w:after="0"/>
              <w:rPr>
                <w:rFonts w:cstheme="minorHAnsi"/>
              </w:rPr>
            </w:pPr>
          </w:p>
        </w:tc>
      </w:tr>
      <w:tr w:rsidR="0098274C" w:rsidRPr="00FB015B" w14:paraId="4E9BD60F" w14:textId="77777777" w:rsidTr="006E7C05">
        <w:trPr>
          <w:trHeight w:val="288"/>
        </w:trPr>
        <w:tc>
          <w:tcPr>
            <w:tcW w:w="2520" w:type="dxa"/>
            <w:shd w:val="clear" w:color="auto" w:fill="F2F2F2"/>
            <w:vAlign w:val="center"/>
          </w:tcPr>
          <w:p w14:paraId="74FDD05A" w14:textId="77777777" w:rsidR="0098274C" w:rsidRPr="00FB015B" w:rsidRDefault="0098274C" w:rsidP="009B6C0D">
            <w:pPr>
              <w:spacing w:after="0"/>
              <w:rPr>
                <w:rFonts w:cstheme="minorHAnsi"/>
                <w:b/>
              </w:rPr>
            </w:pPr>
            <w:r w:rsidRPr="00FB015B">
              <w:rPr>
                <w:rFonts w:cstheme="minorHAnsi"/>
                <w:b/>
              </w:rPr>
              <w:lastRenderedPageBreak/>
              <w:t>Expected Outcome</w:t>
            </w:r>
          </w:p>
        </w:tc>
        <w:tc>
          <w:tcPr>
            <w:tcW w:w="8280" w:type="dxa"/>
          </w:tcPr>
          <w:p w14:paraId="7A753979" w14:textId="29E8893D" w:rsidR="004070A9" w:rsidRPr="00FB015B" w:rsidRDefault="004070A9" w:rsidP="00E07C20">
            <w:pPr>
              <w:pStyle w:val="ListParagraph"/>
              <w:numPr>
                <w:ilvl w:val="0"/>
                <w:numId w:val="44"/>
              </w:numPr>
              <w:spacing w:after="0"/>
              <w:rPr>
                <w:rFonts w:cstheme="minorHAnsi"/>
              </w:rPr>
            </w:pPr>
            <w:r w:rsidRPr="00FB015B">
              <w:rPr>
                <w:rFonts w:cstheme="minorHAnsi"/>
              </w:rPr>
              <w:t xml:space="preserve">The FR investment will directly contribute to </w:t>
            </w:r>
            <w:r w:rsidR="008C7F6A" w:rsidRPr="00FB015B">
              <w:rPr>
                <w:rFonts w:cstheme="minorHAnsi"/>
              </w:rPr>
              <w:t xml:space="preserve">the Updated PhilSTEP Phase 1 target on </w:t>
            </w:r>
            <w:r w:rsidRPr="00FB015B">
              <w:rPr>
                <w:rFonts w:cstheme="minorHAnsi"/>
              </w:rPr>
              <w:t>TB case notification as presented below:</w:t>
            </w:r>
          </w:p>
          <w:tbl>
            <w:tblPr>
              <w:tblStyle w:val="TableGrid"/>
              <w:tblW w:w="0" w:type="auto"/>
              <w:tblLook w:val="04A0" w:firstRow="1" w:lastRow="0" w:firstColumn="1" w:lastColumn="0" w:noHBand="0" w:noVBand="1"/>
            </w:tblPr>
            <w:tblGrid>
              <w:gridCol w:w="3185"/>
              <w:gridCol w:w="1559"/>
              <w:gridCol w:w="1701"/>
              <w:gridCol w:w="1609"/>
            </w:tblGrid>
            <w:tr w:rsidR="00B91E32" w:rsidRPr="00FB015B" w14:paraId="7F8CD2DF" w14:textId="77777777" w:rsidTr="004070A9">
              <w:tc>
                <w:tcPr>
                  <w:tcW w:w="3185" w:type="dxa"/>
                  <w:vMerge w:val="restart"/>
                  <w:shd w:val="clear" w:color="auto" w:fill="002A55" w:themeFill="accent5" w:themeFillShade="80"/>
                </w:tcPr>
                <w:p w14:paraId="5899D2E1" w14:textId="6B0DC519" w:rsidR="00B91E32" w:rsidRPr="00FB015B" w:rsidRDefault="00B91E32" w:rsidP="00B91E32">
                  <w:pPr>
                    <w:spacing w:after="0"/>
                    <w:jc w:val="center"/>
                    <w:rPr>
                      <w:rFonts w:asciiTheme="minorHAnsi" w:hAnsiTheme="minorHAnsi" w:cstheme="minorHAnsi"/>
                      <w:b/>
                      <w:bCs/>
                      <w:sz w:val="20"/>
                      <w:szCs w:val="20"/>
                    </w:rPr>
                  </w:pPr>
                  <w:r w:rsidRPr="00FB015B">
                    <w:rPr>
                      <w:rFonts w:asciiTheme="minorHAnsi" w:hAnsiTheme="minorHAnsi" w:cstheme="minorHAnsi"/>
                      <w:b/>
                      <w:bCs/>
                      <w:sz w:val="20"/>
                      <w:szCs w:val="20"/>
                    </w:rPr>
                    <w:t>Intervention</w:t>
                  </w:r>
                </w:p>
              </w:tc>
              <w:tc>
                <w:tcPr>
                  <w:tcW w:w="4869" w:type="dxa"/>
                  <w:gridSpan w:val="3"/>
                  <w:shd w:val="clear" w:color="auto" w:fill="002A55" w:themeFill="accent5" w:themeFillShade="80"/>
                </w:tcPr>
                <w:p w14:paraId="7B8384DB" w14:textId="270B4744" w:rsidR="00B91E32" w:rsidRPr="00FB015B" w:rsidRDefault="00B91E32" w:rsidP="00B91E32">
                  <w:pPr>
                    <w:spacing w:after="0"/>
                    <w:jc w:val="center"/>
                    <w:rPr>
                      <w:rFonts w:asciiTheme="minorHAnsi" w:hAnsiTheme="minorHAnsi" w:cstheme="minorHAnsi"/>
                      <w:b/>
                      <w:bCs/>
                      <w:sz w:val="20"/>
                      <w:szCs w:val="20"/>
                    </w:rPr>
                  </w:pPr>
                  <w:r w:rsidRPr="00FB015B">
                    <w:rPr>
                      <w:rFonts w:asciiTheme="minorHAnsi" w:hAnsiTheme="minorHAnsi" w:cstheme="minorHAnsi"/>
                      <w:b/>
                      <w:bCs/>
                      <w:sz w:val="20"/>
                      <w:szCs w:val="20"/>
                    </w:rPr>
                    <w:t>Notified TB Cases</w:t>
                  </w:r>
                </w:p>
              </w:tc>
            </w:tr>
            <w:tr w:rsidR="00B91E32" w:rsidRPr="00FB015B" w14:paraId="4FE9FA19" w14:textId="77777777" w:rsidTr="004070A9">
              <w:tc>
                <w:tcPr>
                  <w:tcW w:w="3185" w:type="dxa"/>
                  <w:vMerge/>
                  <w:shd w:val="clear" w:color="auto" w:fill="002A55" w:themeFill="accent5" w:themeFillShade="80"/>
                </w:tcPr>
                <w:p w14:paraId="5882A507" w14:textId="77777777" w:rsidR="00B91E32" w:rsidRPr="00FB015B" w:rsidRDefault="00B91E32" w:rsidP="00B91E32">
                  <w:pPr>
                    <w:spacing w:after="0"/>
                    <w:jc w:val="center"/>
                    <w:rPr>
                      <w:rFonts w:asciiTheme="minorHAnsi" w:hAnsiTheme="minorHAnsi" w:cstheme="minorHAnsi"/>
                      <w:b/>
                      <w:bCs/>
                      <w:sz w:val="20"/>
                      <w:szCs w:val="20"/>
                    </w:rPr>
                  </w:pPr>
                </w:p>
              </w:tc>
              <w:tc>
                <w:tcPr>
                  <w:tcW w:w="1559" w:type="dxa"/>
                  <w:shd w:val="clear" w:color="auto" w:fill="002A55" w:themeFill="accent5" w:themeFillShade="80"/>
                </w:tcPr>
                <w:p w14:paraId="2701ECAA" w14:textId="7FD3FD53" w:rsidR="00B91E32" w:rsidRPr="00FB015B" w:rsidRDefault="00B91E32" w:rsidP="00B91E32">
                  <w:pPr>
                    <w:spacing w:after="0"/>
                    <w:jc w:val="center"/>
                    <w:rPr>
                      <w:rFonts w:asciiTheme="minorHAnsi" w:hAnsiTheme="minorHAnsi" w:cstheme="minorHAnsi"/>
                      <w:b/>
                      <w:bCs/>
                      <w:sz w:val="20"/>
                      <w:szCs w:val="20"/>
                    </w:rPr>
                  </w:pPr>
                  <w:r w:rsidRPr="00FB015B">
                    <w:rPr>
                      <w:rFonts w:asciiTheme="minorHAnsi" w:hAnsiTheme="minorHAnsi" w:cstheme="minorHAnsi"/>
                      <w:b/>
                      <w:bCs/>
                      <w:sz w:val="20"/>
                      <w:szCs w:val="20"/>
                    </w:rPr>
                    <w:t>2021</w:t>
                  </w:r>
                </w:p>
              </w:tc>
              <w:tc>
                <w:tcPr>
                  <w:tcW w:w="1701" w:type="dxa"/>
                  <w:shd w:val="clear" w:color="auto" w:fill="002A55" w:themeFill="accent5" w:themeFillShade="80"/>
                </w:tcPr>
                <w:p w14:paraId="0FE0F78C" w14:textId="5A7AFDAA" w:rsidR="00B91E32" w:rsidRPr="00FB015B" w:rsidRDefault="00B91E32" w:rsidP="00B91E32">
                  <w:pPr>
                    <w:spacing w:after="0"/>
                    <w:jc w:val="center"/>
                    <w:rPr>
                      <w:rFonts w:asciiTheme="minorHAnsi" w:hAnsiTheme="minorHAnsi" w:cstheme="minorHAnsi"/>
                      <w:b/>
                      <w:bCs/>
                      <w:sz w:val="20"/>
                      <w:szCs w:val="20"/>
                    </w:rPr>
                  </w:pPr>
                  <w:r w:rsidRPr="00FB015B">
                    <w:rPr>
                      <w:rFonts w:asciiTheme="minorHAnsi" w:hAnsiTheme="minorHAnsi" w:cstheme="minorHAnsi"/>
                      <w:b/>
                      <w:bCs/>
                      <w:sz w:val="20"/>
                      <w:szCs w:val="20"/>
                    </w:rPr>
                    <w:t>2022</w:t>
                  </w:r>
                </w:p>
              </w:tc>
              <w:tc>
                <w:tcPr>
                  <w:tcW w:w="1609" w:type="dxa"/>
                  <w:shd w:val="clear" w:color="auto" w:fill="002A55" w:themeFill="accent5" w:themeFillShade="80"/>
                </w:tcPr>
                <w:p w14:paraId="44857BC4" w14:textId="47420E23" w:rsidR="00B91E32" w:rsidRPr="00FB015B" w:rsidRDefault="00B91E32" w:rsidP="00B91E32">
                  <w:pPr>
                    <w:spacing w:after="0"/>
                    <w:jc w:val="center"/>
                    <w:rPr>
                      <w:rFonts w:asciiTheme="minorHAnsi" w:hAnsiTheme="minorHAnsi" w:cstheme="minorHAnsi"/>
                      <w:b/>
                      <w:bCs/>
                      <w:sz w:val="20"/>
                      <w:szCs w:val="20"/>
                    </w:rPr>
                  </w:pPr>
                  <w:r w:rsidRPr="00FB015B">
                    <w:rPr>
                      <w:rFonts w:asciiTheme="minorHAnsi" w:hAnsiTheme="minorHAnsi" w:cstheme="minorHAnsi"/>
                      <w:b/>
                      <w:bCs/>
                      <w:sz w:val="20"/>
                      <w:szCs w:val="20"/>
                    </w:rPr>
                    <w:t>2023</w:t>
                  </w:r>
                </w:p>
              </w:tc>
            </w:tr>
            <w:tr w:rsidR="00B91E32" w:rsidRPr="00FB015B" w14:paraId="4A11B783" w14:textId="77777777" w:rsidTr="004070A9">
              <w:tc>
                <w:tcPr>
                  <w:tcW w:w="3185" w:type="dxa"/>
                  <w:shd w:val="clear" w:color="auto" w:fill="BBDCFF" w:themeFill="accent5" w:themeFillTint="33"/>
                </w:tcPr>
                <w:p w14:paraId="5E2C8080" w14:textId="375CCA3D" w:rsidR="00B91E32" w:rsidRPr="00FB015B" w:rsidRDefault="001E309E" w:rsidP="009B6C0D">
                  <w:pPr>
                    <w:spacing w:after="0"/>
                    <w:rPr>
                      <w:rFonts w:asciiTheme="minorHAnsi" w:hAnsiTheme="minorHAnsi" w:cstheme="minorHAnsi"/>
                      <w:sz w:val="20"/>
                      <w:szCs w:val="20"/>
                    </w:rPr>
                  </w:pPr>
                  <w:r>
                    <w:rPr>
                      <w:rFonts w:asciiTheme="minorHAnsi" w:hAnsiTheme="minorHAnsi" w:cstheme="minorHAnsi"/>
                      <w:sz w:val="20"/>
                      <w:szCs w:val="20"/>
                    </w:rPr>
                    <w:t xml:space="preserve">Systematic Screening via ACF/ICF/ECF among </w:t>
                  </w:r>
                  <w:r w:rsidR="004070A9" w:rsidRPr="00FB015B">
                    <w:rPr>
                      <w:rFonts w:asciiTheme="minorHAnsi" w:hAnsiTheme="minorHAnsi" w:cstheme="minorHAnsi"/>
                      <w:sz w:val="20"/>
                      <w:szCs w:val="20"/>
                    </w:rPr>
                    <w:t>Vul</w:t>
                  </w:r>
                  <w:r>
                    <w:rPr>
                      <w:rFonts w:asciiTheme="minorHAnsi" w:hAnsiTheme="minorHAnsi" w:cstheme="minorHAnsi"/>
                      <w:sz w:val="20"/>
                      <w:szCs w:val="20"/>
                    </w:rPr>
                    <w:t>nerable</w:t>
                  </w:r>
                  <w:r w:rsidR="00FB015B" w:rsidRPr="00FB015B">
                    <w:rPr>
                      <w:rFonts w:asciiTheme="minorHAnsi" w:hAnsiTheme="minorHAnsi" w:cstheme="minorHAnsi"/>
                      <w:sz w:val="20"/>
                      <w:szCs w:val="20"/>
                    </w:rPr>
                    <w:t xml:space="preserve"> </w:t>
                  </w:r>
                  <w:r w:rsidR="004070A9" w:rsidRPr="00FB015B">
                    <w:rPr>
                      <w:rFonts w:asciiTheme="minorHAnsi" w:hAnsiTheme="minorHAnsi" w:cstheme="minorHAnsi"/>
                      <w:sz w:val="20"/>
                      <w:szCs w:val="20"/>
                    </w:rPr>
                    <w:t>Population</w:t>
                  </w:r>
                  <w:r>
                    <w:rPr>
                      <w:rFonts w:asciiTheme="minorHAnsi" w:hAnsiTheme="minorHAnsi" w:cstheme="minorHAnsi"/>
                      <w:sz w:val="20"/>
                      <w:szCs w:val="20"/>
                    </w:rPr>
                    <w:t xml:space="preserve"> Groups</w:t>
                  </w:r>
                </w:p>
              </w:tc>
              <w:tc>
                <w:tcPr>
                  <w:tcW w:w="1559" w:type="dxa"/>
                  <w:shd w:val="clear" w:color="auto" w:fill="BBDCFF" w:themeFill="accent5" w:themeFillTint="33"/>
                </w:tcPr>
                <w:p w14:paraId="6C4A8C28" w14:textId="269DBBAE" w:rsidR="00B91E32" w:rsidRPr="00FB015B" w:rsidRDefault="00B91E32" w:rsidP="004070A9">
                  <w:pPr>
                    <w:spacing w:after="0"/>
                    <w:jc w:val="center"/>
                    <w:rPr>
                      <w:rFonts w:asciiTheme="minorHAnsi" w:hAnsiTheme="minorHAnsi" w:cstheme="minorHAnsi"/>
                      <w:sz w:val="20"/>
                      <w:szCs w:val="20"/>
                    </w:rPr>
                  </w:pPr>
                  <w:r w:rsidRPr="00FB015B">
                    <w:rPr>
                      <w:rFonts w:asciiTheme="minorHAnsi" w:hAnsiTheme="minorHAnsi" w:cstheme="minorHAnsi"/>
                      <w:sz w:val="20"/>
                      <w:szCs w:val="20"/>
                    </w:rPr>
                    <w:t>18,456</w:t>
                  </w:r>
                </w:p>
              </w:tc>
              <w:tc>
                <w:tcPr>
                  <w:tcW w:w="1701" w:type="dxa"/>
                  <w:shd w:val="clear" w:color="auto" w:fill="BBDCFF" w:themeFill="accent5" w:themeFillTint="33"/>
                </w:tcPr>
                <w:p w14:paraId="02EFDCB0" w14:textId="14007106" w:rsidR="00B91E32" w:rsidRPr="00FB015B" w:rsidRDefault="00B91E32" w:rsidP="004070A9">
                  <w:pPr>
                    <w:spacing w:after="0"/>
                    <w:jc w:val="center"/>
                    <w:rPr>
                      <w:rFonts w:asciiTheme="minorHAnsi" w:hAnsiTheme="minorHAnsi" w:cstheme="minorHAnsi"/>
                      <w:sz w:val="20"/>
                      <w:szCs w:val="20"/>
                    </w:rPr>
                  </w:pPr>
                  <w:r w:rsidRPr="00FB015B">
                    <w:rPr>
                      <w:rFonts w:asciiTheme="minorHAnsi" w:hAnsiTheme="minorHAnsi" w:cstheme="minorHAnsi"/>
                      <w:sz w:val="20"/>
                      <w:szCs w:val="20"/>
                    </w:rPr>
                    <w:t>22,456</w:t>
                  </w:r>
                </w:p>
              </w:tc>
              <w:tc>
                <w:tcPr>
                  <w:tcW w:w="1609" w:type="dxa"/>
                  <w:shd w:val="clear" w:color="auto" w:fill="BBDCFF" w:themeFill="accent5" w:themeFillTint="33"/>
                </w:tcPr>
                <w:p w14:paraId="46F1ECAE" w14:textId="3C1788B9" w:rsidR="00B91E32" w:rsidRPr="00FB015B" w:rsidRDefault="00B91E32" w:rsidP="004070A9">
                  <w:pPr>
                    <w:spacing w:after="0"/>
                    <w:jc w:val="center"/>
                    <w:rPr>
                      <w:rFonts w:asciiTheme="minorHAnsi" w:hAnsiTheme="minorHAnsi" w:cstheme="minorHAnsi"/>
                      <w:sz w:val="20"/>
                      <w:szCs w:val="20"/>
                    </w:rPr>
                  </w:pPr>
                  <w:r w:rsidRPr="00FB015B">
                    <w:rPr>
                      <w:rFonts w:asciiTheme="minorHAnsi" w:hAnsiTheme="minorHAnsi" w:cstheme="minorHAnsi"/>
                      <w:sz w:val="20"/>
                      <w:szCs w:val="20"/>
                    </w:rPr>
                    <w:t>26,456</w:t>
                  </w:r>
                </w:p>
              </w:tc>
            </w:tr>
            <w:tr w:rsidR="00B91E32" w:rsidRPr="00FB015B" w14:paraId="1ADA8558" w14:textId="77777777" w:rsidTr="004070A9">
              <w:tc>
                <w:tcPr>
                  <w:tcW w:w="3185" w:type="dxa"/>
                  <w:shd w:val="clear" w:color="auto" w:fill="BBDCFF" w:themeFill="accent5" w:themeFillTint="33"/>
                </w:tcPr>
                <w:p w14:paraId="3DC2CFF0" w14:textId="16F33973" w:rsidR="00B91E32" w:rsidRPr="00FB015B" w:rsidRDefault="00B91E32" w:rsidP="009B6C0D">
                  <w:pPr>
                    <w:spacing w:after="0"/>
                    <w:rPr>
                      <w:rFonts w:asciiTheme="minorHAnsi" w:hAnsiTheme="minorHAnsi" w:cstheme="minorHAnsi"/>
                      <w:sz w:val="20"/>
                      <w:szCs w:val="20"/>
                    </w:rPr>
                  </w:pPr>
                  <w:r w:rsidRPr="00FB015B">
                    <w:rPr>
                      <w:rFonts w:asciiTheme="minorHAnsi" w:hAnsiTheme="minorHAnsi" w:cstheme="minorHAnsi"/>
                      <w:sz w:val="20"/>
                      <w:szCs w:val="20"/>
                    </w:rPr>
                    <w:t>ACF</w:t>
                  </w:r>
                  <w:r w:rsidR="004070A9" w:rsidRPr="00FB015B">
                    <w:rPr>
                      <w:rFonts w:asciiTheme="minorHAnsi" w:hAnsiTheme="minorHAnsi" w:cstheme="minorHAnsi"/>
                      <w:sz w:val="20"/>
                      <w:szCs w:val="20"/>
                    </w:rPr>
                    <w:t xml:space="preserve"> for PDL</w:t>
                  </w:r>
                </w:p>
              </w:tc>
              <w:tc>
                <w:tcPr>
                  <w:tcW w:w="1559" w:type="dxa"/>
                  <w:shd w:val="clear" w:color="auto" w:fill="BBDCFF" w:themeFill="accent5" w:themeFillTint="33"/>
                </w:tcPr>
                <w:p w14:paraId="4E073D08" w14:textId="77777777" w:rsidR="00B91E32" w:rsidRDefault="00B91E32" w:rsidP="004070A9">
                  <w:pPr>
                    <w:spacing w:after="0"/>
                    <w:jc w:val="center"/>
                    <w:rPr>
                      <w:rFonts w:asciiTheme="minorHAnsi" w:hAnsiTheme="minorHAnsi" w:cstheme="minorHAnsi"/>
                      <w:sz w:val="20"/>
                      <w:szCs w:val="20"/>
                    </w:rPr>
                  </w:pPr>
                  <w:r w:rsidRPr="00FB015B">
                    <w:rPr>
                      <w:rFonts w:asciiTheme="minorHAnsi" w:hAnsiTheme="minorHAnsi" w:cstheme="minorHAnsi"/>
                      <w:sz w:val="20"/>
                      <w:szCs w:val="20"/>
                    </w:rPr>
                    <w:t>5,400</w:t>
                  </w:r>
                </w:p>
                <w:p w14:paraId="75AFF749" w14:textId="00B22A23" w:rsidR="002960DD" w:rsidRPr="00FB015B" w:rsidRDefault="002960DD" w:rsidP="004070A9">
                  <w:pPr>
                    <w:spacing w:after="0"/>
                    <w:jc w:val="center"/>
                    <w:rPr>
                      <w:rFonts w:asciiTheme="minorHAnsi" w:hAnsiTheme="minorHAnsi" w:cstheme="minorHAnsi"/>
                      <w:sz w:val="20"/>
                      <w:szCs w:val="20"/>
                    </w:rPr>
                  </w:pPr>
                </w:p>
              </w:tc>
              <w:tc>
                <w:tcPr>
                  <w:tcW w:w="1701" w:type="dxa"/>
                  <w:shd w:val="clear" w:color="auto" w:fill="BBDCFF" w:themeFill="accent5" w:themeFillTint="33"/>
                </w:tcPr>
                <w:p w14:paraId="7AAEA832" w14:textId="14CA94B6" w:rsidR="00B91E32" w:rsidRPr="00FB015B" w:rsidRDefault="00B91E32" w:rsidP="004070A9">
                  <w:pPr>
                    <w:spacing w:after="0"/>
                    <w:jc w:val="center"/>
                    <w:rPr>
                      <w:rFonts w:asciiTheme="minorHAnsi" w:hAnsiTheme="minorHAnsi" w:cstheme="minorHAnsi"/>
                      <w:sz w:val="20"/>
                      <w:szCs w:val="20"/>
                    </w:rPr>
                  </w:pPr>
                  <w:r w:rsidRPr="00FB015B">
                    <w:rPr>
                      <w:rFonts w:asciiTheme="minorHAnsi" w:hAnsiTheme="minorHAnsi" w:cstheme="minorHAnsi"/>
                      <w:sz w:val="20"/>
                      <w:szCs w:val="20"/>
                    </w:rPr>
                    <w:t>5,130</w:t>
                  </w:r>
                </w:p>
              </w:tc>
              <w:tc>
                <w:tcPr>
                  <w:tcW w:w="1609" w:type="dxa"/>
                  <w:shd w:val="clear" w:color="auto" w:fill="BBDCFF" w:themeFill="accent5" w:themeFillTint="33"/>
                </w:tcPr>
                <w:p w14:paraId="19778FF6" w14:textId="4CD18952" w:rsidR="00B91E32" w:rsidRPr="00FB015B" w:rsidRDefault="00B91E32" w:rsidP="004070A9">
                  <w:pPr>
                    <w:spacing w:after="0"/>
                    <w:jc w:val="center"/>
                    <w:rPr>
                      <w:rFonts w:asciiTheme="minorHAnsi" w:hAnsiTheme="minorHAnsi" w:cstheme="minorHAnsi"/>
                      <w:sz w:val="20"/>
                      <w:szCs w:val="20"/>
                    </w:rPr>
                  </w:pPr>
                  <w:r w:rsidRPr="00FB015B">
                    <w:rPr>
                      <w:rFonts w:asciiTheme="minorHAnsi" w:hAnsiTheme="minorHAnsi" w:cstheme="minorHAnsi"/>
                      <w:sz w:val="20"/>
                      <w:szCs w:val="20"/>
                    </w:rPr>
                    <w:t>4,874</w:t>
                  </w:r>
                </w:p>
              </w:tc>
            </w:tr>
            <w:tr w:rsidR="00B91E32" w:rsidRPr="00FB015B" w14:paraId="7C953A5B" w14:textId="77777777" w:rsidTr="004070A9">
              <w:tc>
                <w:tcPr>
                  <w:tcW w:w="3185" w:type="dxa"/>
                  <w:shd w:val="clear" w:color="auto" w:fill="BBDCFF" w:themeFill="accent5" w:themeFillTint="33"/>
                </w:tcPr>
                <w:p w14:paraId="7FF31AD4" w14:textId="4981CDE9" w:rsidR="00B91E32" w:rsidRPr="00FB015B" w:rsidRDefault="004070A9" w:rsidP="009B6C0D">
                  <w:pPr>
                    <w:spacing w:after="0"/>
                    <w:rPr>
                      <w:rFonts w:asciiTheme="minorHAnsi" w:hAnsiTheme="minorHAnsi" w:cstheme="minorHAnsi"/>
                      <w:sz w:val="20"/>
                      <w:szCs w:val="20"/>
                    </w:rPr>
                  </w:pPr>
                  <w:r w:rsidRPr="00FB015B">
                    <w:rPr>
                      <w:rFonts w:asciiTheme="minorHAnsi" w:hAnsiTheme="minorHAnsi" w:cstheme="minorHAnsi"/>
                      <w:sz w:val="20"/>
                      <w:szCs w:val="20"/>
                    </w:rPr>
                    <w:t>Private Sector Engagement</w:t>
                  </w:r>
                </w:p>
              </w:tc>
              <w:tc>
                <w:tcPr>
                  <w:tcW w:w="1559" w:type="dxa"/>
                  <w:shd w:val="clear" w:color="auto" w:fill="BBDCFF" w:themeFill="accent5" w:themeFillTint="33"/>
                </w:tcPr>
                <w:p w14:paraId="2C592BAE" w14:textId="2725B250" w:rsidR="004070A9" w:rsidRPr="00FB015B" w:rsidRDefault="00B91E32" w:rsidP="004070A9">
                  <w:pPr>
                    <w:spacing w:after="0"/>
                    <w:jc w:val="center"/>
                    <w:rPr>
                      <w:rFonts w:asciiTheme="minorHAnsi" w:hAnsiTheme="minorHAnsi" w:cstheme="minorHAnsi"/>
                      <w:sz w:val="20"/>
                      <w:szCs w:val="20"/>
                    </w:rPr>
                  </w:pPr>
                  <w:r w:rsidRPr="00FB015B">
                    <w:rPr>
                      <w:rFonts w:asciiTheme="minorHAnsi" w:hAnsiTheme="minorHAnsi" w:cstheme="minorHAnsi"/>
                      <w:sz w:val="20"/>
                      <w:szCs w:val="20"/>
                    </w:rPr>
                    <w:t>75,750</w:t>
                  </w:r>
                </w:p>
              </w:tc>
              <w:tc>
                <w:tcPr>
                  <w:tcW w:w="1701" w:type="dxa"/>
                  <w:shd w:val="clear" w:color="auto" w:fill="BBDCFF" w:themeFill="accent5" w:themeFillTint="33"/>
                </w:tcPr>
                <w:p w14:paraId="25088EE9" w14:textId="77777777" w:rsidR="00B91E32" w:rsidRDefault="00B91E32" w:rsidP="004070A9">
                  <w:pPr>
                    <w:spacing w:after="0"/>
                    <w:jc w:val="center"/>
                    <w:rPr>
                      <w:rFonts w:asciiTheme="minorHAnsi" w:hAnsiTheme="minorHAnsi" w:cstheme="minorHAnsi"/>
                      <w:sz w:val="20"/>
                      <w:szCs w:val="20"/>
                    </w:rPr>
                  </w:pPr>
                  <w:r w:rsidRPr="00FB015B">
                    <w:rPr>
                      <w:rFonts w:asciiTheme="minorHAnsi" w:hAnsiTheme="minorHAnsi" w:cstheme="minorHAnsi"/>
                      <w:sz w:val="20"/>
                      <w:szCs w:val="20"/>
                    </w:rPr>
                    <w:t>92,925</w:t>
                  </w:r>
                </w:p>
                <w:p w14:paraId="73ED8501" w14:textId="06BD3E38" w:rsidR="002960DD" w:rsidRPr="00FB015B" w:rsidRDefault="002960DD" w:rsidP="004070A9">
                  <w:pPr>
                    <w:spacing w:after="0"/>
                    <w:jc w:val="center"/>
                    <w:rPr>
                      <w:rFonts w:asciiTheme="minorHAnsi" w:hAnsiTheme="minorHAnsi" w:cstheme="minorHAnsi"/>
                      <w:sz w:val="20"/>
                      <w:szCs w:val="20"/>
                    </w:rPr>
                  </w:pPr>
                </w:p>
              </w:tc>
              <w:tc>
                <w:tcPr>
                  <w:tcW w:w="1609" w:type="dxa"/>
                  <w:shd w:val="clear" w:color="auto" w:fill="BBDCFF" w:themeFill="accent5" w:themeFillTint="33"/>
                </w:tcPr>
                <w:p w14:paraId="7A146C8C" w14:textId="1DF631C1" w:rsidR="00B91E32" w:rsidRPr="00FB015B" w:rsidRDefault="00B91E32" w:rsidP="004070A9">
                  <w:pPr>
                    <w:spacing w:after="0"/>
                    <w:jc w:val="center"/>
                    <w:rPr>
                      <w:rFonts w:asciiTheme="minorHAnsi" w:hAnsiTheme="minorHAnsi" w:cstheme="minorHAnsi"/>
                      <w:sz w:val="20"/>
                      <w:szCs w:val="20"/>
                    </w:rPr>
                  </w:pPr>
                  <w:r w:rsidRPr="00FB015B">
                    <w:rPr>
                      <w:rFonts w:asciiTheme="minorHAnsi" w:hAnsiTheme="minorHAnsi" w:cstheme="minorHAnsi"/>
                      <w:sz w:val="20"/>
                      <w:szCs w:val="20"/>
                    </w:rPr>
                    <w:t>97,615</w:t>
                  </w:r>
                </w:p>
              </w:tc>
            </w:tr>
            <w:tr w:rsidR="004070A9" w:rsidRPr="00FB015B" w14:paraId="0C71FD32" w14:textId="77777777" w:rsidTr="004070A9">
              <w:tc>
                <w:tcPr>
                  <w:tcW w:w="3185" w:type="dxa"/>
                  <w:shd w:val="clear" w:color="auto" w:fill="002A55" w:themeFill="accent5" w:themeFillShade="80"/>
                </w:tcPr>
                <w:p w14:paraId="0B030439" w14:textId="4A7B1EFB" w:rsidR="004070A9" w:rsidRPr="00FB015B" w:rsidRDefault="004070A9" w:rsidP="004070A9">
                  <w:pPr>
                    <w:spacing w:after="0"/>
                    <w:jc w:val="center"/>
                    <w:rPr>
                      <w:rFonts w:asciiTheme="minorHAnsi" w:hAnsiTheme="minorHAnsi" w:cstheme="minorHAnsi"/>
                      <w:b/>
                      <w:bCs/>
                      <w:sz w:val="20"/>
                      <w:szCs w:val="20"/>
                    </w:rPr>
                  </w:pPr>
                  <w:r w:rsidRPr="00FB015B">
                    <w:rPr>
                      <w:rFonts w:asciiTheme="minorHAnsi" w:hAnsiTheme="minorHAnsi" w:cstheme="minorHAnsi"/>
                      <w:b/>
                      <w:bCs/>
                      <w:sz w:val="20"/>
                      <w:szCs w:val="20"/>
                    </w:rPr>
                    <w:t>Total</w:t>
                  </w:r>
                </w:p>
              </w:tc>
              <w:tc>
                <w:tcPr>
                  <w:tcW w:w="1559" w:type="dxa"/>
                  <w:shd w:val="clear" w:color="auto" w:fill="002A55" w:themeFill="accent5" w:themeFillShade="80"/>
                </w:tcPr>
                <w:p w14:paraId="3FA80C28" w14:textId="77777777" w:rsidR="004070A9" w:rsidRPr="00FB015B" w:rsidRDefault="004070A9" w:rsidP="004070A9">
                  <w:pPr>
                    <w:spacing w:after="0"/>
                    <w:jc w:val="center"/>
                    <w:rPr>
                      <w:rFonts w:asciiTheme="minorHAnsi" w:hAnsiTheme="minorHAnsi" w:cstheme="minorHAnsi"/>
                      <w:b/>
                      <w:bCs/>
                      <w:sz w:val="20"/>
                      <w:szCs w:val="20"/>
                    </w:rPr>
                  </w:pPr>
                  <w:r w:rsidRPr="00FB015B">
                    <w:rPr>
                      <w:rFonts w:asciiTheme="minorHAnsi" w:hAnsiTheme="minorHAnsi" w:cstheme="minorHAnsi"/>
                      <w:b/>
                      <w:bCs/>
                      <w:sz w:val="20"/>
                      <w:szCs w:val="20"/>
                    </w:rPr>
                    <w:t xml:space="preserve">99,606 </w:t>
                  </w:r>
                </w:p>
                <w:p w14:paraId="0DC5B795" w14:textId="51F50405" w:rsidR="004070A9" w:rsidRPr="00FB015B" w:rsidRDefault="004070A9" w:rsidP="004070A9">
                  <w:pPr>
                    <w:spacing w:after="0"/>
                    <w:jc w:val="center"/>
                    <w:rPr>
                      <w:rFonts w:asciiTheme="minorHAnsi" w:hAnsiTheme="minorHAnsi" w:cstheme="minorHAnsi"/>
                      <w:b/>
                      <w:bCs/>
                      <w:sz w:val="20"/>
                      <w:szCs w:val="20"/>
                    </w:rPr>
                  </w:pPr>
                  <w:r w:rsidRPr="00FB015B">
                    <w:rPr>
                      <w:rFonts w:asciiTheme="minorHAnsi" w:hAnsiTheme="minorHAnsi" w:cstheme="minorHAnsi"/>
                      <w:b/>
                      <w:bCs/>
                      <w:sz w:val="20"/>
                      <w:szCs w:val="20"/>
                    </w:rPr>
                    <w:t>(20%)</w:t>
                  </w:r>
                </w:p>
              </w:tc>
              <w:tc>
                <w:tcPr>
                  <w:tcW w:w="1701" w:type="dxa"/>
                  <w:shd w:val="clear" w:color="auto" w:fill="002A55" w:themeFill="accent5" w:themeFillShade="80"/>
                </w:tcPr>
                <w:p w14:paraId="3DB407F8" w14:textId="77777777" w:rsidR="004070A9" w:rsidRPr="00FB015B" w:rsidRDefault="004070A9" w:rsidP="004070A9">
                  <w:pPr>
                    <w:spacing w:after="0"/>
                    <w:jc w:val="center"/>
                    <w:rPr>
                      <w:rFonts w:asciiTheme="minorHAnsi" w:hAnsiTheme="minorHAnsi" w:cstheme="minorHAnsi"/>
                      <w:b/>
                      <w:bCs/>
                      <w:sz w:val="20"/>
                      <w:szCs w:val="20"/>
                    </w:rPr>
                  </w:pPr>
                  <w:r w:rsidRPr="00FB015B">
                    <w:rPr>
                      <w:rFonts w:asciiTheme="minorHAnsi" w:hAnsiTheme="minorHAnsi" w:cstheme="minorHAnsi"/>
                      <w:b/>
                      <w:bCs/>
                      <w:sz w:val="20"/>
                      <w:szCs w:val="20"/>
                    </w:rPr>
                    <w:t>120,511</w:t>
                  </w:r>
                </w:p>
                <w:p w14:paraId="75207D6F" w14:textId="2CE73A4B" w:rsidR="004070A9" w:rsidRPr="00FB015B" w:rsidRDefault="004070A9" w:rsidP="004070A9">
                  <w:pPr>
                    <w:spacing w:after="0"/>
                    <w:jc w:val="center"/>
                    <w:rPr>
                      <w:rFonts w:asciiTheme="minorHAnsi" w:hAnsiTheme="minorHAnsi" w:cstheme="minorHAnsi"/>
                      <w:b/>
                      <w:bCs/>
                      <w:sz w:val="20"/>
                      <w:szCs w:val="20"/>
                    </w:rPr>
                  </w:pPr>
                  <w:r w:rsidRPr="00FB015B">
                    <w:rPr>
                      <w:rFonts w:asciiTheme="minorHAnsi" w:hAnsiTheme="minorHAnsi" w:cstheme="minorHAnsi"/>
                      <w:b/>
                      <w:bCs/>
                      <w:sz w:val="20"/>
                      <w:szCs w:val="20"/>
                    </w:rPr>
                    <w:t>(22%)</w:t>
                  </w:r>
                </w:p>
              </w:tc>
              <w:tc>
                <w:tcPr>
                  <w:tcW w:w="1609" w:type="dxa"/>
                  <w:shd w:val="clear" w:color="auto" w:fill="002A55" w:themeFill="accent5" w:themeFillShade="80"/>
                </w:tcPr>
                <w:p w14:paraId="6F686006" w14:textId="77777777" w:rsidR="004070A9" w:rsidRPr="00FB015B" w:rsidRDefault="004070A9" w:rsidP="004070A9">
                  <w:pPr>
                    <w:spacing w:after="0"/>
                    <w:jc w:val="center"/>
                    <w:rPr>
                      <w:rFonts w:asciiTheme="minorHAnsi" w:hAnsiTheme="minorHAnsi" w:cstheme="minorHAnsi"/>
                      <w:b/>
                      <w:bCs/>
                      <w:sz w:val="20"/>
                      <w:szCs w:val="20"/>
                    </w:rPr>
                  </w:pPr>
                  <w:r w:rsidRPr="00FB015B">
                    <w:rPr>
                      <w:rFonts w:asciiTheme="minorHAnsi" w:hAnsiTheme="minorHAnsi" w:cstheme="minorHAnsi"/>
                      <w:b/>
                      <w:bCs/>
                      <w:sz w:val="20"/>
                      <w:szCs w:val="20"/>
                    </w:rPr>
                    <w:t xml:space="preserve">128,945 </w:t>
                  </w:r>
                </w:p>
                <w:p w14:paraId="7A78EEE7" w14:textId="56D974F3" w:rsidR="004070A9" w:rsidRPr="00FB015B" w:rsidRDefault="004070A9" w:rsidP="004070A9">
                  <w:pPr>
                    <w:spacing w:after="0"/>
                    <w:jc w:val="center"/>
                    <w:rPr>
                      <w:rFonts w:asciiTheme="minorHAnsi" w:hAnsiTheme="minorHAnsi" w:cstheme="minorHAnsi"/>
                      <w:b/>
                      <w:bCs/>
                      <w:sz w:val="20"/>
                      <w:szCs w:val="20"/>
                    </w:rPr>
                  </w:pPr>
                  <w:r w:rsidRPr="00FB015B">
                    <w:rPr>
                      <w:rFonts w:asciiTheme="minorHAnsi" w:hAnsiTheme="minorHAnsi" w:cstheme="minorHAnsi"/>
                      <w:b/>
                      <w:bCs/>
                      <w:sz w:val="20"/>
                      <w:szCs w:val="20"/>
                    </w:rPr>
                    <w:t>(22%)</w:t>
                  </w:r>
                </w:p>
              </w:tc>
            </w:tr>
          </w:tbl>
          <w:p w14:paraId="2DBC25C9" w14:textId="77777777" w:rsidR="00973F14" w:rsidRPr="00FB015B" w:rsidRDefault="00C62BDC" w:rsidP="00E07C20">
            <w:pPr>
              <w:pStyle w:val="ListParagraph"/>
              <w:numPr>
                <w:ilvl w:val="0"/>
                <w:numId w:val="44"/>
              </w:numPr>
              <w:spacing w:after="0"/>
              <w:rPr>
                <w:rFonts w:cstheme="minorHAnsi"/>
              </w:rPr>
            </w:pPr>
            <w:r w:rsidRPr="00FB015B">
              <w:rPr>
                <w:rFonts w:cstheme="minorHAnsi"/>
              </w:rPr>
              <w:t xml:space="preserve">It is expected that increased awareness among judicial officers will create an enabling environment for PDLs to access TB and HIV care more easily and the setting up of isolation facilities will mitigate TB transmission in prisons. </w:t>
            </w:r>
          </w:p>
          <w:p w14:paraId="3796AC43" w14:textId="77777777" w:rsidR="003C4F1B" w:rsidRPr="00FB015B" w:rsidRDefault="004070A9" w:rsidP="00E07C20">
            <w:pPr>
              <w:pStyle w:val="ListParagraph"/>
              <w:numPr>
                <w:ilvl w:val="0"/>
                <w:numId w:val="44"/>
              </w:numPr>
              <w:spacing w:after="0"/>
              <w:rPr>
                <w:rFonts w:cstheme="minorHAnsi"/>
              </w:rPr>
            </w:pPr>
            <w:r w:rsidRPr="00FB015B">
              <w:rPr>
                <w:rFonts w:cstheme="minorHAnsi"/>
              </w:rPr>
              <w:t xml:space="preserve">The FR investment will also directly </w:t>
            </w:r>
            <w:r w:rsidR="003958BE" w:rsidRPr="00FB015B">
              <w:rPr>
                <w:rFonts w:cstheme="minorHAnsi"/>
              </w:rPr>
              <w:t>result to enrollment in TPT among contacts of TB patients from ACF interventions estimated to about 9,228 patients in 2021, 16,169 patients in 2022 and 25,927 patients in 2023.</w:t>
            </w:r>
            <w:r w:rsidR="003C4F1B" w:rsidRPr="00FB015B">
              <w:rPr>
                <w:rFonts w:cstheme="minorHAnsi"/>
              </w:rPr>
              <w:t xml:space="preserve"> </w:t>
            </w:r>
          </w:p>
          <w:p w14:paraId="2107E597" w14:textId="13FC0972" w:rsidR="00973F14" w:rsidRPr="00FB015B" w:rsidRDefault="003C4F1B" w:rsidP="00E07C20">
            <w:pPr>
              <w:pStyle w:val="ListParagraph"/>
              <w:numPr>
                <w:ilvl w:val="0"/>
                <w:numId w:val="44"/>
              </w:numPr>
              <w:spacing w:after="0"/>
              <w:rPr>
                <w:rFonts w:cstheme="minorHAnsi"/>
              </w:rPr>
            </w:pPr>
            <w:r w:rsidRPr="00FB015B">
              <w:rPr>
                <w:rFonts w:cstheme="minorHAnsi"/>
              </w:rPr>
              <w:t xml:space="preserve">Improved market access to innovative TPT would have been achieved in the country. </w:t>
            </w:r>
          </w:p>
          <w:p w14:paraId="092214E9" w14:textId="77777777" w:rsidR="00311EA8" w:rsidRDefault="00C62BDC" w:rsidP="00E07C20">
            <w:pPr>
              <w:pStyle w:val="ListParagraph"/>
              <w:numPr>
                <w:ilvl w:val="0"/>
                <w:numId w:val="44"/>
              </w:numPr>
              <w:spacing w:after="0"/>
              <w:rPr>
                <w:rFonts w:cstheme="minorHAnsi"/>
              </w:rPr>
            </w:pPr>
            <w:r w:rsidRPr="00FB015B">
              <w:rPr>
                <w:rFonts w:cstheme="minorHAnsi"/>
              </w:rPr>
              <w:t xml:space="preserve">About 10,103 stand-alone physicians will be engaged </w:t>
            </w:r>
            <w:r w:rsidRPr="00FB015B">
              <w:rPr>
                <w:rFonts w:cstheme="minorHAnsi"/>
                <w:i/>
                <w:iCs/>
              </w:rPr>
              <w:t>(8,703 MDs from the big three regions currently complying with mandatory case notification in the current grant plus 1,400 MDs from 14 highly urbanized cities to be engaged through this FR)</w:t>
            </w:r>
            <w:r w:rsidRPr="00FB015B">
              <w:rPr>
                <w:rFonts w:cstheme="minorHAnsi"/>
              </w:rPr>
              <w:t xml:space="preserve"> to be part of the TB health care provider network. </w:t>
            </w:r>
          </w:p>
          <w:p w14:paraId="482F033B" w14:textId="5A299ABC" w:rsidR="004070A9" w:rsidRPr="00FB015B" w:rsidRDefault="004070A9" w:rsidP="00311EA8">
            <w:pPr>
              <w:pStyle w:val="ListParagraph"/>
              <w:spacing w:after="0"/>
              <w:ind w:left="360"/>
              <w:rPr>
                <w:rFonts w:cstheme="minorHAnsi"/>
              </w:rPr>
            </w:pPr>
            <w:r w:rsidRPr="00FB015B">
              <w:rPr>
                <w:rFonts w:cstheme="minorHAnsi"/>
              </w:rPr>
              <w:t xml:space="preserve"> </w:t>
            </w:r>
          </w:p>
        </w:tc>
      </w:tr>
      <w:tr w:rsidR="0098274C" w:rsidRPr="00FB015B" w14:paraId="4C3A7A47" w14:textId="77777777" w:rsidTr="006E7C05">
        <w:trPr>
          <w:trHeight w:val="288"/>
        </w:trPr>
        <w:tc>
          <w:tcPr>
            <w:tcW w:w="2520" w:type="dxa"/>
            <w:shd w:val="clear" w:color="auto" w:fill="F2F2F2"/>
            <w:vAlign w:val="center"/>
          </w:tcPr>
          <w:p w14:paraId="4B6FDF4E" w14:textId="77777777" w:rsidR="0098274C" w:rsidRPr="00FB015B" w:rsidRDefault="0098274C" w:rsidP="009B6C0D">
            <w:pPr>
              <w:spacing w:after="0"/>
              <w:rPr>
                <w:rFonts w:cstheme="minorHAnsi"/>
                <w:b/>
              </w:rPr>
            </w:pPr>
            <w:r w:rsidRPr="00FB015B">
              <w:rPr>
                <w:rFonts w:cstheme="minorHAnsi"/>
                <w:b/>
              </w:rPr>
              <w:t>Expected Investment</w:t>
            </w:r>
          </w:p>
        </w:tc>
        <w:tc>
          <w:tcPr>
            <w:tcW w:w="8280" w:type="dxa"/>
          </w:tcPr>
          <w:p w14:paraId="515DA1F0" w14:textId="66F9B5C9" w:rsidR="00C23D32" w:rsidRPr="00FE4242" w:rsidRDefault="00FE4242" w:rsidP="009B6C0D">
            <w:pPr>
              <w:spacing w:after="0"/>
              <w:rPr>
                <w:rFonts w:cstheme="minorHAnsi"/>
              </w:rPr>
            </w:pPr>
            <w:r w:rsidRPr="00FE4242">
              <w:rPr>
                <w:b/>
                <w:bCs/>
                <w:sz w:val="24"/>
                <w:szCs w:val="24"/>
              </w:rPr>
              <w:t>USD 30,575,894</w:t>
            </w:r>
          </w:p>
          <w:p w14:paraId="4E5FA3BB" w14:textId="215AD045" w:rsidR="0056189C" w:rsidRPr="00FE4242" w:rsidRDefault="0056189C" w:rsidP="009B6C0D">
            <w:pPr>
              <w:spacing w:after="0"/>
              <w:rPr>
                <w:rFonts w:cstheme="minorHAnsi"/>
              </w:rPr>
            </w:pPr>
            <w:r w:rsidRPr="00FE4242">
              <w:rPr>
                <w:rFonts w:cstheme="minorHAnsi"/>
              </w:rPr>
              <w:t xml:space="preserve">Specific to the procurement of Xpert cartridges needed in ACF activities mentioned above, the share by year is estimated at: </w:t>
            </w:r>
          </w:p>
          <w:p w14:paraId="70A8CF93" w14:textId="5EC06BA7" w:rsidR="0056189C" w:rsidRPr="00FE4242" w:rsidRDefault="00C62BDC" w:rsidP="009B6C0D">
            <w:pPr>
              <w:spacing w:after="0"/>
              <w:rPr>
                <w:rFonts w:cstheme="minorHAnsi"/>
              </w:rPr>
            </w:pPr>
            <w:r w:rsidRPr="00FE4242">
              <w:rPr>
                <w:rFonts w:cstheme="minorHAnsi"/>
              </w:rPr>
              <w:t xml:space="preserve">DOH </w:t>
            </w:r>
            <w:r w:rsidR="0056189C" w:rsidRPr="00FE4242">
              <w:rPr>
                <w:rFonts w:cstheme="minorHAnsi"/>
              </w:rPr>
              <w:t xml:space="preserve">        </w:t>
            </w:r>
            <w:r w:rsidRPr="00FE4242">
              <w:rPr>
                <w:rFonts w:cstheme="minorHAnsi"/>
              </w:rPr>
              <w:t>2021: 400,000; 2022: 500,000; and 2023: 600,000</w:t>
            </w:r>
            <w:r w:rsidR="0056189C" w:rsidRPr="00FE4242">
              <w:rPr>
                <w:rFonts w:cstheme="minorHAnsi"/>
              </w:rPr>
              <w:t xml:space="preserve"> | Total: 1.5 million </w:t>
            </w:r>
          </w:p>
          <w:p w14:paraId="4E462537" w14:textId="606046F4" w:rsidR="00C62BDC" w:rsidRPr="00FE4242" w:rsidRDefault="0056189C" w:rsidP="009B6C0D">
            <w:pPr>
              <w:spacing w:after="0"/>
              <w:rPr>
                <w:rFonts w:cstheme="minorHAnsi"/>
              </w:rPr>
            </w:pPr>
            <w:r w:rsidRPr="00FE4242">
              <w:rPr>
                <w:rFonts w:cstheme="minorHAnsi"/>
              </w:rPr>
              <w:t>TGF-</w:t>
            </w:r>
            <w:r w:rsidR="00C62BDC" w:rsidRPr="00FE4242">
              <w:rPr>
                <w:rFonts w:cstheme="minorHAnsi"/>
              </w:rPr>
              <w:t xml:space="preserve">FR </w:t>
            </w:r>
            <w:r w:rsidRPr="00FE4242">
              <w:rPr>
                <w:rFonts w:cstheme="minorHAnsi"/>
              </w:rPr>
              <w:t xml:space="preserve">   </w:t>
            </w:r>
            <w:r w:rsidR="00C62BDC" w:rsidRPr="00FE4242">
              <w:rPr>
                <w:rFonts w:cstheme="minorHAnsi"/>
              </w:rPr>
              <w:t xml:space="preserve">2021: </w:t>
            </w:r>
            <w:r w:rsidR="005C7854" w:rsidRPr="00FE4242">
              <w:rPr>
                <w:rFonts w:cstheme="minorHAnsi"/>
              </w:rPr>
              <w:t>182</w:t>
            </w:r>
            <w:r w:rsidR="00C62BDC" w:rsidRPr="00FE4242">
              <w:rPr>
                <w:rFonts w:cstheme="minorHAnsi"/>
              </w:rPr>
              <w:t>,</w:t>
            </w:r>
            <w:r w:rsidR="005C7854" w:rsidRPr="00FE4242">
              <w:rPr>
                <w:rFonts w:cstheme="minorHAnsi"/>
              </w:rPr>
              <w:t>133</w:t>
            </w:r>
            <w:r w:rsidR="00C62BDC" w:rsidRPr="00FE4242">
              <w:rPr>
                <w:rFonts w:cstheme="minorHAnsi"/>
              </w:rPr>
              <w:t xml:space="preserve">; 2022: </w:t>
            </w:r>
            <w:r w:rsidR="005C7854" w:rsidRPr="00FE4242">
              <w:rPr>
                <w:rFonts w:cstheme="minorHAnsi"/>
              </w:rPr>
              <w:t>154,912</w:t>
            </w:r>
            <w:r w:rsidR="00C62BDC" w:rsidRPr="00FE4242">
              <w:rPr>
                <w:rFonts w:cstheme="minorHAnsi"/>
              </w:rPr>
              <w:t xml:space="preserve">; and 2023: </w:t>
            </w:r>
            <w:r w:rsidR="005C7854" w:rsidRPr="00FE4242">
              <w:rPr>
                <w:rFonts w:cstheme="minorHAnsi"/>
              </w:rPr>
              <w:t>115,542</w:t>
            </w:r>
            <w:r w:rsidR="00C62BDC" w:rsidRPr="00FE4242">
              <w:rPr>
                <w:rFonts w:cstheme="minorHAnsi"/>
              </w:rPr>
              <w:t xml:space="preserve"> </w:t>
            </w:r>
            <w:r w:rsidRPr="00FE4242">
              <w:rPr>
                <w:rFonts w:cstheme="minorHAnsi"/>
              </w:rPr>
              <w:t>|</w:t>
            </w:r>
            <w:r w:rsidR="00C62BDC" w:rsidRPr="00FE4242">
              <w:rPr>
                <w:rFonts w:cstheme="minorHAnsi"/>
              </w:rPr>
              <w:t xml:space="preserve"> </w:t>
            </w:r>
            <w:r w:rsidRPr="00FE4242">
              <w:rPr>
                <w:rFonts w:cstheme="minorHAnsi"/>
              </w:rPr>
              <w:t>T</w:t>
            </w:r>
            <w:r w:rsidR="00C62BDC" w:rsidRPr="00FE4242">
              <w:rPr>
                <w:rFonts w:cstheme="minorHAnsi"/>
              </w:rPr>
              <w:t>otal</w:t>
            </w:r>
            <w:r w:rsidRPr="00FE4242">
              <w:rPr>
                <w:rFonts w:cstheme="minorHAnsi"/>
              </w:rPr>
              <w:t>:</w:t>
            </w:r>
            <w:r w:rsidR="00C62BDC" w:rsidRPr="00FE4242">
              <w:rPr>
                <w:rFonts w:cstheme="minorHAnsi"/>
              </w:rPr>
              <w:t xml:space="preserve"> </w:t>
            </w:r>
            <w:r w:rsidR="005C7854" w:rsidRPr="00FE4242">
              <w:rPr>
                <w:rFonts w:cstheme="minorHAnsi"/>
              </w:rPr>
              <w:t>452,588</w:t>
            </w:r>
            <w:r w:rsidR="00C62BDC" w:rsidRPr="00FE4242">
              <w:rPr>
                <w:rFonts w:cstheme="minorHAnsi"/>
              </w:rPr>
              <w:t xml:space="preserve"> </w:t>
            </w:r>
          </w:p>
          <w:p w14:paraId="1DD695B8" w14:textId="33F4B811" w:rsidR="0056189C" w:rsidRPr="00FE4242" w:rsidRDefault="0056189C" w:rsidP="009B6C0D">
            <w:pPr>
              <w:spacing w:after="0"/>
              <w:rPr>
                <w:rFonts w:cstheme="minorHAnsi"/>
              </w:rPr>
            </w:pPr>
          </w:p>
        </w:tc>
      </w:tr>
    </w:tbl>
    <w:p w14:paraId="089E8BAD" w14:textId="77777777" w:rsidR="0056189C" w:rsidRDefault="0056189C">
      <w:pPr>
        <w:spacing w:after="160" w:line="0" w:lineRule="auto"/>
      </w:pPr>
      <w:r>
        <w:br w:type="page"/>
      </w:r>
    </w:p>
    <w:tbl>
      <w:tblPr>
        <w:tblStyle w:val="TableGrid30"/>
        <w:tblW w:w="10800" w:type="dxa"/>
        <w:tblInd w:w="-5" w:type="dxa"/>
        <w:tblLook w:val="04A0" w:firstRow="1" w:lastRow="0" w:firstColumn="1" w:lastColumn="0" w:noHBand="0" w:noVBand="1"/>
      </w:tblPr>
      <w:tblGrid>
        <w:gridCol w:w="2520"/>
        <w:gridCol w:w="8280"/>
      </w:tblGrid>
      <w:tr w:rsidR="00E97A2E" w:rsidRPr="007F7A64" w14:paraId="4F049665" w14:textId="77777777" w:rsidTr="006E7C05">
        <w:trPr>
          <w:trHeight w:val="288"/>
        </w:trPr>
        <w:tc>
          <w:tcPr>
            <w:tcW w:w="2520" w:type="dxa"/>
            <w:shd w:val="clear" w:color="auto" w:fill="F2F2F2"/>
            <w:vAlign w:val="center"/>
          </w:tcPr>
          <w:p w14:paraId="4926C034" w14:textId="4F8FD35B" w:rsidR="00E97A2E" w:rsidRPr="00E41EDC" w:rsidRDefault="00E97A2E" w:rsidP="009B6C0D">
            <w:pPr>
              <w:spacing w:after="0"/>
              <w:rPr>
                <w:b/>
              </w:rPr>
            </w:pPr>
            <w:r>
              <w:rPr>
                <w:b/>
              </w:rPr>
              <w:lastRenderedPageBreak/>
              <w:t>Module #</w:t>
            </w:r>
            <w:r w:rsidR="008C7F6A">
              <w:rPr>
                <w:b/>
              </w:rPr>
              <w:t xml:space="preserve"> 3</w:t>
            </w:r>
          </w:p>
        </w:tc>
        <w:tc>
          <w:tcPr>
            <w:tcW w:w="8280" w:type="dxa"/>
          </w:tcPr>
          <w:p w14:paraId="6D1BE982" w14:textId="77777777" w:rsidR="00E97A2E" w:rsidRDefault="008C7F6A" w:rsidP="009B6C0D">
            <w:pPr>
              <w:spacing w:after="0"/>
            </w:pPr>
            <w:r>
              <w:t>TB-HIV Collaboration</w:t>
            </w:r>
          </w:p>
          <w:p w14:paraId="6EA87104" w14:textId="1D269B2E" w:rsidR="00FB015B" w:rsidRPr="00E41EDC" w:rsidRDefault="00FB015B" w:rsidP="009B6C0D">
            <w:pPr>
              <w:spacing w:after="0"/>
            </w:pPr>
          </w:p>
        </w:tc>
      </w:tr>
      <w:tr w:rsidR="00E97A2E" w:rsidRPr="007F7A64" w14:paraId="50CC94D0" w14:textId="77777777" w:rsidTr="006E7C05">
        <w:trPr>
          <w:trHeight w:val="288"/>
        </w:trPr>
        <w:tc>
          <w:tcPr>
            <w:tcW w:w="2520" w:type="dxa"/>
            <w:shd w:val="clear" w:color="auto" w:fill="F2F2F2"/>
            <w:vAlign w:val="center"/>
          </w:tcPr>
          <w:p w14:paraId="7E0A88EA" w14:textId="77777777" w:rsidR="00E97A2E" w:rsidRPr="007F7A64" w:rsidRDefault="00E97A2E" w:rsidP="009B6C0D">
            <w:pPr>
              <w:spacing w:after="0"/>
              <w:rPr>
                <w:b/>
              </w:rPr>
            </w:pPr>
            <w:r w:rsidRPr="007F7A64">
              <w:rPr>
                <w:b/>
              </w:rPr>
              <w:t>Intervention(s)</w:t>
            </w:r>
            <w:r>
              <w:rPr>
                <w:b/>
              </w:rPr>
              <w:t xml:space="preserve"> &amp; Key Activities</w:t>
            </w:r>
          </w:p>
        </w:tc>
        <w:tc>
          <w:tcPr>
            <w:tcW w:w="8280" w:type="dxa"/>
          </w:tcPr>
          <w:p w14:paraId="2E359379" w14:textId="60AA1136" w:rsidR="00E97A2E" w:rsidRDefault="00D0186A" w:rsidP="00E07C20">
            <w:pPr>
              <w:pStyle w:val="ListParagraph"/>
              <w:numPr>
                <w:ilvl w:val="0"/>
                <w:numId w:val="46"/>
              </w:numPr>
              <w:spacing w:after="0"/>
            </w:pPr>
            <w:r>
              <w:t xml:space="preserve">Build capacity of 1,885 </w:t>
            </w:r>
            <w:r w:rsidR="00D13BC3">
              <w:t>TB</w:t>
            </w:r>
            <w:r>
              <w:t xml:space="preserve"> facilities </w:t>
            </w:r>
            <w:r w:rsidR="009E7C62">
              <w:t>for PICT &amp; HIV proficiency and strnegthne collaboration of 118</w:t>
            </w:r>
            <w:r w:rsidR="00D13BC3">
              <w:t xml:space="preserve"> HIV hubs </w:t>
            </w:r>
            <w:r w:rsidR="009E7C62">
              <w:t xml:space="preserve">to TB care facilities. </w:t>
            </w:r>
          </w:p>
          <w:p w14:paraId="79EBD743" w14:textId="0714ADC7" w:rsidR="00D0186A" w:rsidRDefault="00D13BC3" w:rsidP="00E07C20">
            <w:pPr>
              <w:pStyle w:val="ListParagraph"/>
              <w:numPr>
                <w:ilvl w:val="0"/>
                <w:numId w:val="46"/>
              </w:numPr>
              <w:spacing w:after="0"/>
            </w:pPr>
            <w:r>
              <w:t xml:space="preserve">Use of all TB </w:t>
            </w:r>
            <w:r w:rsidR="00D0186A">
              <w:t>Xpert machines for HIV viral load testing</w:t>
            </w:r>
            <w:r>
              <w:t>.</w:t>
            </w:r>
          </w:p>
          <w:p w14:paraId="0ED5FFCF" w14:textId="69719204" w:rsidR="00D0186A" w:rsidRDefault="00D0186A" w:rsidP="00E07C20">
            <w:pPr>
              <w:pStyle w:val="ListParagraph"/>
              <w:numPr>
                <w:ilvl w:val="0"/>
                <w:numId w:val="46"/>
              </w:numPr>
              <w:spacing w:after="0"/>
            </w:pPr>
            <w:r>
              <w:t xml:space="preserve">Provision of free </w:t>
            </w:r>
            <w:r w:rsidR="001E309E">
              <w:t xml:space="preserve">HIV testing among TB patients and </w:t>
            </w:r>
            <w:r>
              <w:t>baseline laboratory testing require</w:t>
            </w:r>
            <w:r w:rsidR="009E7C62">
              <w:t xml:space="preserve">d </w:t>
            </w:r>
            <w:r>
              <w:t xml:space="preserve">for ART initiation among </w:t>
            </w:r>
            <w:r w:rsidR="001E309E">
              <w:t>those</w:t>
            </w:r>
            <w:r>
              <w:t xml:space="preserve"> tested positive for HIV.</w:t>
            </w:r>
          </w:p>
          <w:p w14:paraId="6625CD0B" w14:textId="1FE976AF" w:rsidR="00D0186A" w:rsidRDefault="00D0186A" w:rsidP="00E07C20">
            <w:pPr>
              <w:pStyle w:val="ListParagraph"/>
              <w:numPr>
                <w:ilvl w:val="0"/>
                <w:numId w:val="46"/>
              </w:numPr>
              <w:spacing w:after="0"/>
            </w:pPr>
            <w:r>
              <w:t>Support EQA for TB laboratories providing HI</w:t>
            </w:r>
            <w:r w:rsidR="001E309E">
              <w:t>V</w:t>
            </w:r>
            <w:r>
              <w:t xml:space="preserve"> testing. </w:t>
            </w:r>
          </w:p>
          <w:p w14:paraId="76A758FE" w14:textId="312F76D1" w:rsidR="00D0186A" w:rsidRDefault="00D0186A" w:rsidP="00E07C20">
            <w:pPr>
              <w:pStyle w:val="ListParagraph"/>
              <w:numPr>
                <w:ilvl w:val="0"/>
                <w:numId w:val="46"/>
              </w:numPr>
              <w:spacing w:after="0"/>
            </w:pPr>
            <w:r>
              <w:t>Production of job aids for TB care providers in conducting PIC</w:t>
            </w:r>
            <w:r w:rsidR="004E38A9">
              <w:t>T</w:t>
            </w:r>
            <w:r>
              <w:t>.</w:t>
            </w:r>
          </w:p>
          <w:p w14:paraId="74C8DBE1" w14:textId="77777777" w:rsidR="00D0186A" w:rsidRDefault="00D0186A" w:rsidP="00E07C20">
            <w:pPr>
              <w:pStyle w:val="ListParagraph"/>
              <w:numPr>
                <w:ilvl w:val="0"/>
                <w:numId w:val="46"/>
              </w:numPr>
              <w:spacing w:after="0"/>
            </w:pPr>
            <w:r>
              <w:t>Advocacy among HIV care providers on adopting innovative TPT.</w:t>
            </w:r>
          </w:p>
          <w:p w14:paraId="5ED89E17" w14:textId="77777777" w:rsidR="00D0186A" w:rsidRDefault="00D0186A" w:rsidP="00E07C20">
            <w:pPr>
              <w:pStyle w:val="ListParagraph"/>
              <w:numPr>
                <w:ilvl w:val="0"/>
                <w:numId w:val="46"/>
              </w:numPr>
              <w:spacing w:after="0"/>
            </w:pPr>
            <w:r>
              <w:t>Provision of B6 supplementation to prevent p</w:t>
            </w:r>
            <w:r w:rsidR="00CC0D95">
              <w:t xml:space="preserve">eripheral neuropathy among INH users. </w:t>
            </w:r>
            <w:r>
              <w:t xml:space="preserve">  </w:t>
            </w:r>
          </w:p>
          <w:p w14:paraId="75336C3F" w14:textId="36510FD1" w:rsidR="00FB015B" w:rsidRPr="00F86B1B" w:rsidRDefault="00FB015B" w:rsidP="00FB015B">
            <w:pPr>
              <w:pStyle w:val="ListParagraph"/>
              <w:spacing w:after="0"/>
              <w:ind w:left="360"/>
            </w:pPr>
          </w:p>
        </w:tc>
      </w:tr>
      <w:tr w:rsidR="00E97A2E" w:rsidRPr="007F7A64" w14:paraId="510C7D3E" w14:textId="77777777" w:rsidTr="006E7C05">
        <w:trPr>
          <w:trHeight w:val="288"/>
        </w:trPr>
        <w:tc>
          <w:tcPr>
            <w:tcW w:w="2520" w:type="dxa"/>
            <w:shd w:val="clear" w:color="auto" w:fill="F2F2F2"/>
            <w:vAlign w:val="center"/>
          </w:tcPr>
          <w:p w14:paraId="5375C701" w14:textId="51FA930C" w:rsidR="00E97A2E" w:rsidRPr="007F7A64" w:rsidRDefault="00E97A2E" w:rsidP="009B6C0D">
            <w:pPr>
              <w:spacing w:after="0"/>
              <w:rPr>
                <w:b/>
              </w:rPr>
            </w:pPr>
            <w:r>
              <w:rPr>
                <w:b/>
              </w:rPr>
              <w:t>Priority Population</w:t>
            </w:r>
            <w:r w:rsidR="006E7C05">
              <w:rPr>
                <w:b/>
              </w:rPr>
              <w:t>(</w:t>
            </w:r>
            <w:r>
              <w:rPr>
                <w:b/>
              </w:rPr>
              <w:t>s</w:t>
            </w:r>
            <w:r w:rsidR="006E7C05">
              <w:rPr>
                <w:b/>
              </w:rPr>
              <w:t>)</w:t>
            </w:r>
          </w:p>
        </w:tc>
        <w:tc>
          <w:tcPr>
            <w:tcW w:w="8280" w:type="dxa"/>
          </w:tcPr>
          <w:p w14:paraId="22E22FC0" w14:textId="04D654CD" w:rsidR="00E97A2E" w:rsidRDefault="00CC0D95" w:rsidP="009B6C0D">
            <w:pPr>
              <w:spacing w:after="0"/>
            </w:pPr>
            <w:r>
              <w:t xml:space="preserve">TB patients, </w:t>
            </w:r>
            <w:r w:rsidR="009E7C62">
              <w:t>PLHIV,118 TB-HIV patients</w:t>
            </w:r>
          </w:p>
          <w:p w14:paraId="68604A3A" w14:textId="3735B80A" w:rsidR="00FB015B" w:rsidRPr="007C1BE9" w:rsidRDefault="00FB015B" w:rsidP="009B6C0D">
            <w:pPr>
              <w:spacing w:after="0"/>
            </w:pPr>
          </w:p>
        </w:tc>
      </w:tr>
      <w:tr w:rsidR="00E97A2E" w:rsidRPr="007F7A64" w14:paraId="1F88B05B" w14:textId="77777777" w:rsidTr="006E7C05">
        <w:trPr>
          <w:trHeight w:val="288"/>
        </w:trPr>
        <w:tc>
          <w:tcPr>
            <w:tcW w:w="2520" w:type="dxa"/>
            <w:shd w:val="clear" w:color="auto" w:fill="F2F2F2"/>
            <w:vAlign w:val="center"/>
          </w:tcPr>
          <w:p w14:paraId="672D9C1F" w14:textId="6AACF825" w:rsidR="00E97A2E" w:rsidRDefault="00E97A2E" w:rsidP="009B6C0D">
            <w:pPr>
              <w:spacing w:after="0"/>
              <w:rPr>
                <w:b/>
              </w:rPr>
            </w:pPr>
            <w:r>
              <w:rPr>
                <w:b/>
              </w:rPr>
              <w:t>Barriers and Inequities</w:t>
            </w:r>
          </w:p>
        </w:tc>
        <w:tc>
          <w:tcPr>
            <w:tcW w:w="8280" w:type="dxa"/>
          </w:tcPr>
          <w:p w14:paraId="26B05BB4" w14:textId="42FD39D4" w:rsidR="00CC0D95" w:rsidRDefault="00CC0D95" w:rsidP="00E07C20">
            <w:pPr>
              <w:pStyle w:val="ListParagraph"/>
              <w:numPr>
                <w:ilvl w:val="0"/>
                <w:numId w:val="47"/>
              </w:numPr>
              <w:spacing w:after="0"/>
            </w:pPr>
            <w:r>
              <w:t>Building the capacity of TB facilities and HIV treatment hubs on TB-HIV co-management reduces stigma and discrimination among patients.</w:t>
            </w:r>
          </w:p>
          <w:p w14:paraId="2E1C9E99" w14:textId="4D67BB00" w:rsidR="00CC0D95" w:rsidRDefault="00CC0D95" w:rsidP="00E07C20">
            <w:pPr>
              <w:pStyle w:val="ListParagraph"/>
              <w:numPr>
                <w:ilvl w:val="0"/>
                <w:numId w:val="47"/>
              </w:numPr>
              <w:spacing w:after="0"/>
            </w:pPr>
            <w:r>
              <w:t xml:space="preserve">Optimization of </w:t>
            </w:r>
            <w:r w:rsidR="001E309E">
              <w:t xml:space="preserve">available </w:t>
            </w:r>
            <w:r>
              <w:t xml:space="preserve">Xpert </w:t>
            </w:r>
            <w:r w:rsidR="001E309E">
              <w:t xml:space="preserve">machines </w:t>
            </w:r>
            <w:r>
              <w:t xml:space="preserve">in TB facilities for HIV viral load testing improves access to the service among economically challenged PLHIVs.  </w:t>
            </w:r>
          </w:p>
          <w:p w14:paraId="15E73665" w14:textId="378D2DBF" w:rsidR="00FB015B" w:rsidRDefault="00CC0D95" w:rsidP="00E07C20">
            <w:pPr>
              <w:pStyle w:val="ListParagraph"/>
              <w:numPr>
                <w:ilvl w:val="0"/>
                <w:numId w:val="47"/>
              </w:numPr>
              <w:spacing w:after="0"/>
            </w:pPr>
            <w:r>
              <w:t>Capacity building on PICT among TB care providers and TB care protoc</w:t>
            </w:r>
            <w:r w:rsidR="00903374">
              <w:t>o</w:t>
            </w:r>
            <w:r>
              <w:t xml:space="preserve">ls among HIV care providers reduces provider stigma and discrimination and support people-centered care delivery.  </w:t>
            </w:r>
          </w:p>
          <w:p w14:paraId="5BCB40FA" w14:textId="5A4EA39A" w:rsidR="00E97A2E" w:rsidRPr="00CC0D95" w:rsidRDefault="00CC0D95" w:rsidP="00FB015B">
            <w:pPr>
              <w:pStyle w:val="ListParagraph"/>
              <w:spacing w:after="0"/>
              <w:ind w:left="360"/>
            </w:pPr>
            <w:r>
              <w:t xml:space="preserve">   </w:t>
            </w:r>
          </w:p>
        </w:tc>
      </w:tr>
      <w:tr w:rsidR="00E97A2E" w:rsidRPr="007F7A64" w14:paraId="3F3F9CAC" w14:textId="77777777" w:rsidTr="006E7C05">
        <w:trPr>
          <w:trHeight w:val="288"/>
        </w:trPr>
        <w:tc>
          <w:tcPr>
            <w:tcW w:w="2520" w:type="dxa"/>
            <w:shd w:val="clear" w:color="auto" w:fill="F2F2F2"/>
            <w:vAlign w:val="center"/>
          </w:tcPr>
          <w:p w14:paraId="59E25E5C" w14:textId="77777777" w:rsidR="00E97A2E" w:rsidRPr="007F7A64" w:rsidRDefault="00E97A2E" w:rsidP="009B6C0D">
            <w:pPr>
              <w:spacing w:after="0"/>
              <w:rPr>
                <w:b/>
              </w:rPr>
            </w:pPr>
            <w:r>
              <w:rPr>
                <w:b/>
              </w:rPr>
              <w:t>Rationale</w:t>
            </w:r>
          </w:p>
        </w:tc>
        <w:tc>
          <w:tcPr>
            <w:tcW w:w="8280" w:type="dxa"/>
          </w:tcPr>
          <w:p w14:paraId="5E0D52EA" w14:textId="09D6E411" w:rsidR="00FB015B" w:rsidRDefault="009E7C62" w:rsidP="009E7C62">
            <w:pPr>
              <w:spacing w:after="0"/>
            </w:pPr>
            <w:r>
              <w:t xml:space="preserve">TB disease as a leading cause of mortality among PLHIV and recognizing the stigma attached to both diseases and relative risk of discrimination, it is critical to create an enabling environment for collaboration. Furthermore, there is a need to increase HIV testing coverage for TB patients as recommended by WHO guidelines. Collaboration between the TB and HIV program has efficiency gains in finding missing cases for both diseases and improving TPT coverage. </w:t>
            </w:r>
          </w:p>
          <w:p w14:paraId="5C4ADE50" w14:textId="1A94EB23" w:rsidR="009E7C62" w:rsidRPr="007F7A64" w:rsidRDefault="009E7C62" w:rsidP="009E7C62">
            <w:pPr>
              <w:spacing w:after="0"/>
            </w:pPr>
          </w:p>
        </w:tc>
      </w:tr>
      <w:tr w:rsidR="00E97A2E" w:rsidRPr="007F7A64" w14:paraId="68C8FA15" w14:textId="77777777" w:rsidTr="006E7C05">
        <w:trPr>
          <w:trHeight w:val="288"/>
        </w:trPr>
        <w:tc>
          <w:tcPr>
            <w:tcW w:w="2520" w:type="dxa"/>
            <w:shd w:val="clear" w:color="auto" w:fill="F2F2F2"/>
            <w:vAlign w:val="center"/>
          </w:tcPr>
          <w:p w14:paraId="066A44C2" w14:textId="77777777" w:rsidR="00E97A2E" w:rsidRPr="007F7A64" w:rsidRDefault="00E97A2E" w:rsidP="009B6C0D">
            <w:pPr>
              <w:spacing w:after="0"/>
              <w:rPr>
                <w:b/>
              </w:rPr>
            </w:pPr>
            <w:r w:rsidRPr="007F7A64">
              <w:rPr>
                <w:b/>
              </w:rPr>
              <w:t xml:space="preserve">Expected </w:t>
            </w:r>
            <w:r>
              <w:rPr>
                <w:b/>
              </w:rPr>
              <w:t>Outcome</w:t>
            </w:r>
          </w:p>
        </w:tc>
        <w:tc>
          <w:tcPr>
            <w:tcW w:w="8280" w:type="dxa"/>
          </w:tcPr>
          <w:p w14:paraId="61A24D18" w14:textId="77777777" w:rsidR="003C4F1B" w:rsidRPr="00973F14" w:rsidRDefault="003C4F1B" w:rsidP="00E07C20">
            <w:pPr>
              <w:pStyle w:val="ListParagraph"/>
              <w:numPr>
                <w:ilvl w:val="0"/>
                <w:numId w:val="48"/>
              </w:numPr>
              <w:spacing w:after="0"/>
            </w:pPr>
            <w:r w:rsidRPr="00973F14">
              <w:t>The FR investment will directly contribute to the Updated PhilSTEP Phase 1 targets as presented below:</w:t>
            </w:r>
          </w:p>
          <w:tbl>
            <w:tblPr>
              <w:tblStyle w:val="TableGrid"/>
              <w:tblW w:w="0" w:type="auto"/>
              <w:tblLook w:val="04A0" w:firstRow="1" w:lastRow="0" w:firstColumn="1" w:lastColumn="0" w:noHBand="0" w:noVBand="1"/>
            </w:tblPr>
            <w:tblGrid>
              <w:gridCol w:w="3177"/>
              <w:gridCol w:w="1568"/>
              <w:gridCol w:w="1700"/>
              <w:gridCol w:w="1609"/>
            </w:tblGrid>
            <w:tr w:rsidR="003C4F1B" w:rsidRPr="004070A9" w14:paraId="722FB8A2" w14:textId="77777777" w:rsidTr="00C66B90">
              <w:tc>
                <w:tcPr>
                  <w:tcW w:w="3185" w:type="dxa"/>
                  <w:shd w:val="clear" w:color="auto" w:fill="002A55" w:themeFill="accent5" w:themeFillShade="80"/>
                </w:tcPr>
                <w:p w14:paraId="2A747D78" w14:textId="77777777" w:rsidR="003C4F1B" w:rsidRPr="004070A9" w:rsidRDefault="003C4F1B" w:rsidP="003C4F1B">
                  <w:pPr>
                    <w:spacing w:after="0"/>
                    <w:jc w:val="center"/>
                    <w:rPr>
                      <w:b/>
                      <w:bCs/>
                      <w:sz w:val="18"/>
                      <w:szCs w:val="18"/>
                    </w:rPr>
                  </w:pPr>
                  <w:r>
                    <w:rPr>
                      <w:b/>
                      <w:bCs/>
                      <w:sz w:val="18"/>
                      <w:szCs w:val="18"/>
                    </w:rPr>
                    <w:t>Indicators</w:t>
                  </w:r>
                </w:p>
              </w:tc>
              <w:tc>
                <w:tcPr>
                  <w:tcW w:w="1559" w:type="dxa"/>
                  <w:shd w:val="clear" w:color="auto" w:fill="002A55" w:themeFill="accent5" w:themeFillShade="80"/>
                </w:tcPr>
                <w:p w14:paraId="51FE1FB6" w14:textId="77777777" w:rsidR="003C4F1B" w:rsidRPr="004070A9" w:rsidRDefault="003C4F1B" w:rsidP="003C4F1B">
                  <w:pPr>
                    <w:spacing w:after="0"/>
                    <w:jc w:val="center"/>
                    <w:rPr>
                      <w:b/>
                      <w:bCs/>
                      <w:sz w:val="18"/>
                      <w:szCs w:val="18"/>
                    </w:rPr>
                  </w:pPr>
                  <w:r w:rsidRPr="004070A9">
                    <w:rPr>
                      <w:b/>
                      <w:bCs/>
                      <w:sz w:val="18"/>
                      <w:szCs w:val="18"/>
                    </w:rPr>
                    <w:t>2021</w:t>
                  </w:r>
                </w:p>
              </w:tc>
              <w:tc>
                <w:tcPr>
                  <w:tcW w:w="1701" w:type="dxa"/>
                  <w:shd w:val="clear" w:color="auto" w:fill="002A55" w:themeFill="accent5" w:themeFillShade="80"/>
                </w:tcPr>
                <w:p w14:paraId="1D136F06" w14:textId="77777777" w:rsidR="003C4F1B" w:rsidRPr="004070A9" w:rsidRDefault="003C4F1B" w:rsidP="003C4F1B">
                  <w:pPr>
                    <w:spacing w:after="0"/>
                    <w:jc w:val="center"/>
                    <w:rPr>
                      <w:b/>
                      <w:bCs/>
                      <w:sz w:val="18"/>
                      <w:szCs w:val="18"/>
                    </w:rPr>
                  </w:pPr>
                  <w:r w:rsidRPr="004070A9">
                    <w:rPr>
                      <w:b/>
                      <w:bCs/>
                      <w:sz w:val="18"/>
                      <w:szCs w:val="18"/>
                    </w:rPr>
                    <w:t>2022</w:t>
                  </w:r>
                </w:p>
              </w:tc>
              <w:tc>
                <w:tcPr>
                  <w:tcW w:w="1609" w:type="dxa"/>
                  <w:shd w:val="clear" w:color="auto" w:fill="002A55" w:themeFill="accent5" w:themeFillShade="80"/>
                </w:tcPr>
                <w:p w14:paraId="0D96EDDC" w14:textId="77777777" w:rsidR="003C4F1B" w:rsidRPr="004070A9" w:rsidRDefault="003C4F1B" w:rsidP="003C4F1B">
                  <w:pPr>
                    <w:spacing w:after="0"/>
                    <w:jc w:val="center"/>
                    <w:rPr>
                      <w:b/>
                      <w:bCs/>
                      <w:sz w:val="18"/>
                      <w:szCs w:val="18"/>
                    </w:rPr>
                  </w:pPr>
                  <w:r w:rsidRPr="004070A9">
                    <w:rPr>
                      <w:b/>
                      <w:bCs/>
                      <w:sz w:val="18"/>
                      <w:szCs w:val="18"/>
                    </w:rPr>
                    <w:t>2023</w:t>
                  </w:r>
                </w:p>
              </w:tc>
            </w:tr>
            <w:tr w:rsidR="003C4F1B" w:rsidRPr="004070A9" w14:paraId="0C3310C5" w14:textId="77777777" w:rsidTr="00C66B90">
              <w:tc>
                <w:tcPr>
                  <w:tcW w:w="3185" w:type="dxa"/>
                  <w:shd w:val="clear" w:color="auto" w:fill="BBDCFF" w:themeFill="accent5" w:themeFillTint="33"/>
                </w:tcPr>
                <w:p w14:paraId="26401E34" w14:textId="53205DDA" w:rsidR="003C4F1B" w:rsidRPr="00BB49C8" w:rsidRDefault="00E008F5" w:rsidP="003C4F1B">
                  <w:pPr>
                    <w:spacing w:after="0"/>
                    <w:rPr>
                      <w:i/>
                      <w:iCs/>
                      <w:sz w:val="18"/>
                      <w:szCs w:val="18"/>
                    </w:rPr>
                  </w:pPr>
                  <w:r w:rsidRPr="00E008F5">
                    <w:rPr>
                      <w:i/>
                      <w:iCs/>
                      <w:sz w:val="18"/>
                      <w:szCs w:val="18"/>
                    </w:rPr>
                    <w:t>Percentage of registered new and relapse TB patients with documented HIV status</w:t>
                  </w:r>
                </w:p>
              </w:tc>
              <w:tc>
                <w:tcPr>
                  <w:tcW w:w="1559" w:type="dxa"/>
                  <w:shd w:val="clear" w:color="auto" w:fill="BBDCFF" w:themeFill="accent5" w:themeFillTint="33"/>
                </w:tcPr>
                <w:p w14:paraId="0E711843" w14:textId="77777777" w:rsidR="00E008F5" w:rsidRPr="00E008F5" w:rsidRDefault="00E008F5" w:rsidP="00E008F5">
                  <w:pPr>
                    <w:spacing w:after="0"/>
                    <w:jc w:val="center"/>
                    <w:rPr>
                      <w:sz w:val="18"/>
                      <w:szCs w:val="18"/>
                      <w:lang w:val="en-PH"/>
                    </w:rPr>
                  </w:pPr>
                  <w:r w:rsidRPr="00E008F5">
                    <w:rPr>
                      <w:sz w:val="18"/>
                      <w:szCs w:val="18"/>
                    </w:rPr>
                    <w:t>60%</w:t>
                  </w:r>
                </w:p>
                <w:p w14:paraId="23BC748B" w14:textId="77777777" w:rsidR="00E008F5" w:rsidRPr="00E008F5" w:rsidRDefault="00E008F5" w:rsidP="00E008F5">
                  <w:pPr>
                    <w:spacing w:after="0"/>
                    <w:jc w:val="center"/>
                    <w:rPr>
                      <w:sz w:val="18"/>
                      <w:szCs w:val="18"/>
                      <w:lang w:val="en-PH"/>
                    </w:rPr>
                  </w:pPr>
                  <w:r w:rsidRPr="00E008F5">
                    <w:rPr>
                      <w:sz w:val="18"/>
                      <w:szCs w:val="18"/>
                    </w:rPr>
                    <w:t>198,783/331,305</w:t>
                  </w:r>
                </w:p>
                <w:p w14:paraId="3EBB04EE" w14:textId="363956D7" w:rsidR="003C4F1B" w:rsidRPr="004070A9" w:rsidRDefault="003C4F1B" w:rsidP="00E008F5">
                  <w:pPr>
                    <w:spacing w:after="0"/>
                    <w:rPr>
                      <w:sz w:val="18"/>
                      <w:szCs w:val="18"/>
                    </w:rPr>
                  </w:pPr>
                </w:p>
              </w:tc>
              <w:tc>
                <w:tcPr>
                  <w:tcW w:w="1701" w:type="dxa"/>
                  <w:shd w:val="clear" w:color="auto" w:fill="BBDCFF" w:themeFill="accent5" w:themeFillTint="33"/>
                </w:tcPr>
                <w:p w14:paraId="62ABC2CB" w14:textId="77777777" w:rsidR="00E008F5" w:rsidRPr="00E008F5" w:rsidRDefault="00E008F5" w:rsidP="00E008F5">
                  <w:pPr>
                    <w:spacing w:after="0"/>
                    <w:jc w:val="center"/>
                    <w:rPr>
                      <w:sz w:val="18"/>
                      <w:szCs w:val="18"/>
                      <w:lang w:val="en-PH"/>
                    </w:rPr>
                  </w:pPr>
                  <w:r w:rsidRPr="00E008F5">
                    <w:rPr>
                      <w:sz w:val="18"/>
                      <w:szCs w:val="18"/>
                    </w:rPr>
                    <w:t>80%</w:t>
                  </w:r>
                </w:p>
                <w:p w14:paraId="7DF51553" w14:textId="725CC8E0" w:rsidR="003C4F1B" w:rsidRPr="004070A9" w:rsidRDefault="00E008F5" w:rsidP="00E008F5">
                  <w:pPr>
                    <w:spacing w:after="0"/>
                    <w:jc w:val="center"/>
                    <w:rPr>
                      <w:sz w:val="18"/>
                      <w:szCs w:val="18"/>
                    </w:rPr>
                  </w:pPr>
                  <w:r w:rsidRPr="00E008F5">
                    <w:rPr>
                      <w:sz w:val="18"/>
                      <w:szCs w:val="18"/>
                    </w:rPr>
                    <w:t>260,475/325,594</w:t>
                  </w:r>
                </w:p>
              </w:tc>
              <w:tc>
                <w:tcPr>
                  <w:tcW w:w="1609" w:type="dxa"/>
                  <w:shd w:val="clear" w:color="auto" w:fill="BBDCFF" w:themeFill="accent5" w:themeFillTint="33"/>
                </w:tcPr>
                <w:p w14:paraId="426F4B98" w14:textId="77777777" w:rsidR="00E008F5" w:rsidRPr="00E008F5" w:rsidRDefault="00E008F5" w:rsidP="00E008F5">
                  <w:pPr>
                    <w:spacing w:after="0"/>
                    <w:jc w:val="center"/>
                    <w:rPr>
                      <w:sz w:val="18"/>
                      <w:szCs w:val="18"/>
                      <w:lang w:val="en-PH"/>
                    </w:rPr>
                  </w:pPr>
                  <w:r w:rsidRPr="00E008F5">
                    <w:rPr>
                      <w:sz w:val="18"/>
                      <w:szCs w:val="18"/>
                    </w:rPr>
                    <w:t>90%</w:t>
                  </w:r>
                </w:p>
                <w:p w14:paraId="42B3D51E" w14:textId="77777777" w:rsidR="00E008F5" w:rsidRPr="00E008F5" w:rsidRDefault="00E008F5" w:rsidP="00E008F5">
                  <w:pPr>
                    <w:spacing w:after="0"/>
                    <w:jc w:val="center"/>
                    <w:rPr>
                      <w:sz w:val="18"/>
                      <w:szCs w:val="18"/>
                      <w:lang w:val="en-PH"/>
                    </w:rPr>
                  </w:pPr>
                  <w:r w:rsidRPr="00E008F5">
                    <w:rPr>
                      <w:sz w:val="18"/>
                      <w:szCs w:val="18"/>
                    </w:rPr>
                    <w:t>281,252/312,502</w:t>
                  </w:r>
                </w:p>
                <w:p w14:paraId="375D2A78" w14:textId="7A30A328" w:rsidR="003C4F1B" w:rsidRPr="004070A9" w:rsidRDefault="003C4F1B" w:rsidP="003C4F1B">
                  <w:pPr>
                    <w:spacing w:after="0"/>
                    <w:jc w:val="center"/>
                    <w:rPr>
                      <w:sz w:val="18"/>
                      <w:szCs w:val="18"/>
                    </w:rPr>
                  </w:pPr>
                </w:p>
              </w:tc>
            </w:tr>
            <w:tr w:rsidR="003C4F1B" w:rsidRPr="004070A9" w14:paraId="1EC5C7F7" w14:textId="77777777" w:rsidTr="00C66B90">
              <w:tc>
                <w:tcPr>
                  <w:tcW w:w="3185" w:type="dxa"/>
                  <w:shd w:val="clear" w:color="auto" w:fill="BBDCFF" w:themeFill="accent5" w:themeFillTint="33"/>
                </w:tcPr>
                <w:p w14:paraId="1E16FA82" w14:textId="28118DEC" w:rsidR="003C4F1B" w:rsidRPr="004070A9" w:rsidRDefault="00E008F5" w:rsidP="003C4F1B">
                  <w:pPr>
                    <w:spacing w:after="0"/>
                    <w:rPr>
                      <w:sz w:val="18"/>
                      <w:szCs w:val="18"/>
                    </w:rPr>
                  </w:pPr>
                  <w:r w:rsidRPr="00E008F5">
                    <w:rPr>
                      <w:sz w:val="18"/>
                      <w:szCs w:val="18"/>
                    </w:rPr>
                    <w:t>Percentage of HIV-positive new and relapse TB patients on ART during TB treatment</w:t>
                  </w:r>
                </w:p>
              </w:tc>
              <w:tc>
                <w:tcPr>
                  <w:tcW w:w="1559" w:type="dxa"/>
                  <w:shd w:val="clear" w:color="auto" w:fill="BBDCFF" w:themeFill="accent5" w:themeFillTint="33"/>
                </w:tcPr>
                <w:p w14:paraId="1C81D834" w14:textId="77777777" w:rsidR="00E008F5" w:rsidRPr="00E008F5" w:rsidRDefault="00E008F5" w:rsidP="00E008F5">
                  <w:pPr>
                    <w:spacing w:after="0"/>
                    <w:jc w:val="center"/>
                    <w:rPr>
                      <w:sz w:val="18"/>
                      <w:szCs w:val="18"/>
                      <w:lang w:val="en-PH"/>
                    </w:rPr>
                  </w:pPr>
                  <w:r w:rsidRPr="00E008F5">
                    <w:rPr>
                      <w:sz w:val="18"/>
                      <w:szCs w:val="18"/>
                    </w:rPr>
                    <w:t>100%</w:t>
                  </w:r>
                </w:p>
                <w:p w14:paraId="3C500FB1" w14:textId="77777777" w:rsidR="00E008F5" w:rsidRPr="00E008F5" w:rsidRDefault="00E008F5" w:rsidP="00E008F5">
                  <w:pPr>
                    <w:spacing w:after="0"/>
                    <w:jc w:val="center"/>
                    <w:rPr>
                      <w:sz w:val="18"/>
                      <w:szCs w:val="18"/>
                      <w:lang w:val="en-PH"/>
                    </w:rPr>
                  </w:pPr>
                  <w:r w:rsidRPr="00E008F5">
                    <w:rPr>
                      <w:sz w:val="18"/>
                      <w:szCs w:val="18"/>
                    </w:rPr>
                    <w:t>2,982</w:t>
                  </w:r>
                </w:p>
                <w:p w14:paraId="729515C1" w14:textId="601C84A2" w:rsidR="003C4F1B" w:rsidRPr="004070A9" w:rsidRDefault="003C4F1B" w:rsidP="003C4F1B">
                  <w:pPr>
                    <w:spacing w:after="0"/>
                    <w:jc w:val="center"/>
                    <w:rPr>
                      <w:sz w:val="18"/>
                      <w:szCs w:val="18"/>
                    </w:rPr>
                  </w:pPr>
                </w:p>
              </w:tc>
              <w:tc>
                <w:tcPr>
                  <w:tcW w:w="1701" w:type="dxa"/>
                  <w:shd w:val="clear" w:color="auto" w:fill="BBDCFF" w:themeFill="accent5" w:themeFillTint="33"/>
                </w:tcPr>
                <w:p w14:paraId="0E616673" w14:textId="77777777" w:rsidR="00E008F5" w:rsidRPr="00E008F5" w:rsidRDefault="00E008F5" w:rsidP="00E008F5">
                  <w:pPr>
                    <w:spacing w:after="0"/>
                    <w:jc w:val="center"/>
                    <w:rPr>
                      <w:sz w:val="18"/>
                      <w:szCs w:val="18"/>
                      <w:lang w:val="en-PH"/>
                    </w:rPr>
                  </w:pPr>
                  <w:r w:rsidRPr="00E008F5">
                    <w:rPr>
                      <w:sz w:val="18"/>
                      <w:szCs w:val="18"/>
                    </w:rPr>
                    <w:t>100%</w:t>
                  </w:r>
                </w:p>
                <w:p w14:paraId="49A3F17D" w14:textId="77777777" w:rsidR="00E008F5" w:rsidRPr="00E008F5" w:rsidRDefault="00E008F5" w:rsidP="00E008F5">
                  <w:pPr>
                    <w:spacing w:after="0"/>
                    <w:jc w:val="center"/>
                    <w:rPr>
                      <w:sz w:val="18"/>
                      <w:szCs w:val="18"/>
                      <w:lang w:val="en-PH"/>
                    </w:rPr>
                  </w:pPr>
                  <w:r w:rsidRPr="00E008F5">
                    <w:rPr>
                      <w:sz w:val="18"/>
                      <w:szCs w:val="18"/>
                    </w:rPr>
                    <w:t>3,907</w:t>
                  </w:r>
                </w:p>
                <w:p w14:paraId="5C7086B8" w14:textId="1540557E" w:rsidR="003C4F1B" w:rsidRPr="004070A9" w:rsidRDefault="003C4F1B" w:rsidP="003C4F1B">
                  <w:pPr>
                    <w:spacing w:after="0"/>
                    <w:jc w:val="center"/>
                    <w:rPr>
                      <w:sz w:val="18"/>
                      <w:szCs w:val="18"/>
                    </w:rPr>
                  </w:pPr>
                </w:p>
              </w:tc>
              <w:tc>
                <w:tcPr>
                  <w:tcW w:w="1609" w:type="dxa"/>
                  <w:shd w:val="clear" w:color="auto" w:fill="BBDCFF" w:themeFill="accent5" w:themeFillTint="33"/>
                </w:tcPr>
                <w:p w14:paraId="020D6C5E" w14:textId="77777777" w:rsidR="00E008F5" w:rsidRPr="00E008F5" w:rsidRDefault="00E008F5" w:rsidP="00E008F5">
                  <w:pPr>
                    <w:spacing w:after="0"/>
                    <w:jc w:val="center"/>
                    <w:rPr>
                      <w:sz w:val="18"/>
                      <w:szCs w:val="18"/>
                      <w:lang w:val="en-PH"/>
                    </w:rPr>
                  </w:pPr>
                  <w:r w:rsidRPr="00E008F5">
                    <w:rPr>
                      <w:sz w:val="18"/>
                      <w:szCs w:val="18"/>
                    </w:rPr>
                    <w:t>100%</w:t>
                  </w:r>
                </w:p>
                <w:p w14:paraId="63ED398D" w14:textId="58030FF7" w:rsidR="003C4F1B" w:rsidRPr="004070A9" w:rsidRDefault="00E008F5" w:rsidP="00E008F5">
                  <w:pPr>
                    <w:spacing w:after="0"/>
                    <w:jc w:val="center"/>
                    <w:rPr>
                      <w:sz w:val="18"/>
                      <w:szCs w:val="18"/>
                    </w:rPr>
                  </w:pPr>
                  <w:r w:rsidRPr="00E008F5">
                    <w:rPr>
                      <w:sz w:val="18"/>
                      <w:szCs w:val="18"/>
                    </w:rPr>
                    <w:t>4,219</w:t>
                  </w:r>
                </w:p>
              </w:tc>
            </w:tr>
            <w:tr w:rsidR="003C4F1B" w:rsidRPr="004070A9" w14:paraId="70C29825" w14:textId="77777777" w:rsidTr="00C66B90">
              <w:tc>
                <w:tcPr>
                  <w:tcW w:w="3185" w:type="dxa"/>
                  <w:shd w:val="clear" w:color="auto" w:fill="BBDCFF" w:themeFill="accent5" w:themeFillTint="33"/>
                </w:tcPr>
                <w:p w14:paraId="07B58C90" w14:textId="599DE7D6" w:rsidR="003C4F1B" w:rsidRPr="00BB49C8" w:rsidRDefault="00E008F5" w:rsidP="003C4F1B">
                  <w:pPr>
                    <w:spacing w:after="0"/>
                    <w:rPr>
                      <w:i/>
                      <w:iCs/>
                      <w:sz w:val="18"/>
                      <w:szCs w:val="18"/>
                    </w:rPr>
                  </w:pPr>
                  <w:r w:rsidRPr="00E008F5">
                    <w:rPr>
                      <w:i/>
                      <w:iCs/>
                      <w:sz w:val="18"/>
                      <w:szCs w:val="18"/>
                    </w:rPr>
                    <w:t>Percentage of PLHIV on ART who initiated TB preventive therapy among those eligible during the reporting period</w:t>
                  </w:r>
                  <w:r w:rsidR="00146F18">
                    <w:rPr>
                      <w:i/>
                      <w:iCs/>
                      <w:sz w:val="18"/>
                      <w:szCs w:val="18"/>
                    </w:rPr>
                    <w:t>.</w:t>
                  </w:r>
                </w:p>
              </w:tc>
              <w:tc>
                <w:tcPr>
                  <w:tcW w:w="1559" w:type="dxa"/>
                  <w:shd w:val="clear" w:color="auto" w:fill="BBDCFF" w:themeFill="accent5" w:themeFillTint="33"/>
                </w:tcPr>
                <w:p w14:paraId="1AF1C006" w14:textId="77777777" w:rsidR="00E008F5" w:rsidRPr="00E008F5" w:rsidRDefault="00E008F5" w:rsidP="00E008F5">
                  <w:pPr>
                    <w:spacing w:after="0"/>
                    <w:jc w:val="center"/>
                    <w:rPr>
                      <w:sz w:val="18"/>
                      <w:szCs w:val="18"/>
                      <w:lang w:val="en-PH"/>
                    </w:rPr>
                  </w:pPr>
                  <w:r w:rsidRPr="00E008F5">
                    <w:rPr>
                      <w:sz w:val="18"/>
                      <w:szCs w:val="18"/>
                    </w:rPr>
                    <w:t>75%</w:t>
                  </w:r>
                </w:p>
                <w:p w14:paraId="15FBDA79" w14:textId="476059A8" w:rsidR="003C4F1B" w:rsidRPr="004070A9" w:rsidRDefault="00E008F5" w:rsidP="00E008F5">
                  <w:pPr>
                    <w:spacing w:after="0"/>
                    <w:jc w:val="center"/>
                    <w:rPr>
                      <w:sz w:val="18"/>
                      <w:szCs w:val="18"/>
                    </w:rPr>
                  </w:pPr>
                  <w:r w:rsidRPr="00E008F5">
                    <w:rPr>
                      <w:sz w:val="18"/>
                      <w:szCs w:val="18"/>
                    </w:rPr>
                    <w:t>5,573/7,430</w:t>
                  </w:r>
                </w:p>
              </w:tc>
              <w:tc>
                <w:tcPr>
                  <w:tcW w:w="1701" w:type="dxa"/>
                  <w:shd w:val="clear" w:color="auto" w:fill="BBDCFF" w:themeFill="accent5" w:themeFillTint="33"/>
                </w:tcPr>
                <w:p w14:paraId="1E7B9E53" w14:textId="77777777" w:rsidR="00E008F5" w:rsidRPr="00E008F5" w:rsidRDefault="00E008F5" w:rsidP="00E008F5">
                  <w:pPr>
                    <w:spacing w:after="0"/>
                    <w:jc w:val="center"/>
                    <w:rPr>
                      <w:sz w:val="18"/>
                      <w:szCs w:val="18"/>
                      <w:lang w:val="en-PH"/>
                    </w:rPr>
                  </w:pPr>
                  <w:r w:rsidRPr="00E008F5">
                    <w:rPr>
                      <w:sz w:val="18"/>
                      <w:szCs w:val="18"/>
                    </w:rPr>
                    <w:t>80%</w:t>
                  </w:r>
                </w:p>
                <w:p w14:paraId="0775A1E9" w14:textId="77777777" w:rsidR="00E008F5" w:rsidRPr="00E008F5" w:rsidRDefault="00E008F5" w:rsidP="00E008F5">
                  <w:pPr>
                    <w:spacing w:after="0"/>
                    <w:jc w:val="center"/>
                    <w:rPr>
                      <w:sz w:val="18"/>
                      <w:szCs w:val="18"/>
                      <w:lang w:val="en-PH"/>
                    </w:rPr>
                  </w:pPr>
                  <w:r w:rsidRPr="00E008F5">
                    <w:rPr>
                      <w:sz w:val="18"/>
                      <w:szCs w:val="18"/>
                    </w:rPr>
                    <w:t>8,920/11,150</w:t>
                  </w:r>
                </w:p>
                <w:p w14:paraId="6359AB14" w14:textId="6319B1C8" w:rsidR="003C4F1B" w:rsidRPr="004070A9" w:rsidRDefault="003C4F1B" w:rsidP="003C4F1B">
                  <w:pPr>
                    <w:spacing w:after="0"/>
                    <w:jc w:val="center"/>
                    <w:rPr>
                      <w:sz w:val="18"/>
                      <w:szCs w:val="18"/>
                    </w:rPr>
                  </w:pPr>
                </w:p>
              </w:tc>
              <w:tc>
                <w:tcPr>
                  <w:tcW w:w="1609" w:type="dxa"/>
                  <w:shd w:val="clear" w:color="auto" w:fill="BBDCFF" w:themeFill="accent5" w:themeFillTint="33"/>
                </w:tcPr>
                <w:p w14:paraId="21E47F93" w14:textId="77777777" w:rsidR="00E008F5" w:rsidRPr="00E008F5" w:rsidRDefault="00E008F5" w:rsidP="00E008F5">
                  <w:pPr>
                    <w:spacing w:after="0"/>
                    <w:jc w:val="center"/>
                    <w:rPr>
                      <w:sz w:val="18"/>
                      <w:szCs w:val="18"/>
                      <w:lang w:val="en-PH"/>
                    </w:rPr>
                  </w:pPr>
                  <w:r w:rsidRPr="00E008F5">
                    <w:rPr>
                      <w:sz w:val="18"/>
                      <w:szCs w:val="18"/>
                    </w:rPr>
                    <w:t>85%</w:t>
                  </w:r>
                </w:p>
                <w:p w14:paraId="163E57FF" w14:textId="55FEE66B" w:rsidR="003C4F1B" w:rsidRPr="004070A9" w:rsidRDefault="00E008F5" w:rsidP="00E008F5">
                  <w:pPr>
                    <w:spacing w:after="0"/>
                    <w:jc w:val="center"/>
                    <w:rPr>
                      <w:sz w:val="18"/>
                      <w:szCs w:val="18"/>
                    </w:rPr>
                  </w:pPr>
                  <w:r w:rsidRPr="00E008F5">
                    <w:rPr>
                      <w:sz w:val="18"/>
                      <w:szCs w:val="18"/>
                    </w:rPr>
                    <w:t>11,140/13,106</w:t>
                  </w:r>
                </w:p>
              </w:tc>
            </w:tr>
          </w:tbl>
          <w:p w14:paraId="03044C46" w14:textId="57230088" w:rsidR="003C4F1B" w:rsidRDefault="003C4F1B" w:rsidP="00E07C20">
            <w:pPr>
              <w:pStyle w:val="ListParagraph"/>
              <w:numPr>
                <w:ilvl w:val="0"/>
                <w:numId w:val="48"/>
              </w:numPr>
              <w:spacing w:after="0"/>
            </w:pPr>
            <w:r>
              <w:t>10</w:t>
            </w:r>
            <w:r w:rsidR="00146F18">
              <w:t xml:space="preserve">0% of all TB facilities and </w:t>
            </w:r>
            <w:r>
              <w:t>HIV hubs w</w:t>
            </w:r>
            <w:r w:rsidR="009E7C62">
              <w:t xml:space="preserve">ill have </w:t>
            </w:r>
            <w:r>
              <w:t>capacit</w:t>
            </w:r>
            <w:r w:rsidR="009E7C62">
              <w:t>y</w:t>
            </w:r>
            <w:r>
              <w:t xml:space="preserve"> to provide TB-HIV co</w:t>
            </w:r>
            <w:r w:rsidR="00146F18">
              <w:t xml:space="preserve">llaborative </w:t>
            </w:r>
            <w:r>
              <w:t xml:space="preserve">services. </w:t>
            </w:r>
          </w:p>
          <w:p w14:paraId="44739127" w14:textId="77777777" w:rsidR="003C4F1B" w:rsidRDefault="003C4F1B" w:rsidP="00E07C20">
            <w:pPr>
              <w:pStyle w:val="ListParagraph"/>
              <w:numPr>
                <w:ilvl w:val="0"/>
                <w:numId w:val="48"/>
              </w:numPr>
              <w:spacing w:after="0"/>
            </w:pPr>
            <w:r>
              <w:t>100% of all Xpert sites to cater to HIV viral load testing</w:t>
            </w:r>
          </w:p>
          <w:p w14:paraId="35DC8AE3" w14:textId="43CDAD06" w:rsidR="005C5CCF" w:rsidRPr="003C4F1B" w:rsidRDefault="005C5CCF" w:rsidP="005C5CCF">
            <w:pPr>
              <w:pStyle w:val="ListParagraph"/>
              <w:spacing w:after="0"/>
              <w:ind w:left="360"/>
            </w:pPr>
          </w:p>
        </w:tc>
      </w:tr>
      <w:tr w:rsidR="00E97A2E" w:rsidRPr="007F7A64" w14:paraId="40E32C4C" w14:textId="77777777" w:rsidTr="006E7C05">
        <w:trPr>
          <w:trHeight w:val="288"/>
        </w:trPr>
        <w:tc>
          <w:tcPr>
            <w:tcW w:w="2520" w:type="dxa"/>
            <w:shd w:val="clear" w:color="auto" w:fill="F2F2F2"/>
            <w:vAlign w:val="center"/>
          </w:tcPr>
          <w:p w14:paraId="012EECBF" w14:textId="77777777" w:rsidR="00E97A2E" w:rsidRPr="00C44844" w:rsidRDefault="00E97A2E" w:rsidP="009B6C0D">
            <w:pPr>
              <w:spacing w:after="0"/>
              <w:rPr>
                <w:b/>
              </w:rPr>
            </w:pPr>
            <w:r w:rsidRPr="007F7A64">
              <w:rPr>
                <w:b/>
              </w:rPr>
              <w:t>Expected Investment</w:t>
            </w:r>
          </w:p>
        </w:tc>
        <w:tc>
          <w:tcPr>
            <w:tcW w:w="8280" w:type="dxa"/>
          </w:tcPr>
          <w:p w14:paraId="40CA4434" w14:textId="77777777" w:rsidR="00FB015B" w:rsidRDefault="00FE4242" w:rsidP="009B6C0D">
            <w:pPr>
              <w:spacing w:after="0"/>
              <w:rPr>
                <w:b/>
                <w:bCs/>
                <w:sz w:val="24"/>
                <w:szCs w:val="24"/>
              </w:rPr>
            </w:pPr>
            <w:r w:rsidRPr="00FE4242">
              <w:rPr>
                <w:b/>
                <w:bCs/>
                <w:sz w:val="24"/>
                <w:szCs w:val="24"/>
              </w:rPr>
              <w:t>USD 4,527,759</w:t>
            </w:r>
          </w:p>
          <w:p w14:paraId="003D0B32" w14:textId="7CCC32EA" w:rsidR="00FE4242" w:rsidRPr="007F7A64" w:rsidRDefault="00FE4242" w:rsidP="009B6C0D">
            <w:pPr>
              <w:spacing w:after="0"/>
            </w:pPr>
          </w:p>
        </w:tc>
      </w:tr>
    </w:tbl>
    <w:p w14:paraId="24CF373D" w14:textId="7846A6D1" w:rsidR="00FB015B" w:rsidRDefault="00FB015B" w:rsidP="009B6C0D">
      <w:pPr>
        <w:spacing w:after="0"/>
        <w:rPr>
          <w:i/>
          <w:sz w:val="16"/>
          <w:szCs w:val="16"/>
        </w:rPr>
      </w:pPr>
    </w:p>
    <w:p w14:paraId="497A97F6" w14:textId="77777777" w:rsidR="00FB015B" w:rsidRDefault="00FB015B">
      <w:pPr>
        <w:spacing w:after="160" w:line="0" w:lineRule="auto"/>
        <w:rPr>
          <w:i/>
          <w:sz w:val="16"/>
          <w:szCs w:val="16"/>
        </w:rPr>
      </w:pPr>
      <w:r>
        <w:rPr>
          <w:i/>
          <w:sz w:val="16"/>
          <w:szCs w:val="16"/>
        </w:rPr>
        <w:br w:type="page"/>
      </w:r>
    </w:p>
    <w:tbl>
      <w:tblPr>
        <w:tblStyle w:val="TableGrid30"/>
        <w:tblW w:w="10800" w:type="dxa"/>
        <w:tblInd w:w="-5" w:type="dxa"/>
        <w:tblLook w:val="04A0" w:firstRow="1" w:lastRow="0" w:firstColumn="1" w:lastColumn="0" w:noHBand="0" w:noVBand="1"/>
      </w:tblPr>
      <w:tblGrid>
        <w:gridCol w:w="2520"/>
        <w:gridCol w:w="8280"/>
      </w:tblGrid>
      <w:tr w:rsidR="0056189C" w:rsidRPr="007F7A64" w14:paraId="31469A35" w14:textId="77777777" w:rsidTr="00D0186A">
        <w:trPr>
          <w:trHeight w:val="288"/>
        </w:trPr>
        <w:tc>
          <w:tcPr>
            <w:tcW w:w="2520" w:type="dxa"/>
            <w:shd w:val="clear" w:color="auto" w:fill="F2F2F2"/>
            <w:vAlign w:val="center"/>
          </w:tcPr>
          <w:p w14:paraId="4570D748" w14:textId="7B61D3E4" w:rsidR="0056189C" w:rsidRPr="00E41EDC" w:rsidRDefault="0056189C" w:rsidP="00D0186A">
            <w:pPr>
              <w:spacing w:after="0"/>
              <w:rPr>
                <w:b/>
              </w:rPr>
            </w:pPr>
            <w:r>
              <w:rPr>
                <w:b/>
              </w:rPr>
              <w:lastRenderedPageBreak/>
              <w:t>Module #</w:t>
            </w:r>
            <w:r w:rsidR="005C5CCF">
              <w:rPr>
                <w:b/>
              </w:rPr>
              <w:t>4</w:t>
            </w:r>
          </w:p>
        </w:tc>
        <w:tc>
          <w:tcPr>
            <w:tcW w:w="8280" w:type="dxa"/>
          </w:tcPr>
          <w:p w14:paraId="14FFB81B" w14:textId="4ECFFC50" w:rsidR="0056189C" w:rsidRPr="00E41EDC" w:rsidRDefault="0056189C" w:rsidP="00D0186A">
            <w:pPr>
              <w:spacing w:after="0"/>
            </w:pPr>
            <w:r>
              <w:t>R</w:t>
            </w:r>
            <w:r w:rsidR="00097473">
              <w:t xml:space="preserve">esilient and </w:t>
            </w:r>
            <w:r>
              <w:t>S</w:t>
            </w:r>
            <w:r w:rsidR="00097473">
              <w:t xml:space="preserve">ustainable </w:t>
            </w:r>
            <w:r>
              <w:t>S</w:t>
            </w:r>
            <w:r w:rsidR="00097473">
              <w:t xml:space="preserve">ystems for </w:t>
            </w:r>
            <w:r>
              <w:t>H</w:t>
            </w:r>
            <w:r w:rsidR="00097473">
              <w:t>ealth</w:t>
            </w:r>
          </w:p>
        </w:tc>
      </w:tr>
      <w:tr w:rsidR="0056189C" w:rsidRPr="007F7A64" w14:paraId="108A6FF0" w14:textId="77777777" w:rsidTr="00D0186A">
        <w:trPr>
          <w:trHeight w:val="288"/>
        </w:trPr>
        <w:tc>
          <w:tcPr>
            <w:tcW w:w="2520" w:type="dxa"/>
            <w:shd w:val="clear" w:color="auto" w:fill="F2F2F2"/>
            <w:vAlign w:val="center"/>
          </w:tcPr>
          <w:p w14:paraId="7C96B825" w14:textId="77777777" w:rsidR="0056189C" w:rsidRPr="007F7A64" w:rsidRDefault="0056189C" w:rsidP="00D0186A">
            <w:pPr>
              <w:spacing w:after="0"/>
              <w:rPr>
                <w:b/>
              </w:rPr>
            </w:pPr>
            <w:r w:rsidRPr="007F7A64">
              <w:rPr>
                <w:b/>
              </w:rPr>
              <w:t>Intervention(s)</w:t>
            </w:r>
            <w:r>
              <w:rPr>
                <w:b/>
              </w:rPr>
              <w:t xml:space="preserve"> &amp; Key Activities</w:t>
            </w:r>
          </w:p>
        </w:tc>
        <w:tc>
          <w:tcPr>
            <w:tcW w:w="8280" w:type="dxa"/>
          </w:tcPr>
          <w:p w14:paraId="793F4090" w14:textId="218806EF" w:rsidR="005C5CCF" w:rsidRPr="005C5CCF" w:rsidRDefault="005C5CCF" w:rsidP="005C5CCF">
            <w:pPr>
              <w:spacing w:after="0"/>
              <w:rPr>
                <w:b/>
                <w:bCs/>
              </w:rPr>
            </w:pPr>
            <w:r w:rsidRPr="005C5CCF">
              <w:rPr>
                <w:b/>
                <w:bCs/>
              </w:rPr>
              <w:t xml:space="preserve">Health </w:t>
            </w:r>
            <w:r>
              <w:rPr>
                <w:b/>
                <w:bCs/>
              </w:rPr>
              <w:t>P</w:t>
            </w:r>
            <w:r w:rsidRPr="005C5CCF">
              <w:rPr>
                <w:b/>
                <w:bCs/>
              </w:rPr>
              <w:t xml:space="preserve">roducts </w:t>
            </w:r>
            <w:r>
              <w:rPr>
                <w:b/>
                <w:bCs/>
              </w:rPr>
              <w:t>M</w:t>
            </w:r>
            <w:r w:rsidRPr="005C5CCF">
              <w:rPr>
                <w:b/>
                <w:bCs/>
              </w:rPr>
              <w:t xml:space="preserve">anagement and </w:t>
            </w:r>
            <w:r>
              <w:rPr>
                <w:b/>
                <w:bCs/>
              </w:rPr>
              <w:t>S</w:t>
            </w:r>
            <w:r w:rsidRPr="005C5CCF">
              <w:rPr>
                <w:b/>
                <w:bCs/>
              </w:rPr>
              <w:t xml:space="preserve">ystems </w:t>
            </w:r>
            <w:r>
              <w:rPr>
                <w:b/>
                <w:bCs/>
              </w:rPr>
              <w:t>S</w:t>
            </w:r>
            <w:r w:rsidRPr="005C5CCF">
              <w:rPr>
                <w:b/>
                <w:bCs/>
              </w:rPr>
              <w:t>trengthening</w:t>
            </w:r>
            <w:r w:rsidR="002A6BB0">
              <w:rPr>
                <w:b/>
                <w:bCs/>
              </w:rPr>
              <w:t xml:space="preserve"> (HPMSS)</w:t>
            </w:r>
          </w:p>
          <w:p w14:paraId="3608D6B6" w14:textId="7FFD90E3" w:rsidR="005C5CCF" w:rsidRPr="00A6316D" w:rsidRDefault="00320211" w:rsidP="00A6316D">
            <w:pPr>
              <w:pStyle w:val="ListParagraph"/>
              <w:numPr>
                <w:ilvl w:val="0"/>
                <w:numId w:val="49"/>
              </w:numPr>
              <w:spacing w:after="0"/>
            </w:pPr>
            <w:r>
              <w:t>Improve regulatory and quality assurance by s</w:t>
            </w:r>
            <w:r w:rsidR="00A6316D">
              <w:t>upport</w:t>
            </w:r>
            <w:r>
              <w:t>ing</w:t>
            </w:r>
            <w:r w:rsidR="00A6316D">
              <w:t xml:space="preserve"> the b</w:t>
            </w:r>
            <w:r w:rsidR="00A6316D" w:rsidRPr="00120883">
              <w:t>uild</w:t>
            </w:r>
            <w:r w:rsidR="00A6316D">
              <w:t xml:space="preserve">ing of </w:t>
            </w:r>
            <w:r w:rsidR="00A6316D" w:rsidRPr="00120883">
              <w:t xml:space="preserve">an enterprise solution/enterprise resource planning (ERP) for the Food and Drug Administration (FDA), to include the automation of business processes leading to the registration of health products including second-line drugs for TB, new preparations for HIV (e.g., DTG) and malaria (e.g., artesunate-pyronaridine) with provisions for improved reporting and monitoring of adverse events and drug resistance, where appropriate. </w:t>
            </w:r>
          </w:p>
          <w:p w14:paraId="3C37927B" w14:textId="532BB1E2" w:rsidR="00735505" w:rsidRDefault="00735505" w:rsidP="00E07C20">
            <w:pPr>
              <w:pStyle w:val="ListParagraph"/>
              <w:numPr>
                <w:ilvl w:val="0"/>
                <w:numId w:val="49"/>
              </w:numPr>
              <w:spacing w:after="0"/>
            </w:pPr>
            <w:r>
              <w:t>Provision of two (2) High Performance Liquid Chromatography (HPLC) machines to hasten quality testing of government procured drugs</w:t>
            </w:r>
            <w:r w:rsidR="00E670D8">
              <w:t xml:space="preserve"> as prioritized/requested by FDA to improve their turnaround time.  </w:t>
            </w:r>
          </w:p>
          <w:p w14:paraId="67392665" w14:textId="1FEDC5CC" w:rsidR="00735505" w:rsidRDefault="009E7C62" w:rsidP="00E07C20">
            <w:pPr>
              <w:pStyle w:val="ListParagraph"/>
              <w:numPr>
                <w:ilvl w:val="0"/>
                <w:numId w:val="49"/>
              </w:numPr>
              <w:spacing w:after="0"/>
            </w:pPr>
            <w:r>
              <w:t>Temporary d</w:t>
            </w:r>
            <w:r w:rsidR="00735505">
              <w:t>eployment of PSCM Officers in the 17 DOH Regional Offices to support PSCM activities and initiate testing and adoption of PSCM-related policies and protocols downloaded from DOH.</w:t>
            </w:r>
            <w:r>
              <w:t xml:space="preserve"> This is included in the FR while DOH is developing its HR masterplan. </w:t>
            </w:r>
          </w:p>
          <w:p w14:paraId="2B401EA4" w14:textId="28A77791" w:rsidR="00AC4477" w:rsidRDefault="005A3055" w:rsidP="00AC4477">
            <w:pPr>
              <w:pStyle w:val="ListParagraph"/>
              <w:numPr>
                <w:ilvl w:val="0"/>
                <w:numId w:val="49"/>
              </w:numPr>
              <w:spacing w:after="0"/>
            </w:pPr>
            <w:r w:rsidRPr="005A3055">
              <w:t>D</w:t>
            </w:r>
            <w:r w:rsidR="00AC4477" w:rsidRPr="00120883">
              <w:t>evelop and help implement guidance on the use of pooled procurement agreements/instruments, infrastructure and services at regional level</w:t>
            </w:r>
            <w:r w:rsidR="00AC4477">
              <w:t>, b</w:t>
            </w:r>
            <w:r w:rsidR="00AC4477" w:rsidRPr="00120883">
              <w:t xml:space="preserve">uild the capacity of the </w:t>
            </w:r>
            <w:r w:rsidR="00AC4477">
              <w:t xml:space="preserve">selected </w:t>
            </w:r>
            <w:r w:rsidR="00AC4477" w:rsidRPr="00120883">
              <w:t>provinces for pooled procurement, including the use of metrics to monitor procurement efficiency and supplier's performance.</w:t>
            </w:r>
          </w:p>
          <w:p w14:paraId="5DF2DB2C" w14:textId="74D84A4E" w:rsidR="00AC4477" w:rsidRDefault="005A3055" w:rsidP="00AC4477">
            <w:pPr>
              <w:pStyle w:val="ListParagraph"/>
              <w:numPr>
                <w:ilvl w:val="0"/>
                <w:numId w:val="49"/>
              </w:numPr>
              <w:spacing w:after="0"/>
            </w:pPr>
            <w:r>
              <w:t>S</w:t>
            </w:r>
            <w:r w:rsidR="00AC4477" w:rsidRPr="00AC4477">
              <w:t>upport building local government staff capacity in electronic inventory</w:t>
            </w:r>
            <w:r w:rsidR="00AC4477" w:rsidRPr="00120883">
              <w:t xml:space="preserve"> management and distribution medicines and related health products at LGU level</w:t>
            </w:r>
            <w:r w:rsidR="00AC4477">
              <w:t xml:space="preserve"> and d</w:t>
            </w:r>
            <w:r w:rsidR="00AC4477" w:rsidRPr="00120883">
              <w:t>evelop performance monitoring mechanisms and indicators, as well as electronic dashboards and stock security monitoring reports; build subnational contracts management capacity in these province/city-wide health systems.  </w:t>
            </w:r>
          </w:p>
          <w:p w14:paraId="7E25EE25" w14:textId="5C562E8F" w:rsidR="00097473" w:rsidRPr="00A6316D" w:rsidRDefault="00AF3E13" w:rsidP="00097473">
            <w:pPr>
              <w:pStyle w:val="ListParagraph"/>
              <w:numPr>
                <w:ilvl w:val="0"/>
                <w:numId w:val="49"/>
              </w:numPr>
              <w:spacing w:after="0"/>
            </w:pPr>
            <w:r>
              <w:t xml:space="preserve">Support the operationalization of the electronic Logistics Management Information System (eLMIS) of the DOH at the national and local levels. </w:t>
            </w:r>
          </w:p>
          <w:p w14:paraId="119E3A0E" w14:textId="77777777" w:rsidR="00097473" w:rsidRPr="00097473" w:rsidRDefault="00097473" w:rsidP="00097473">
            <w:pPr>
              <w:spacing w:after="0"/>
              <w:ind w:left="360"/>
            </w:pPr>
          </w:p>
          <w:p w14:paraId="18B65C12" w14:textId="156C07F8" w:rsidR="00442F9B" w:rsidRPr="00442F9B" w:rsidRDefault="00AB08B6" w:rsidP="00AB08B6">
            <w:pPr>
              <w:pStyle w:val="ListParagraph"/>
              <w:spacing w:after="0"/>
            </w:pPr>
            <w:r>
              <w:t xml:space="preserve"> </w:t>
            </w:r>
          </w:p>
          <w:p w14:paraId="1D138D39" w14:textId="2D817DF9" w:rsidR="00735505" w:rsidRDefault="00320211" w:rsidP="005C5CCF">
            <w:pPr>
              <w:spacing w:after="0"/>
              <w:rPr>
                <w:b/>
                <w:bCs/>
              </w:rPr>
            </w:pPr>
            <w:r>
              <w:rPr>
                <w:b/>
                <w:bCs/>
              </w:rPr>
              <w:t>Health Sector Governance &amp; Planning</w:t>
            </w:r>
            <w:r w:rsidR="00D6565D">
              <w:rPr>
                <w:b/>
                <w:bCs/>
              </w:rPr>
              <w:t xml:space="preserve"> (HSGP)</w:t>
            </w:r>
          </w:p>
          <w:p w14:paraId="3F26A519" w14:textId="12D2C9A0" w:rsidR="002F1FE6" w:rsidRPr="002F1FE6" w:rsidRDefault="002F1FE6" w:rsidP="00AC4477">
            <w:pPr>
              <w:pStyle w:val="ListParagraph"/>
              <w:numPr>
                <w:ilvl w:val="0"/>
                <w:numId w:val="49"/>
              </w:numPr>
              <w:spacing w:after="0"/>
            </w:pPr>
            <w:r>
              <w:rPr>
                <w:rFonts w:ascii="Arial" w:hAnsi="Arial" w:cs="Arial"/>
                <w:color w:val="222222"/>
                <w:shd w:val="clear" w:color="auto" w:fill="FFFFFF"/>
              </w:rPr>
              <w:t xml:space="preserve">Support review and integration of the PhilHealth TB, HIV/AIDS and malaria benefit packages in the context of a comprehensive primary care benefit package, to improve efficiencies and to integrate mental health interventions to promote adherence to treatment and minimize losses to follow-up (LTFU). </w:t>
            </w:r>
          </w:p>
          <w:p w14:paraId="208F07DC" w14:textId="6BD8033F" w:rsidR="00442F9B" w:rsidRDefault="002F1FE6" w:rsidP="002F1FE6">
            <w:pPr>
              <w:pStyle w:val="ListParagraph"/>
              <w:numPr>
                <w:ilvl w:val="0"/>
                <w:numId w:val="49"/>
              </w:numPr>
              <w:spacing w:after="0"/>
            </w:pPr>
            <w:r>
              <w:rPr>
                <w:rFonts w:ascii="Arial" w:hAnsi="Arial" w:cs="Arial"/>
                <w:color w:val="222222"/>
                <w:shd w:val="clear" w:color="auto" w:fill="FFFFFF"/>
              </w:rPr>
              <w:t xml:space="preserve">Support establishment of mechanisms to maximize complementation between health maintenance organization (HMO) services and the PhilHealth comprehensive primary care benefit package. </w:t>
            </w:r>
          </w:p>
          <w:p w14:paraId="350CA770" w14:textId="32516A11" w:rsidR="00AF3E13" w:rsidRPr="00AF3E13" w:rsidRDefault="00AF3E13" w:rsidP="00AF3E13">
            <w:pPr>
              <w:pStyle w:val="ListParagraph"/>
              <w:numPr>
                <w:ilvl w:val="0"/>
                <w:numId w:val="49"/>
              </w:numPr>
              <w:spacing w:after="0"/>
              <w:rPr>
                <w:b/>
                <w:bCs/>
              </w:rPr>
            </w:pPr>
            <w:r>
              <w:t xml:space="preserve">Build capacity of local government units in domestic resource mobilization, pooled procurement, </w:t>
            </w:r>
            <w:r w:rsidR="005A3055" w:rsidRPr="00120883">
              <w:t>strategic contracting of health care providers and patient navigators as part of the health care provider network (HCPN)</w:t>
            </w:r>
            <w:r>
              <w:t xml:space="preserve">. </w:t>
            </w:r>
          </w:p>
          <w:p w14:paraId="7D203B03" w14:textId="080D5DFE" w:rsidR="00AF3E13" w:rsidRPr="00AF3E13" w:rsidRDefault="00AF3E13" w:rsidP="00AF3E13">
            <w:pPr>
              <w:pStyle w:val="ListParagraph"/>
              <w:numPr>
                <w:ilvl w:val="0"/>
                <w:numId w:val="49"/>
              </w:numPr>
              <w:spacing w:after="0"/>
              <w:rPr>
                <w:b/>
                <w:bCs/>
              </w:rPr>
            </w:pPr>
            <w:r>
              <w:t xml:space="preserve">Capacitate LGUs in </w:t>
            </w:r>
            <w:r w:rsidRPr="00AF3E13">
              <w:t>better operational planning and budgeting, and technical support to develop operational plans and annual budgets.</w:t>
            </w:r>
          </w:p>
          <w:p w14:paraId="71E345D0" w14:textId="78F37204" w:rsidR="005A3055" w:rsidRPr="005A3055" w:rsidRDefault="005A3055" w:rsidP="005C7854">
            <w:pPr>
              <w:pStyle w:val="ListParagraph"/>
              <w:numPr>
                <w:ilvl w:val="0"/>
                <w:numId w:val="49"/>
              </w:numPr>
              <w:spacing w:after="0"/>
              <w:rPr>
                <w:b/>
                <w:bCs/>
              </w:rPr>
            </w:pPr>
            <w:r w:rsidRPr="005A3055">
              <w:t>S</w:t>
            </w:r>
            <w:r>
              <w:t xml:space="preserve">upport </w:t>
            </w:r>
            <w:r w:rsidRPr="00120883">
              <w:t xml:space="preserve">multisectoral </w:t>
            </w:r>
            <w:r w:rsidR="00AF3E13">
              <w:t xml:space="preserve">engagement in the preparation and approval of local health investments plans. </w:t>
            </w:r>
          </w:p>
          <w:p w14:paraId="5729CDB2" w14:textId="78C27C07" w:rsidR="00AF3E13" w:rsidRPr="00AF3E13" w:rsidRDefault="005A3055" w:rsidP="005C7854">
            <w:pPr>
              <w:pStyle w:val="ListParagraph"/>
              <w:numPr>
                <w:ilvl w:val="0"/>
                <w:numId w:val="49"/>
              </w:numPr>
              <w:spacing w:after="0"/>
              <w:rPr>
                <w:b/>
                <w:bCs/>
              </w:rPr>
            </w:pPr>
            <w:r>
              <w:t>S</w:t>
            </w:r>
            <w:r w:rsidRPr="00120883">
              <w:t xml:space="preserve">trengthen local health system </w:t>
            </w:r>
            <w:r w:rsidR="00AF3E13">
              <w:t xml:space="preserve">capacity in </w:t>
            </w:r>
            <w:r w:rsidRPr="00120883">
              <w:t>financial management</w:t>
            </w:r>
            <w:r w:rsidR="00AF3E13">
              <w:t xml:space="preserve"> (</w:t>
            </w:r>
            <w:r w:rsidRPr="00120883">
              <w:t>systems for budgeting, accounting, reporting and assurance</w:t>
            </w:r>
            <w:r w:rsidR="00AF3E13">
              <w:t>)</w:t>
            </w:r>
            <w:r w:rsidRPr="00120883">
              <w:t>.</w:t>
            </w:r>
          </w:p>
          <w:p w14:paraId="5D847010" w14:textId="49463411" w:rsidR="005A3055" w:rsidRPr="005A3055" w:rsidRDefault="00AF3E13" w:rsidP="005C7854">
            <w:pPr>
              <w:pStyle w:val="ListParagraph"/>
              <w:numPr>
                <w:ilvl w:val="0"/>
                <w:numId w:val="49"/>
              </w:numPr>
              <w:spacing w:after="0"/>
              <w:rPr>
                <w:b/>
                <w:bCs/>
              </w:rPr>
            </w:pPr>
            <w:r>
              <w:t xml:space="preserve">Capacitate LGUs in </w:t>
            </w:r>
            <w:r w:rsidR="00150362">
              <w:t xml:space="preserve">recording, reporting, analyzing and using </w:t>
            </w:r>
            <w:r w:rsidR="005A3055" w:rsidRPr="00120883">
              <w:t xml:space="preserve">financing </w:t>
            </w:r>
            <w:r w:rsidR="00150362">
              <w:t>data in decision making for better health outcomes.</w:t>
            </w:r>
            <w:r>
              <w:t xml:space="preserve"> </w:t>
            </w:r>
            <w:r w:rsidR="005A3055">
              <w:t xml:space="preserve"> </w:t>
            </w:r>
          </w:p>
          <w:p w14:paraId="06E26F41" w14:textId="284E7ECD" w:rsidR="005A3055" w:rsidRPr="005A3055" w:rsidRDefault="005A3055" w:rsidP="00FF0907">
            <w:pPr>
              <w:spacing w:after="0"/>
              <w:rPr>
                <w:b/>
                <w:bCs/>
              </w:rPr>
            </w:pPr>
          </w:p>
          <w:p w14:paraId="35FA945A" w14:textId="6E43A33A" w:rsidR="00442F9B" w:rsidRDefault="00442F9B" w:rsidP="005C5CCF">
            <w:pPr>
              <w:spacing w:after="0"/>
              <w:rPr>
                <w:b/>
                <w:bCs/>
              </w:rPr>
            </w:pPr>
            <w:r>
              <w:rPr>
                <w:b/>
                <w:bCs/>
              </w:rPr>
              <w:t>Health Management Information Systems and M&amp;E</w:t>
            </w:r>
            <w:r w:rsidR="00D6565D">
              <w:rPr>
                <w:b/>
                <w:bCs/>
              </w:rPr>
              <w:t xml:space="preserve"> (HMIS&amp;ME)</w:t>
            </w:r>
          </w:p>
          <w:p w14:paraId="744157A8" w14:textId="77777777" w:rsidR="00150362" w:rsidRDefault="005A3055" w:rsidP="005C7854">
            <w:pPr>
              <w:pStyle w:val="ListParagraph"/>
              <w:numPr>
                <w:ilvl w:val="0"/>
                <w:numId w:val="49"/>
              </w:numPr>
              <w:spacing w:after="0"/>
            </w:pPr>
            <w:r>
              <w:t>S</w:t>
            </w:r>
            <w:r w:rsidRPr="00E07A05">
              <w:t>upport PhilHealth and the DOH Knowledge Management Information and Technology Systems (KMITS) in the review, updating, design and testing of the National Health Information System (NHIS)</w:t>
            </w:r>
            <w:r w:rsidR="00150362">
              <w:t xml:space="preserve">. </w:t>
            </w:r>
          </w:p>
          <w:p w14:paraId="0B8D42BE" w14:textId="63D45224" w:rsidR="005A3055" w:rsidRDefault="00150362" w:rsidP="005C7854">
            <w:pPr>
              <w:pStyle w:val="ListParagraph"/>
              <w:numPr>
                <w:ilvl w:val="0"/>
                <w:numId w:val="49"/>
              </w:numPr>
              <w:spacing w:after="0"/>
            </w:pPr>
            <w:r>
              <w:lastRenderedPageBreak/>
              <w:t xml:space="preserve">Ensure integration of the </w:t>
            </w:r>
            <w:r w:rsidR="005A3055" w:rsidRPr="00E07A05">
              <w:t xml:space="preserve">TB ITIS, HIV/AIDS eHARP and malaria OLMIS </w:t>
            </w:r>
            <w:r>
              <w:t xml:space="preserve">in the NHIS. </w:t>
            </w:r>
          </w:p>
          <w:p w14:paraId="2F247776" w14:textId="77777777" w:rsidR="00150362" w:rsidRDefault="005A3055" w:rsidP="005A3055">
            <w:pPr>
              <w:pStyle w:val="ListParagraph"/>
              <w:numPr>
                <w:ilvl w:val="0"/>
                <w:numId w:val="49"/>
              </w:numPr>
              <w:spacing w:after="0"/>
            </w:pPr>
            <w:r w:rsidRPr="005A3055">
              <w:t>B</w:t>
            </w:r>
            <w:r w:rsidRPr="004E6563">
              <w:t>uild capacit</w:t>
            </w:r>
            <w:r w:rsidR="00150362">
              <w:t xml:space="preserve">y in using the NHIS and other information systems </w:t>
            </w:r>
            <w:r w:rsidRPr="004E6563">
              <w:t xml:space="preserve">for </w:t>
            </w:r>
            <w:r w:rsidR="00150362">
              <w:t xml:space="preserve">program </w:t>
            </w:r>
            <w:r w:rsidRPr="004E6563">
              <w:t>performance management</w:t>
            </w:r>
            <w:r w:rsidR="00150362">
              <w:t xml:space="preserve"> at the national level up the primary care facility level. </w:t>
            </w:r>
          </w:p>
          <w:p w14:paraId="49B04D2B" w14:textId="43D68B2C" w:rsidR="005A3055" w:rsidRDefault="00150362" w:rsidP="005A3055">
            <w:pPr>
              <w:pStyle w:val="ListParagraph"/>
              <w:numPr>
                <w:ilvl w:val="0"/>
                <w:numId w:val="49"/>
              </w:numPr>
              <w:spacing w:after="0"/>
            </w:pPr>
            <w:r>
              <w:t>Support activities to p</w:t>
            </w:r>
            <w:r w:rsidR="005A3055" w:rsidRPr="004E6563">
              <w:t>repare and advocate for a multisectoral, community-driven, integrated and systems-cognizant health policy brief/transition plan using TB, HIV/AIDS and malaria indicators for the incoming national policymakers and local chief executives in 2022.</w:t>
            </w:r>
          </w:p>
          <w:p w14:paraId="7BD470B9" w14:textId="357F8C7F" w:rsidR="00150362" w:rsidRPr="006C728E" w:rsidRDefault="00150362" w:rsidP="006C728E">
            <w:pPr>
              <w:pStyle w:val="ListParagraph"/>
              <w:numPr>
                <w:ilvl w:val="0"/>
                <w:numId w:val="49"/>
              </w:numPr>
              <w:spacing w:after="0"/>
            </w:pPr>
            <w:r>
              <w:t xml:space="preserve">Optimize the functionality of ITIS to support national and local NTP implementation for better health outcomes. </w:t>
            </w:r>
          </w:p>
          <w:p w14:paraId="5329AF4D" w14:textId="44E35314" w:rsidR="00442F9B" w:rsidRDefault="00442F9B" w:rsidP="00442F9B">
            <w:pPr>
              <w:spacing w:after="0"/>
              <w:rPr>
                <w:b/>
                <w:bCs/>
              </w:rPr>
            </w:pPr>
          </w:p>
          <w:p w14:paraId="3CD4E9D9" w14:textId="2A6A95C4" w:rsidR="005C5CCF" w:rsidRDefault="005C5CCF" w:rsidP="005C5CCF">
            <w:pPr>
              <w:spacing w:after="0"/>
              <w:rPr>
                <w:b/>
                <w:bCs/>
              </w:rPr>
            </w:pPr>
            <w:r>
              <w:rPr>
                <w:b/>
                <w:bCs/>
              </w:rPr>
              <w:t>Laboratory Systems</w:t>
            </w:r>
          </w:p>
          <w:p w14:paraId="20C5CC21" w14:textId="77777777" w:rsidR="00150362" w:rsidRDefault="00150362" w:rsidP="00E87A94">
            <w:pPr>
              <w:pStyle w:val="ListParagraph"/>
              <w:numPr>
                <w:ilvl w:val="0"/>
                <w:numId w:val="49"/>
              </w:numPr>
              <w:spacing w:after="0"/>
            </w:pPr>
            <w:r>
              <w:t xml:space="preserve">Develop a routine laboratory specimen transport system that can link different types and levels of service providers to centralized laboratories, regardless of disease. </w:t>
            </w:r>
          </w:p>
          <w:p w14:paraId="776F3E1C" w14:textId="0D729CA1" w:rsidR="00320211" w:rsidRPr="00320211" w:rsidRDefault="005A3055" w:rsidP="00320211">
            <w:pPr>
              <w:pStyle w:val="ListParagraph"/>
              <w:numPr>
                <w:ilvl w:val="0"/>
                <w:numId w:val="49"/>
              </w:numPr>
              <w:spacing w:after="0"/>
            </w:pPr>
            <w:r>
              <w:t xml:space="preserve">Support in building </w:t>
            </w:r>
            <w:r w:rsidRPr="00EC0FAD">
              <w:t xml:space="preserve">regional capacity on strategic contracting for laboratory supply chain management, which includes </w:t>
            </w:r>
            <w:r w:rsidR="00320211">
              <w:t>mapping and optimizing lab networks and improve placements of multi-disease equipment in an integrated laboratory network.</w:t>
            </w:r>
          </w:p>
          <w:p w14:paraId="5A4F4351" w14:textId="5DD7D5CF" w:rsidR="00097473" w:rsidRPr="00097473" w:rsidRDefault="00097473" w:rsidP="00097473">
            <w:pPr>
              <w:pStyle w:val="ListParagraph"/>
              <w:numPr>
                <w:ilvl w:val="0"/>
                <w:numId w:val="49"/>
              </w:numPr>
              <w:spacing w:after="0"/>
            </w:pPr>
            <w:r>
              <w:t xml:space="preserve">Support creation of EQA protocols for </w:t>
            </w:r>
            <w:r w:rsidR="00150362">
              <w:t>RDTs</w:t>
            </w:r>
          </w:p>
          <w:p w14:paraId="3D235BED" w14:textId="2573B0D2" w:rsidR="005A3055" w:rsidRPr="00CC54AE" w:rsidRDefault="005A3055" w:rsidP="005A3055">
            <w:pPr>
              <w:pStyle w:val="ListParagraph"/>
              <w:spacing w:after="0"/>
            </w:pPr>
          </w:p>
        </w:tc>
      </w:tr>
      <w:tr w:rsidR="0056189C" w:rsidRPr="007F7A64" w14:paraId="5BB96466" w14:textId="77777777" w:rsidTr="00D0186A">
        <w:trPr>
          <w:trHeight w:val="288"/>
        </w:trPr>
        <w:tc>
          <w:tcPr>
            <w:tcW w:w="2520" w:type="dxa"/>
            <w:shd w:val="clear" w:color="auto" w:fill="F2F2F2"/>
            <w:vAlign w:val="center"/>
          </w:tcPr>
          <w:p w14:paraId="29F4FFB0" w14:textId="77777777" w:rsidR="0056189C" w:rsidRPr="007F7A64" w:rsidRDefault="0056189C" w:rsidP="00D0186A">
            <w:pPr>
              <w:spacing w:after="0"/>
              <w:rPr>
                <w:b/>
              </w:rPr>
            </w:pPr>
            <w:r>
              <w:rPr>
                <w:b/>
              </w:rPr>
              <w:lastRenderedPageBreak/>
              <w:t>Priority Population(s)</w:t>
            </w:r>
          </w:p>
        </w:tc>
        <w:tc>
          <w:tcPr>
            <w:tcW w:w="8280" w:type="dxa"/>
          </w:tcPr>
          <w:p w14:paraId="0F0BE5D7" w14:textId="2C414B0E" w:rsidR="0056189C" w:rsidRDefault="00150362" w:rsidP="00D0186A">
            <w:pPr>
              <w:spacing w:after="0"/>
            </w:pPr>
            <w:r>
              <w:t>Key Affected Population for TB, HIV/AIDS and Malaria</w:t>
            </w:r>
          </w:p>
          <w:p w14:paraId="3701D0F0" w14:textId="2903BA39" w:rsidR="00311EA8" w:rsidRPr="007C1BE9" w:rsidRDefault="00311EA8" w:rsidP="00D0186A">
            <w:pPr>
              <w:spacing w:after="0"/>
            </w:pPr>
          </w:p>
        </w:tc>
      </w:tr>
      <w:tr w:rsidR="0056189C" w:rsidRPr="007F7A64" w14:paraId="55C8B203" w14:textId="77777777" w:rsidTr="00D0186A">
        <w:trPr>
          <w:trHeight w:val="288"/>
        </w:trPr>
        <w:tc>
          <w:tcPr>
            <w:tcW w:w="2520" w:type="dxa"/>
            <w:shd w:val="clear" w:color="auto" w:fill="F2F2F2"/>
            <w:vAlign w:val="center"/>
          </w:tcPr>
          <w:p w14:paraId="724D7564" w14:textId="77777777" w:rsidR="0056189C" w:rsidRDefault="0056189C" w:rsidP="00D0186A">
            <w:pPr>
              <w:spacing w:after="0"/>
              <w:rPr>
                <w:b/>
              </w:rPr>
            </w:pPr>
            <w:r>
              <w:rPr>
                <w:b/>
              </w:rPr>
              <w:t>Barriers and Inequities</w:t>
            </w:r>
          </w:p>
        </w:tc>
        <w:tc>
          <w:tcPr>
            <w:tcW w:w="8280" w:type="dxa"/>
          </w:tcPr>
          <w:p w14:paraId="276BD15A" w14:textId="41AEA901" w:rsidR="0056189C" w:rsidRPr="00D6565D" w:rsidRDefault="002A6BB0" w:rsidP="002A6BB0">
            <w:pPr>
              <w:pStyle w:val="ListParagraph"/>
              <w:numPr>
                <w:ilvl w:val="0"/>
                <w:numId w:val="57"/>
              </w:numPr>
              <w:spacing w:after="0"/>
            </w:pPr>
            <w:r w:rsidRPr="00D6565D">
              <w:t xml:space="preserve">HPMSS support will address the delay caused by long turnaround time of FDA in conducting quality check of procured medicines. Deployment of additional </w:t>
            </w:r>
            <w:r w:rsidR="00150362">
              <w:t xml:space="preserve">human resource </w:t>
            </w:r>
            <w:r w:rsidRPr="00D6565D">
              <w:t>ensures that national policies and guidelines are rolled out and the ne</w:t>
            </w:r>
            <w:r w:rsidR="00150362">
              <w:t xml:space="preserve">cessary additional support </w:t>
            </w:r>
            <w:r w:rsidRPr="00D6565D">
              <w:t xml:space="preserve">in navigating the </w:t>
            </w:r>
            <w:r w:rsidR="00150362">
              <w:t>e</w:t>
            </w:r>
            <w:r w:rsidRPr="00D6565D">
              <w:t>LMIS</w:t>
            </w:r>
            <w:r w:rsidR="00150362">
              <w:t xml:space="preserve"> is available</w:t>
            </w:r>
            <w:r w:rsidRPr="00D6565D">
              <w:t xml:space="preserve">.  </w:t>
            </w:r>
          </w:p>
          <w:p w14:paraId="75DE358C" w14:textId="73F9536D" w:rsidR="0021156A" w:rsidRDefault="00D6565D" w:rsidP="002A6BB0">
            <w:pPr>
              <w:pStyle w:val="ListParagraph"/>
              <w:numPr>
                <w:ilvl w:val="0"/>
                <w:numId w:val="57"/>
              </w:numPr>
              <w:spacing w:after="0"/>
            </w:pPr>
            <w:r>
              <w:t>HSGP</w:t>
            </w:r>
            <w:r w:rsidR="002A6BB0" w:rsidRPr="00D6565D">
              <w:t xml:space="preserve"> interventions aims to </w:t>
            </w:r>
            <w:r>
              <w:t xml:space="preserve">improve national health sector financing by </w:t>
            </w:r>
            <w:r w:rsidR="0021156A" w:rsidRPr="00D6565D">
              <w:t>support</w:t>
            </w:r>
            <w:r>
              <w:t>ing</w:t>
            </w:r>
            <w:r w:rsidR="0021156A" w:rsidRPr="00D6565D">
              <w:t xml:space="preserve"> </w:t>
            </w:r>
            <w:r>
              <w:t xml:space="preserve">the </w:t>
            </w:r>
            <w:r w:rsidR="0021156A" w:rsidRPr="00D6565D">
              <w:t>creation of better PhilHealth care packages that can mitigate or prevent patients from experiencing catastrophic cost</w:t>
            </w:r>
            <w:r>
              <w:t xml:space="preserve"> by optimizing available resource and facilitating new funding streams through domestic resource mobilization. </w:t>
            </w:r>
          </w:p>
          <w:p w14:paraId="3F0274C8" w14:textId="239C4C36" w:rsidR="00D6565D" w:rsidRPr="00D6565D" w:rsidRDefault="00D6565D" w:rsidP="002A6BB0">
            <w:pPr>
              <w:pStyle w:val="ListParagraph"/>
              <w:numPr>
                <w:ilvl w:val="0"/>
                <w:numId w:val="57"/>
              </w:numPr>
              <w:spacing w:after="0"/>
            </w:pPr>
            <w:r w:rsidRPr="00D6565D">
              <w:t>HMIS</w:t>
            </w:r>
            <w:r>
              <w:t xml:space="preserve"> </w:t>
            </w:r>
            <w:r w:rsidRPr="00D6565D">
              <w:t>&amp;</w:t>
            </w:r>
            <w:r>
              <w:t xml:space="preserve"> </w:t>
            </w:r>
            <w:r w:rsidRPr="00D6565D">
              <w:t xml:space="preserve">ME </w:t>
            </w:r>
            <w:r>
              <w:t xml:space="preserve">interventions will focus on ensuring disease data is collected and analyzed to support evidence-based decision making on resource allocation and identification of appropriate strategies and interventions to address bottlenecks and contribute to better health outcomes.  </w:t>
            </w:r>
          </w:p>
          <w:p w14:paraId="1A5C3F2E" w14:textId="24E568E1" w:rsidR="002A6BB0" w:rsidRDefault="0021156A" w:rsidP="002A6BB0">
            <w:pPr>
              <w:pStyle w:val="ListParagraph"/>
              <w:numPr>
                <w:ilvl w:val="0"/>
                <w:numId w:val="57"/>
              </w:numPr>
              <w:spacing w:after="0"/>
            </w:pPr>
            <w:r w:rsidRPr="00D6565D">
              <w:t>Laboratory strengthening interventions will reduce initial loss to follow up by reducing turnaround time between diagnosis and treatment initiation.</w:t>
            </w:r>
            <w:r w:rsidR="00D6565D">
              <w:t xml:space="preserve"> This guarantees prompt treatment and reduce risk of infection, complication, or death. </w:t>
            </w:r>
            <w:r>
              <w:t xml:space="preserve">   </w:t>
            </w:r>
          </w:p>
          <w:p w14:paraId="209D8374" w14:textId="567D275F" w:rsidR="00311EA8" w:rsidRPr="002A6BB0" w:rsidRDefault="00311EA8" w:rsidP="00311EA8">
            <w:pPr>
              <w:pStyle w:val="ListParagraph"/>
              <w:spacing w:after="0"/>
            </w:pPr>
          </w:p>
        </w:tc>
      </w:tr>
      <w:tr w:rsidR="0056189C" w:rsidRPr="007F7A64" w14:paraId="65A49949" w14:textId="77777777" w:rsidTr="00D0186A">
        <w:trPr>
          <w:trHeight w:val="288"/>
        </w:trPr>
        <w:tc>
          <w:tcPr>
            <w:tcW w:w="2520" w:type="dxa"/>
            <w:shd w:val="clear" w:color="auto" w:fill="F2F2F2"/>
            <w:vAlign w:val="center"/>
          </w:tcPr>
          <w:p w14:paraId="0F61F1C3" w14:textId="77777777" w:rsidR="0056189C" w:rsidRPr="007F7A64" w:rsidRDefault="0056189C" w:rsidP="00D0186A">
            <w:pPr>
              <w:spacing w:after="0"/>
              <w:rPr>
                <w:b/>
              </w:rPr>
            </w:pPr>
            <w:r>
              <w:rPr>
                <w:b/>
              </w:rPr>
              <w:t>Rationale</w:t>
            </w:r>
          </w:p>
        </w:tc>
        <w:tc>
          <w:tcPr>
            <w:tcW w:w="8280" w:type="dxa"/>
          </w:tcPr>
          <w:p w14:paraId="3DCC6511" w14:textId="76E7E693" w:rsidR="00834D2F" w:rsidRDefault="00A442E6" w:rsidP="00D0186A">
            <w:pPr>
              <w:spacing w:after="0"/>
            </w:pPr>
            <w:r>
              <w:t xml:space="preserve">The major health system barriers affecting the full implementation of the Philippine NTP are (1) the weak PSCM system of DOH which is </w:t>
            </w:r>
            <w:r w:rsidR="00150362">
              <w:t xml:space="preserve">at </w:t>
            </w:r>
            <w:r>
              <w:t xml:space="preserve">very high risk of causing stock out of medicines and health products; (2) lack of sufficient domestic financial investment commensurate </w:t>
            </w:r>
            <w:r w:rsidR="00150362">
              <w:t xml:space="preserve">with </w:t>
            </w:r>
            <w:r>
              <w:t>the ne</w:t>
            </w:r>
            <w:r w:rsidR="00150362">
              <w:t xml:space="preserve">cessary level of </w:t>
            </w:r>
            <w:r>
              <w:t xml:space="preserve">investment to fully implement the strategies and approaches identified in the Updated PhilSTEP Phase 1, and (3) inadequate permanent positions for human resources for health across the various levels of the health care delivery network. </w:t>
            </w:r>
          </w:p>
          <w:p w14:paraId="7FE1459B" w14:textId="77777777" w:rsidR="00834D2F" w:rsidRDefault="00834D2F" w:rsidP="00D0186A">
            <w:pPr>
              <w:spacing w:after="0"/>
            </w:pPr>
          </w:p>
          <w:p w14:paraId="3B84830F" w14:textId="183F349B" w:rsidR="00084F72" w:rsidRPr="007F7A64" w:rsidRDefault="00834D2F" w:rsidP="00D0186A">
            <w:pPr>
              <w:spacing w:after="0"/>
            </w:pPr>
            <w:r>
              <w:t>While t</w:t>
            </w:r>
            <w:r w:rsidR="00A442E6">
              <w:t>echnical assistance requirements to enhance policies and protocols to address the abovementioned major health systems challenges are being provided by various USAID Projects (</w:t>
            </w:r>
            <w:r w:rsidR="00084F72">
              <w:t>MTaPS, Protech Health, and HRH 2030)</w:t>
            </w:r>
            <w:r>
              <w:t xml:space="preserve"> for TB, it is understood that the HIV/AIDS and malaria programs are also encountering similar challenges. An integrated, cross-cutting approach to RSSH as detailed above will benefit TB KAPs as well as those in HIV/AIDS and malaria; it will also extend </w:t>
            </w:r>
            <w:r>
              <w:lastRenderedPageBreak/>
              <w:t>benefits to health programs such as maternal and child health, NCDs, and others</w:t>
            </w:r>
            <w:r w:rsidR="00084F72">
              <w:t xml:space="preserve">. </w:t>
            </w:r>
            <w:r>
              <w:t xml:space="preserve">Activities included in this </w:t>
            </w:r>
            <w:r w:rsidR="00084F72">
              <w:t xml:space="preserve">FR </w:t>
            </w:r>
            <w:r>
              <w:t xml:space="preserve">are both </w:t>
            </w:r>
            <w:r w:rsidR="00084F72">
              <w:t xml:space="preserve">immediate action requirements </w:t>
            </w:r>
            <w:r>
              <w:t xml:space="preserve">that can produce results </w:t>
            </w:r>
            <w:r w:rsidR="00084F72">
              <w:t>within 2020 to 2023</w:t>
            </w:r>
            <w:r>
              <w:t xml:space="preserve">, and health system interventions that can have demonstrable effects in the </w:t>
            </w:r>
            <w:r w:rsidR="00150362">
              <w:t xml:space="preserve">UHC </w:t>
            </w:r>
            <w:r>
              <w:t>sites within the same timeframe.</w:t>
            </w:r>
          </w:p>
        </w:tc>
      </w:tr>
      <w:tr w:rsidR="0056189C" w:rsidRPr="007F7A64" w14:paraId="4C984EF2" w14:textId="77777777" w:rsidTr="00D0186A">
        <w:trPr>
          <w:trHeight w:val="288"/>
        </w:trPr>
        <w:tc>
          <w:tcPr>
            <w:tcW w:w="2520" w:type="dxa"/>
            <w:shd w:val="clear" w:color="auto" w:fill="F2F2F2"/>
            <w:vAlign w:val="center"/>
          </w:tcPr>
          <w:p w14:paraId="76996041" w14:textId="77777777" w:rsidR="0056189C" w:rsidRPr="007F7A64" w:rsidRDefault="0056189C" w:rsidP="00D0186A">
            <w:pPr>
              <w:spacing w:after="0"/>
              <w:rPr>
                <w:b/>
              </w:rPr>
            </w:pPr>
            <w:r w:rsidRPr="007F7A64">
              <w:rPr>
                <w:b/>
              </w:rPr>
              <w:lastRenderedPageBreak/>
              <w:t xml:space="preserve">Expected </w:t>
            </w:r>
            <w:r>
              <w:rPr>
                <w:b/>
              </w:rPr>
              <w:t>Outcome</w:t>
            </w:r>
          </w:p>
        </w:tc>
        <w:tc>
          <w:tcPr>
            <w:tcW w:w="8280" w:type="dxa"/>
          </w:tcPr>
          <w:p w14:paraId="078A6F12" w14:textId="0E23CB52" w:rsidR="0056189C" w:rsidRDefault="00084F72" w:rsidP="00E07C20">
            <w:pPr>
              <w:pStyle w:val="ListParagraph"/>
              <w:numPr>
                <w:ilvl w:val="0"/>
                <w:numId w:val="50"/>
              </w:numPr>
              <w:spacing w:after="0"/>
            </w:pPr>
            <w:r>
              <w:t>No occurrence of stock-outs of TB</w:t>
            </w:r>
            <w:r w:rsidR="00834D2F">
              <w:t>, HIV, Malaria, and other health program</w:t>
            </w:r>
            <w:r>
              <w:t xml:space="preserve"> medicines and health products</w:t>
            </w:r>
          </w:p>
          <w:p w14:paraId="0E30B94F" w14:textId="274770A2" w:rsidR="00084F72" w:rsidRDefault="00084F72" w:rsidP="00E07C20">
            <w:pPr>
              <w:pStyle w:val="ListParagraph"/>
              <w:numPr>
                <w:ilvl w:val="0"/>
                <w:numId w:val="50"/>
              </w:numPr>
              <w:spacing w:after="0"/>
            </w:pPr>
            <w:r>
              <w:t>Increased domestic investment to support the National TB</w:t>
            </w:r>
            <w:r w:rsidR="00834D2F">
              <w:t>, HIV, Malaria, and other health programs</w:t>
            </w:r>
          </w:p>
          <w:p w14:paraId="2DFA9B28" w14:textId="5F8C57DB" w:rsidR="009E3DA0" w:rsidRDefault="009E3DA0" w:rsidP="00E07C20">
            <w:pPr>
              <w:pStyle w:val="ListParagraph"/>
              <w:numPr>
                <w:ilvl w:val="0"/>
                <w:numId w:val="50"/>
              </w:numPr>
              <w:spacing w:after="0"/>
            </w:pPr>
            <w:r>
              <w:t>Real time recording and reporting of TB</w:t>
            </w:r>
            <w:r w:rsidR="00834D2F">
              <w:t xml:space="preserve">, HIV and Malaria </w:t>
            </w:r>
            <w:r>
              <w:t xml:space="preserve">data to support quality care </w:t>
            </w:r>
            <w:r w:rsidR="00B77834">
              <w:t xml:space="preserve">and </w:t>
            </w:r>
            <w:r>
              <w:t>service delivery</w:t>
            </w:r>
            <w:r w:rsidR="00834D2F">
              <w:t xml:space="preserve">, </w:t>
            </w:r>
            <w:r>
              <w:t>decision making</w:t>
            </w:r>
            <w:r w:rsidR="00834D2F">
              <w:t>, and performance management.</w:t>
            </w:r>
          </w:p>
          <w:p w14:paraId="7621BCAA" w14:textId="5161D006" w:rsidR="009E3DA0" w:rsidRDefault="009E3DA0" w:rsidP="00E07C20">
            <w:pPr>
              <w:pStyle w:val="ListParagraph"/>
              <w:numPr>
                <w:ilvl w:val="0"/>
                <w:numId w:val="50"/>
              </w:numPr>
              <w:spacing w:after="0"/>
            </w:pPr>
            <w:r>
              <w:t xml:space="preserve">Faster turnaround time between TB diagnosis using </w:t>
            </w:r>
            <w:r w:rsidR="005C7854">
              <w:t>TB MOLECULAR TEST</w:t>
            </w:r>
            <w:r>
              <w:t>s and TB treatment initiation</w:t>
            </w:r>
          </w:p>
          <w:p w14:paraId="750E9C8A" w14:textId="1923A555" w:rsidR="00084F72" w:rsidRPr="007F7A64" w:rsidRDefault="00084F72" w:rsidP="00B77834">
            <w:pPr>
              <w:pStyle w:val="ListParagraph"/>
              <w:spacing w:after="0"/>
              <w:ind w:left="360"/>
            </w:pPr>
          </w:p>
        </w:tc>
      </w:tr>
      <w:tr w:rsidR="0056189C" w:rsidRPr="007F7A64" w14:paraId="5192FA59" w14:textId="77777777" w:rsidTr="00D0186A">
        <w:trPr>
          <w:trHeight w:val="288"/>
        </w:trPr>
        <w:tc>
          <w:tcPr>
            <w:tcW w:w="2520" w:type="dxa"/>
            <w:shd w:val="clear" w:color="auto" w:fill="F2F2F2"/>
            <w:vAlign w:val="center"/>
          </w:tcPr>
          <w:p w14:paraId="0A197AA6" w14:textId="77777777" w:rsidR="0056189C" w:rsidRPr="00C44844" w:rsidRDefault="0056189C" w:rsidP="00D0186A">
            <w:pPr>
              <w:spacing w:after="0"/>
              <w:rPr>
                <w:b/>
              </w:rPr>
            </w:pPr>
            <w:r w:rsidRPr="007F7A64">
              <w:rPr>
                <w:b/>
              </w:rPr>
              <w:t>Expected Investment</w:t>
            </w:r>
          </w:p>
        </w:tc>
        <w:tc>
          <w:tcPr>
            <w:tcW w:w="8280" w:type="dxa"/>
          </w:tcPr>
          <w:p w14:paraId="0186D1F8" w14:textId="755DC561" w:rsidR="00F21724" w:rsidRDefault="00FE4242" w:rsidP="00D6565D">
            <w:pPr>
              <w:spacing w:after="0"/>
              <w:rPr>
                <w:b/>
                <w:bCs/>
                <w:sz w:val="24"/>
                <w:szCs w:val="24"/>
              </w:rPr>
            </w:pPr>
            <w:r w:rsidRPr="00FE4242">
              <w:rPr>
                <w:b/>
                <w:bCs/>
                <w:sz w:val="24"/>
                <w:szCs w:val="24"/>
              </w:rPr>
              <w:t xml:space="preserve">USD </w:t>
            </w:r>
            <w:r>
              <w:rPr>
                <w:b/>
                <w:bCs/>
                <w:sz w:val="24"/>
                <w:szCs w:val="24"/>
              </w:rPr>
              <w:t>8</w:t>
            </w:r>
            <w:r w:rsidRPr="00FE4242">
              <w:rPr>
                <w:b/>
                <w:bCs/>
                <w:sz w:val="24"/>
                <w:szCs w:val="24"/>
              </w:rPr>
              <w:t>,</w:t>
            </w:r>
            <w:r>
              <w:rPr>
                <w:b/>
                <w:bCs/>
                <w:sz w:val="24"/>
                <w:szCs w:val="24"/>
              </w:rPr>
              <w:t>313</w:t>
            </w:r>
            <w:r w:rsidRPr="00FE4242">
              <w:rPr>
                <w:b/>
                <w:bCs/>
                <w:sz w:val="24"/>
                <w:szCs w:val="24"/>
              </w:rPr>
              <w:t>,</w:t>
            </w:r>
            <w:r>
              <w:rPr>
                <w:b/>
                <w:bCs/>
                <w:sz w:val="24"/>
                <w:szCs w:val="24"/>
              </w:rPr>
              <w:t>132</w:t>
            </w:r>
          </w:p>
          <w:p w14:paraId="0E82F8E4" w14:textId="03236FDB" w:rsidR="00FE4242" w:rsidRPr="007F7A64" w:rsidRDefault="00FE4242" w:rsidP="00D6565D">
            <w:pPr>
              <w:spacing w:after="0"/>
            </w:pPr>
          </w:p>
        </w:tc>
      </w:tr>
    </w:tbl>
    <w:p w14:paraId="1C961A04" w14:textId="73F2A1A7" w:rsidR="00FC311E" w:rsidRDefault="00FC311E" w:rsidP="009B6C0D">
      <w:pPr>
        <w:spacing w:after="0"/>
        <w:rPr>
          <w:i/>
          <w:sz w:val="16"/>
          <w:szCs w:val="16"/>
        </w:rPr>
      </w:pPr>
    </w:p>
    <w:p w14:paraId="3E3067EC" w14:textId="77777777" w:rsidR="00FC311E" w:rsidRDefault="00FC311E">
      <w:pPr>
        <w:spacing w:after="160" w:line="0" w:lineRule="auto"/>
        <w:rPr>
          <w:i/>
          <w:sz w:val="16"/>
          <w:szCs w:val="16"/>
        </w:rPr>
      </w:pPr>
      <w:r>
        <w:rPr>
          <w:i/>
          <w:sz w:val="16"/>
          <w:szCs w:val="16"/>
        </w:rPr>
        <w:br w:type="page"/>
      </w:r>
    </w:p>
    <w:tbl>
      <w:tblPr>
        <w:tblStyle w:val="TableGrid30"/>
        <w:tblW w:w="10800" w:type="dxa"/>
        <w:tblInd w:w="-5" w:type="dxa"/>
        <w:tblLook w:val="04A0" w:firstRow="1" w:lastRow="0" w:firstColumn="1" w:lastColumn="0" w:noHBand="0" w:noVBand="1"/>
      </w:tblPr>
      <w:tblGrid>
        <w:gridCol w:w="2520"/>
        <w:gridCol w:w="8280"/>
      </w:tblGrid>
      <w:tr w:rsidR="00AC7D1A" w:rsidRPr="007F7A64" w14:paraId="140D3139" w14:textId="77777777" w:rsidTr="00A07BC3">
        <w:trPr>
          <w:trHeight w:val="288"/>
        </w:trPr>
        <w:tc>
          <w:tcPr>
            <w:tcW w:w="2520" w:type="dxa"/>
            <w:shd w:val="clear" w:color="auto" w:fill="F2F2F2"/>
            <w:vAlign w:val="center"/>
          </w:tcPr>
          <w:p w14:paraId="5B7C7DD3" w14:textId="7360EFC6" w:rsidR="00AC7D1A" w:rsidRPr="00E41EDC" w:rsidRDefault="00AC7D1A" w:rsidP="00A07BC3">
            <w:pPr>
              <w:spacing w:after="0"/>
              <w:rPr>
                <w:b/>
              </w:rPr>
            </w:pPr>
            <w:r>
              <w:rPr>
                <w:b/>
              </w:rPr>
              <w:lastRenderedPageBreak/>
              <w:t>Module #</w:t>
            </w:r>
            <w:r w:rsidR="00870EAC">
              <w:rPr>
                <w:b/>
              </w:rPr>
              <w:t>5</w:t>
            </w:r>
          </w:p>
        </w:tc>
        <w:tc>
          <w:tcPr>
            <w:tcW w:w="8280" w:type="dxa"/>
          </w:tcPr>
          <w:p w14:paraId="51F3E10B" w14:textId="655B6981" w:rsidR="00AC7D1A" w:rsidRPr="00030097" w:rsidRDefault="00030097" w:rsidP="00A07BC3">
            <w:pPr>
              <w:spacing w:after="0"/>
            </w:pPr>
            <w:r w:rsidRPr="00030097">
              <w:t>Removing Human Rights and Gender related barriers to TB services</w:t>
            </w:r>
          </w:p>
        </w:tc>
      </w:tr>
      <w:tr w:rsidR="00AC7D1A" w:rsidRPr="007F7A64" w14:paraId="05F76BE2" w14:textId="77777777" w:rsidTr="00A07BC3">
        <w:trPr>
          <w:trHeight w:val="288"/>
        </w:trPr>
        <w:tc>
          <w:tcPr>
            <w:tcW w:w="2520" w:type="dxa"/>
            <w:shd w:val="clear" w:color="auto" w:fill="F2F2F2"/>
            <w:vAlign w:val="center"/>
          </w:tcPr>
          <w:p w14:paraId="59262375" w14:textId="77777777" w:rsidR="00AC7D1A" w:rsidRPr="007F7A64" w:rsidRDefault="00AC7D1A" w:rsidP="00A07BC3">
            <w:pPr>
              <w:spacing w:after="0"/>
              <w:rPr>
                <w:b/>
              </w:rPr>
            </w:pPr>
            <w:r w:rsidRPr="007F7A64">
              <w:rPr>
                <w:b/>
              </w:rPr>
              <w:t>Intervention(s)</w:t>
            </w:r>
            <w:r>
              <w:rPr>
                <w:b/>
              </w:rPr>
              <w:t xml:space="preserve"> &amp; Key Activities</w:t>
            </w:r>
          </w:p>
        </w:tc>
        <w:tc>
          <w:tcPr>
            <w:tcW w:w="8280" w:type="dxa"/>
          </w:tcPr>
          <w:p w14:paraId="2245152F" w14:textId="4C7557BE" w:rsidR="00AC7D1A" w:rsidRPr="00FB015B" w:rsidRDefault="00030097" w:rsidP="00D4560E">
            <w:pPr>
              <w:pStyle w:val="ListParagraph"/>
              <w:numPr>
                <w:ilvl w:val="0"/>
                <w:numId w:val="49"/>
              </w:numPr>
              <w:spacing w:after="160" w:line="259" w:lineRule="auto"/>
            </w:pPr>
            <w:r>
              <w:t>M</w:t>
            </w:r>
            <w:r w:rsidR="00AC7D1A" w:rsidRPr="00FB015B">
              <w:t xml:space="preserve">obilizing and empowering key affected populations by establishing a </w:t>
            </w:r>
            <w:r w:rsidR="00146F18">
              <w:rPr>
                <w:u w:val="single"/>
              </w:rPr>
              <w:t xml:space="preserve">Patient </w:t>
            </w:r>
            <w:r w:rsidR="00AC7D1A" w:rsidRPr="00D4560E">
              <w:rPr>
                <w:u w:val="single"/>
              </w:rPr>
              <w:t>Champions Pool</w:t>
            </w:r>
            <w:r w:rsidR="00AC7D1A" w:rsidRPr="00FB015B">
              <w:t xml:space="preserve"> that will be capacitated to advocate for improved health systems at the national and local government and among private groups to support the TB program. The champions pool will be comprised of selected TB patients and health care workers that can serve as the human face &amp; voice of the TB disease. </w:t>
            </w:r>
          </w:p>
          <w:p w14:paraId="4F4A7E0C" w14:textId="77777777" w:rsidR="00AC7D1A" w:rsidRPr="00FB015B" w:rsidRDefault="00AC7D1A" w:rsidP="00A07BC3">
            <w:pPr>
              <w:pStyle w:val="ListParagraph"/>
            </w:pPr>
          </w:p>
          <w:p w14:paraId="77D26141" w14:textId="3CA1F56D" w:rsidR="00AC7D1A" w:rsidRPr="00FB015B" w:rsidRDefault="00AC7D1A" w:rsidP="00D4560E">
            <w:pPr>
              <w:pStyle w:val="ListParagraph"/>
              <w:numPr>
                <w:ilvl w:val="0"/>
                <w:numId w:val="49"/>
              </w:numPr>
              <w:spacing w:after="160" w:line="259" w:lineRule="auto"/>
            </w:pPr>
            <w:r w:rsidRPr="00FB015B">
              <w:t xml:space="preserve">Reducing stigma and discrimination and providing support services to TB patients by establishing a </w:t>
            </w:r>
            <w:r w:rsidR="00146F18">
              <w:rPr>
                <w:u w:val="single"/>
              </w:rPr>
              <w:t>p</w:t>
            </w:r>
            <w:r w:rsidRPr="00D4560E">
              <w:rPr>
                <w:u w:val="single"/>
              </w:rPr>
              <w:t>atient hotline</w:t>
            </w:r>
            <w:r w:rsidRPr="00FB015B">
              <w:t xml:space="preserve"> and multi-media platforms that will serve as help desk for TB patient concerns. This platform will aid to patients in navigating their care pathway (for detection up to completed treatment), including promotion of TB-related rights, provision of legal assistance support and link to social risk protection options (Department of Social Welfare and Development, Social Security System, etc.)  </w:t>
            </w:r>
          </w:p>
          <w:p w14:paraId="5CEA0514" w14:textId="77777777" w:rsidR="00AC7D1A" w:rsidRPr="00FB015B" w:rsidRDefault="00AC7D1A" w:rsidP="00A07BC3">
            <w:pPr>
              <w:pStyle w:val="ListParagraph"/>
            </w:pPr>
          </w:p>
          <w:p w14:paraId="18D1C3E2" w14:textId="4DFCBA8C" w:rsidR="00AC7D1A" w:rsidRPr="00FB015B" w:rsidRDefault="00AC7D1A" w:rsidP="00D4560E">
            <w:pPr>
              <w:pStyle w:val="ListParagraph"/>
              <w:numPr>
                <w:ilvl w:val="0"/>
                <w:numId w:val="49"/>
              </w:numPr>
              <w:spacing w:after="160" w:line="259" w:lineRule="auto"/>
            </w:pPr>
            <w:r w:rsidRPr="00FB015B">
              <w:t xml:space="preserve">Reducing stigma and discrimination in workplaces by engaging PBSP’s private sector network to comply with the Department of Labor and Employment – Occupational Safety and Health Center’s </w:t>
            </w:r>
            <w:r w:rsidR="00B77834">
              <w:t>(DOLE-OSHC) D</w:t>
            </w:r>
            <w:r w:rsidRPr="00FB015B">
              <w:t xml:space="preserve">epartment </w:t>
            </w:r>
            <w:r w:rsidR="00B77834">
              <w:t>O</w:t>
            </w:r>
            <w:r w:rsidRPr="00FB015B">
              <w:t xml:space="preserve">rder for the establishment of </w:t>
            </w:r>
            <w:r w:rsidRPr="00D4560E">
              <w:rPr>
                <w:u w:val="single"/>
              </w:rPr>
              <w:t>TB</w:t>
            </w:r>
            <w:r w:rsidR="00D4560E" w:rsidRPr="00D4560E">
              <w:rPr>
                <w:u w:val="single"/>
              </w:rPr>
              <w:t xml:space="preserve"> &amp; </w:t>
            </w:r>
            <w:r w:rsidR="00146F18">
              <w:rPr>
                <w:u w:val="single"/>
              </w:rPr>
              <w:t xml:space="preserve">HIV </w:t>
            </w:r>
            <w:r w:rsidRPr="00D4560E">
              <w:rPr>
                <w:u w:val="single"/>
              </w:rPr>
              <w:t>Programs in Workplaces.</w:t>
            </w:r>
            <w:r w:rsidRPr="00FB015B">
              <w:t xml:space="preserve"> This initiative will focus on building capacity of the private sector in designing and implementing TB workplace policies that will not discriminate applicants </w:t>
            </w:r>
            <w:r w:rsidR="00B77834">
              <w:t xml:space="preserve">(during recruitment process) </w:t>
            </w:r>
            <w:r w:rsidRPr="00FB015B">
              <w:t xml:space="preserve">and provide support services to their existing workforce affected by TB disease. Furthermore, this initiative will support inclusion of the company health care provider to be part of the National TB Program and comply with TB mandatory notification and the </w:t>
            </w:r>
            <w:r w:rsidR="00B77834">
              <w:t>diagnosis</w:t>
            </w:r>
            <w:r w:rsidRPr="00FB015B">
              <w:t xml:space="preserve"> and </w:t>
            </w:r>
            <w:r w:rsidR="00B77834">
              <w:t>treatment</w:t>
            </w:r>
            <w:r w:rsidRPr="00FB015B">
              <w:t xml:space="preserve"> guidelines.     </w:t>
            </w:r>
          </w:p>
          <w:p w14:paraId="425472FE" w14:textId="77777777" w:rsidR="00AC7D1A" w:rsidRPr="00FB015B" w:rsidRDefault="00AC7D1A" w:rsidP="00A07BC3">
            <w:pPr>
              <w:pStyle w:val="ListParagraph"/>
            </w:pPr>
          </w:p>
          <w:p w14:paraId="2FFEC625" w14:textId="0F5FDF0C" w:rsidR="00AC7D1A" w:rsidRDefault="00B77834" w:rsidP="00D4560E">
            <w:pPr>
              <w:pStyle w:val="ListParagraph"/>
              <w:numPr>
                <w:ilvl w:val="0"/>
                <w:numId w:val="49"/>
              </w:numPr>
              <w:spacing w:after="160" w:line="259" w:lineRule="auto"/>
            </w:pPr>
            <w:r>
              <w:rPr>
                <w:b/>
                <w:bCs/>
              </w:rPr>
              <w:t>Eliminating d</w:t>
            </w:r>
            <w:r w:rsidR="00AC7D1A" w:rsidRPr="00D4560E">
              <w:rPr>
                <w:b/>
                <w:bCs/>
              </w:rPr>
              <w:t>iscrimination in health care settings by supporting an in-depth study</w:t>
            </w:r>
            <w:r w:rsidR="00AC7D1A" w:rsidRPr="00FB015B">
              <w:t xml:space="preserve"> that will assess current practices of TB care providers at the primary care levels relating to stigma and discrimination. The end goal of the study is developing model programs/ technologies (aside from training) that can be adopted to improve the skills, attitude, and practices of health care workers in preventing HCW-initiated stigma and discrimination behaviors. Concomitant to this is investing </w:t>
            </w:r>
            <w:r>
              <w:t>i</w:t>
            </w:r>
            <w:r w:rsidR="00AC7D1A" w:rsidRPr="00FB015B">
              <w:t>n motivating HCWs to provide better care by institutionalizing a patient feedback portal for patients to evaluate HCW performance</w:t>
            </w:r>
            <w:r>
              <w:t>. This</w:t>
            </w:r>
            <w:r w:rsidR="00AC7D1A" w:rsidRPr="00FB015B">
              <w:t xml:space="preserve"> will serve as </w:t>
            </w:r>
            <w:r>
              <w:t xml:space="preserve">a </w:t>
            </w:r>
            <w:r w:rsidR="00AC7D1A" w:rsidRPr="00FB015B">
              <w:t xml:space="preserve">basis for the program to identify model HCWs monthly (like employee of the month) and </w:t>
            </w:r>
            <w:r>
              <w:t>enable</w:t>
            </w:r>
            <w:r w:rsidR="00AC7D1A" w:rsidRPr="00FB015B">
              <w:t xml:space="preserve"> recognition and </w:t>
            </w:r>
            <w:r>
              <w:t xml:space="preserve">provision of </w:t>
            </w:r>
            <w:r w:rsidR="00AC7D1A" w:rsidRPr="00FB015B">
              <w:t xml:space="preserve">tokens of appreciation.    </w:t>
            </w:r>
          </w:p>
          <w:p w14:paraId="5C044CFC" w14:textId="77777777" w:rsidR="00D4560E" w:rsidRPr="00D4560E" w:rsidRDefault="00D4560E" w:rsidP="00D4560E">
            <w:pPr>
              <w:pStyle w:val="ListParagraph"/>
            </w:pPr>
          </w:p>
          <w:p w14:paraId="351FE6AA" w14:textId="77777777" w:rsidR="00D4560E" w:rsidRPr="00FB015B" w:rsidRDefault="00D4560E" w:rsidP="00D4560E">
            <w:pPr>
              <w:pStyle w:val="ListParagraph"/>
              <w:numPr>
                <w:ilvl w:val="0"/>
                <w:numId w:val="49"/>
              </w:numPr>
              <w:spacing w:after="0"/>
              <w:rPr>
                <w:rFonts w:cstheme="minorHAnsi"/>
              </w:rPr>
            </w:pPr>
            <w:r w:rsidRPr="00FB015B">
              <w:rPr>
                <w:rFonts w:cstheme="minorHAnsi"/>
                <w:b/>
                <w:bCs/>
              </w:rPr>
              <w:t>Training of Judicial Officers to streamline care delivery of PDL with TB.</w:t>
            </w:r>
            <w:r w:rsidRPr="00FB015B">
              <w:rPr>
                <w:rFonts w:cstheme="minorHAnsi"/>
              </w:rPr>
              <w:t xml:space="preserve"> In cooperation with </w:t>
            </w:r>
            <w:r>
              <w:rPr>
                <w:rFonts w:cstheme="minorHAnsi"/>
              </w:rPr>
              <w:t xml:space="preserve">DOJ, BUCOR, BJMP and courts, </w:t>
            </w:r>
            <w:r w:rsidRPr="00FB015B">
              <w:rPr>
                <w:rFonts w:cstheme="minorHAnsi"/>
              </w:rPr>
              <w:t xml:space="preserve">DOH-NTP will conduct learning sessions on the on the basics of Tuberculosis, the Philippine TB Law, related stigma and discrimination concerns and patient’s rights. Part of the support is mainstreaming their policies to enable a people-centered approach to TB-HIV care delivery among PDLs.     </w:t>
            </w:r>
          </w:p>
          <w:p w14:paraId="3CCC5576" w14:textId="4E2D03FC" w:rsidR="00D4560E" w:rsidRPr="00FB015B" w:rsidRDefault="00D4560E" w:rsidP="00D4560E">
            <w:pPr>
              <w:pStyle w:val="ListParagraph"/>
              <w:spacing w:after="160" w:line="259" w:lineRule="auto"/>
            </w:pPr>
          </w:p>
        </w:tc>
      </w:tr>
      <w:tr w:rsidR="00AC7D1A" w:rsidRPr="007F7A64" w14:paraId="3A6BCA2B" w14:textId="77777777" w:rsidTr="00A07BC3">
        <w:trPr>
          <w:trHeight w:val="288"/>
        </w:trPr>
        <w:tc>
          <w:tcPr>
            <w:tcW w:w="2520" w:type="dxa"/>
            <w:shd w:val="clear" w:color="auto" w:fill="F2F2F2"/>
            <w:vAlign w:val="center"/>
          </w:tcPr>
          <w:p w14:paraId="7FF272AC" w14:textId="77777777" w:rsidR="00AC7D1A" w:rsidRPr="007F7A64" w:rsidRDefault="00AC7D1A" w:rsidP="00A07BC3">
            <w:pPr>
              <w:spacing w:after="0"/>
              <w:rPr>
                <w:b/>
              </w:rPr>
            </w:pPr>
            <w:r>
              <w:rPr>
                <w:b/>
              </w:rPr>
              <w:t>Priority Population(s)</w:t>
            </w:r>
          </w:p>
        </w:tc>
        <w:tc>
          <w:tcPr>
            <w:tcW w:w="8280" w:type="dxa"/>
          </w:tcPr>
          <w:p w14:paraId="6E56C58E" w14:textId="1C5E36E4" w:rsidR="00AC7D1A" w:rsidRDefault="00B77834" w:rsidP="00A07BC3">
            <w:pPr>
              <w:spacing w:after="0"/>
            </w:pPr>
            <w:r>
              <w:t xml:space="preserve">TB Patients, </w:t>
            </w:r>
            <w:r w:rsidR="00AC7D1A">
              <w:t>Contacts of TB patients, urban poor, elderly, PDL, health workers</w:t>
            </w:r>
            <w:r w:rsidR="00D4560E">
              <w:t>, PDL</w:t>
            </w:r>
          </w:p>
          <w:p w14:paraId="13262BD2" w14:textId="1658F90B" w:rsidR="00311EA8" w:rsidRPr="007C1BE9" w:rsidRDefault="00311EA8" w:rsidP="00A07BC3">
            <w:pPr>
              <w:spacing w:after="0"/>
            </w:pPr>
          </w:p>
        </w:tc>
      </w:tr>
      <w:tr w:rsidR="00AC7D1A" w:rsidRPr="007F7A64" w14:paraId="65DACFCE" w14:textId="77777777" w:rsidTr="00A07BC3">
        <w:trPr>
          <w:trHeight w:val="288"/>
        </w:trPr>
        <w:tc>
          <w:tcPr>
            <w:tcW w:w="2520" w:type="dxa"/>
            <w:shd w:val="clear" w:color="auto" w:fill="F2F2F2"/>
            <w:vAlign w:val="center"/>
          </w:tcPr>
          <w:p w14:paraId="543793E9" w14:textId="77777777" w:rsidR="00AC7D1A" w:rsidRDefault="00AC7D1A" w:rsidP="00A07BC3">
            <w:pPr>
              <w:spacing w:after="0"/>
              <w:rPr>
                <w:b/>
              </w:rPr>
            </w:pPr>
            <w:r>
              <w:rPr>
                <w:b/>
              </w:rPr>
              <w:t>Barriers and Inequities</w:t>
            </w:r>
          </w:p>
        </w:tc>
        <w:tc>
          <w:tcPr>
            <w:tcW w:w="8280" w:type="dxa"/>
          </w:tcPr>
          <w:p w14:paraId="34F7C5F7" w14:textId="1A5FB353" w:rsidR="00AC7D1A" w:rsidRDefault="0021156A" w:rsidP="0021156A">
            <w:pPr>
              <w:spacing w:after="0"/>
            </w:pPr>
            <w:r w:rsidRPr="0021156A">
              <w:t xml:space="preserve">Stigma attached to TB is evident and there </w:t>
            </w:r>
            <w:r w:rsidR="00B77834">
              <w:t>is</w:t>
            </w:r>
            <w:r w:rsidRPr="0021156A">
              <w:t xml:space="preserve"> anecdotal evidence of discrimination.</w:t>
            </w:r>
            <w:r>
              <w:t xml:space="preserve"> No legal cases are documented</w:t>
            </w:r>
            <w:r w:rsidR="00B77834">
              <w:t>,</w:t>
            </w:r>
            <w:r>
              <w:t xml:space="preserve"> probably due to low awareness of patient rights (for both KAP and the legal aid providers), low patient literacy, and lack of access </w:t>
            </w:r>
            <w:r>
              <w:lastRenderedPageBreak/>
              <w:t xml:space="preserve">to legal aid. Creating a champions pool will provide a strong human face to TB to represent the NTP in advocacy initiatives. Also, TB Champions can serve as motivators and empower patients to address self-stigma. The TB Patient Hotline provides KAP access to information and services to resolve various needs surrounding their illness. This aims to increase knowledge on patient’s rights and identify </w:t>
            </w:r>
            <w:r w:rsidR="00412E24">
              <w:t>access points for quality TB care delivery and social risk protection benefits. Furthermore, stigma and discrimination among health care workers happen</w:t>
            </w:r>
            <w:r w:rsidR="00B77834">
              <w:t>s</w:t>
            </w:r>
            <w:r w:rsidR="00412E24">
              <w:t xml:space="preserve"> but is not well understood. An in-depth study will answer various knowledge gaps to help NTP design measures to remove these barriers and genuinely adopt people-centered care across all levels of the T</w:t>
            </w:r>
            <w:r w:rsidR="00B77834">
              <w:t>B</w:t>
            </w:r>
            <w:r w:rsidR="00412E24">
              <w:t xml:space="preserve"> care delivery system. </w:t>
            </w:r>
            <w:r>
              <w:t xml:space="preserve"> </w:t>
            </w:r>
            <w:r w:rsidRPr="0021156A">
              <w:t xml:space="preserve"> </w:t>
            </w:r>
          </w:p>
          <w:p w14:paraId="733225A3" w14:textId="44D04769" w:rsidR="002F38C0" w:rsidRPr="0021156A" w:rsidRDefault="002F38C0" w:rsidP="0021156A">
            <w:pPr>
              <w:spacing w:after="0"/>
            </w:pPr>
          </w:p>
        </w:tc>
      </w:tr>
      <w:tr w:rsidR="00AC7D1A" w:rsidRPr="007F7A64" w14:paraId="71F8BC77" w14:textId="77777777" w:rsidTr="00A07BC3">
        <w:trPr>
          <w:trHeight w:val="288"/>
        </w:trPr>
        <w:tc>
          <w:tcPr>
            <w:tcW w:w="2520" w:type="dxa"/>
            <w:shd w:val="clear" w:color="auto" w:fill="F2F2F2"/>
            <w:vAlign w:val="center"/>
          </w:tcPr>
          <w:p w14:paraId="1662F9C4" w14:textId="77777777" w:rsidR="00AC7D1A" w:rsidRPr="007F7A64" w:rsidRDefault="00AC7D1A" w:rsidP="00A07BC3">
            <w:pPr>
              <w:spacing w:after="0"/>
              <w:rPr>
                <w:b/>
              </w:rPr>
            </w:pPr>
            <w:r>
              <w:rPr>
                <w:b/>
              </w:rPr>
              <w:lastRenderedPageBreak/>
              <w:t>Rationale</w:t>
            </w:r>
          </w:p>
        </w:tc>
        <w:tc>
          <w:tcPr>
            <w:tcW w:w="8280" w:type="dxa"/>
          </w:tcPr>
          <w:p w14:paraId="16290AE8" w14:textId="64E59D3F" w:rsidR="00E140FE" w:rsidRDefault="00030097" w:rsidP="00A07BC3">
            <w:pPr>
              <w:spacing w:after="0"/>
            </w:pPr>
            <w:r>
              <w:t>T</w:t>
            </w:r>
            <w:r w:rsidR="00AC7D1A">
              <w:t xml:space="preserve">he high burden of TB unconsciously </w:t>
            </w:r>
            <w:r w:rsidR="00B77834">
              <w:t xml:space="preserve">prompted </w:t>
            </w:r>
            <w:r w:rsidR="00AC7D1A">
              <w:t xml:space="preserve">the DOH to be more clinical in its approach in implementing the national TB </w:t>
            </w:r>
            <w:r w:rsidR="006C728E">
              <w:t>program and</w:t>
            </w:r>
            <w:r w:rsidR="00B77834">
              <w:t xml:space="preserve"> ensuring that human </w:t>
            </w:r>
            <w:r w:rsidR="006C728E">
              <w:t>rights</w:t>
            </w:r>
            <w:r w:rsidR="00B77834">
              <w:t xml:space="preserve"> and gender related concerns and issues specific to vulnerable populations are addressed. </w:t>
            </w:r>
          </w:p>
          <w:p w14:paraId="2E5F93A7" w14:textId="77777777" w:rsidR="00E140FE" w:rsidRDefault="00E140FE" w:rsidP="00A07BC3">
            <w:pPr>
              <w:spacing w:after="0"/>
            </w:pPr>
          </w:p>
          <w:p w14:paraId="4BD1EEA2" w14:textId="77777777" w:rsidR="00B77834" w:rsidRDefault="00B77834" w:rsidP="00B77834">
            <w:pPr>
              <w:spacing w:after="0"/>
            </w:pPr>
            <w:r>
              <w:t>Furthermore, the high burden of TB promoted the DOH to be more clinical in its approach in implementing the national TB program and ensuring that human rights and gender related concerns and issues specific to vulnerable populations. For this FR, several interventions are being proposed to emphasize the value of managing the TB epidemic more holistically.</w:t>
            </w:r>
          </w:p>
          <w:p w14:paraId="162A5B2E" w14:textId="77777777" w:rsidR="00AC7D1A" w:rsidRPr="007F7A64" w:rsidRDefault="00AC7D1A" w:rsidP="00A07BC3">
            <w:pPr>
              <w:spacing w:after="0"/>
            </w:pPr>
            <w:r>
              <w:t xml:space="preserve"> </w:t>
            </w:r>
          </w:p>
        </w:tc>
      </w:tr>
      <w:tr w:rsidR="00AC7D1A" w:rsidRPr="007F7A64" w14:paraId="7008850B" w14:textId="77777777" w:rsidTr="00A07BC3">
        <w:trPr>
          <w:trHeight w:val="288"/>
        </w:trPr>
        <w:tc>
          <w:tcPr>
            <w:tcW w:w="2520" w:type="dxa"/>
            <w:shd w:val="clear" w:color="auto" w:fill="F2F2F2"/>
            <w:vAlign w:val="center"/>
          </w:tcPr>
          <w:p w14:paraId="6E630961" w14:textId="77777777" w:rsidR="00AC7D1A" w:rsidRPr="007F7A64" w:rsidRDefault="00AC7D1A" w:rsidP="00A07BC3">
            <w:pPr>
              <w:spacing w:after="0"/>
              <w:rPr>
                <w:b/>
              </w:rPr>
            </w:pPr>
            <w:r w:rsidRPr="007F7A64">
              <w:rPr>
                <w:b/>
              </w:rPr>
              <w:t xml:space="preserve">Expected </w:t>
            </w:r>
            <w:r>
              <w:rPr>
                <w:b/>
              </w:rPr>
              <w:t>Outcome</w:t>
            </w:r>
          </w:p>
        </w:tc>
        <w:tc>
          <w:tcPr>
            <w:tcW w:w="8280" w:type="dxa"/>
          </w:tcPr>
          <w:p w14:paraId="0C7586D1" w14:textId="77777777" w:rsidR="00AC7D1A" w:rsidRDefault="00AC7D1A" w:rsidP="00A07BC3">
            <w:pPr>
              <w:pStyle w:val="ListParagraph"/>
              <w:numPr>
                <w:ilvl w:val="0"/>
                <w:numId w:val="50"/>
              </w:numPr>
              <w:spacing w:after="0"/>
            </w:pPr>
            <w:r>
              <w:t>Functional TB speaker’</w:t>
            </w:r>
            <w:r w:rsidRPr="009E3DA0">
              <w:t>s bureau to advocate for the NTP</w:t>
            </w:r>
          </w:p>
          <w:p w14:paraId="13C1C78F" w14:textId="77777777" w:rsidR="00AC7D1A" w:rsidRDefault="00AC7D1A" w:rsidP="00A07BC3">
            <w:pPr>
              <w:pStyle w:val="ListParagraph"/>
              <w:numPr>
                <w:ilvl w:val="0"/>
                <w:numId w:val="50"/>
              </w:numPr>
              <w:spacing w:after="0"/>
            </w:pPr>
            <w:r>
              <w:t>Functional TB patient hotline with satisfactory client satisfaction results</w:t>
            </w:r>
          </w:p>
          <w:p w14:paraId="0C11854E" w14:textId="28F9D707" w:rsidR="00AC7D1A" w:rsidRDefault="00AC7D1A" w:rsidP="00A07BC3">
            <w:pPr>
              <w:pStyle w:val="ListParagraph"/>
              <w:numPr>
                <w:ilvl w:val="0"/>
                <w:numId w:val="50"/>
              </w:numPr>
              <w:spacing w:after="0"/>
            </w:pPr>
            <w:r>
              <w:t>Scaled-up implementation of TB in the Workplace</w:t>
            </w:r>
          </w:p>
          <w:p w14:paraId="13BAF1BA" w14:textId="2D9F9549" w:rsidR="00B77834" w:rsidRDefault="00B77834" w:rsidP="00A07BC3">
            <w:pPr>
              <w:pStyle w:val="ListParagraph"/>
              <w:numPr>
                <w:ilvl w:val="0"/>
                <w:numId w:val="50"/>
              </w:numPr>
              <w:spacing w:after="0"/>
            </w:pPr>
            <w:r>
              <w:t>More TB patients receive social protection from existing mechanism contributing reducing catastrophic cost</w:t>
            </w:r>
          </w:p>
          <w:p w14:paraId="1733B856" w14:textId="23B040FE" w:rsidR="00AC7D1A" w:rsidRDefault="00AC7D1A" w:rsidP="00A07BC3">
            <w:pPr>
              <w:pStyle w:val="ListParagraph"/>
              <w:numPr>
                <w:ilvl w:val="0"/>
                <w:numId w:val="50"/>
              </w:numPr>
              <w:spacing w:after="0"/>
            </w:pPr>
            <w:r>
              <w:t xml:space="preserve">More health care providers adopting people-centered approaches in delivering the TB care continuum. </w:t>
            </w:r>
          </w:p>
          <w:p w14:paraId="3BBA0326" w14:textId="5E2EEA88" w:rsidR="00E140FE" w:rsidRPr="009E3DA0" w:rsidRDefault="00E140FE" w:rsidP="00A07BC3">
            <w:pPr>
              <w:pStyle w:val="ListParagraph"/>
              <w:numPr>
                <w:ilvl w:val="0"/>
                <w:numId w:val="50"/>
              </w:numPr>
              <w:spacing w:after="0"/>
            </w:pPr>
            <w:r>
              <w:t xml:space="preserve">Comprehensive TB program for PDL </w:t>
            </w:r>
          </w:p>
          <w:p w14:paraId="36337B28" w14:textId="77777777" w:rsidR="00AC7D1A" w:rsidRPr="007F7A64" w:rsidRDefault="00AC7D1A" w:rsidP="00A07BC3">
            <w:pPr>
              <w:spacing w:after="0"/>
            </w:pPr>
          </w:p>
        </w:tc>
      </w:tr>
      <w:tr w:rsidR="00AC7D1A" w:rsidRPr="007F7A64" w14:paraId="512C420A" w14:textId="77777777" w:rsidTr="00A07BC3">
        <w:trPr>
          <w:trHeight w:val="288"/>
        </w:trPr>
        <w:tc>
          <w:tcPr>
            <w:tcW w:w="2520" w:type="dxa"/>
            <w:shd w:val="clear" w:color="auto" w:fill="F2F2F2"/>
            <w:vAlign w:val="center"/>
          </w:tcPr>
          <w:p w14:paraId="11E4FD32" w14:textId="77777777" w:rsidR="00AC7D1A" w:rsidRPr="00C44844" w:rsidRDefault="00AC7D1A" w:rsidP="00A07BC3">
            <w:pPr>
              <w:spacing w:after="0"/>
              <w:rPr>
                <w:b/>
              </w:rPr>
            </w:pPr>
            <w:r w:rsidRPr="007F7A64">
              <w:rPr>
                <w:b/>
              </w:rPr>
              <w:t>Expected Investment</w:t>
            </w:r>
          </w:p>
        </w:tc>
        <w:tc>
          <w:tcPr>
            <w:tcW w:w="8280" w:type="dxa"/>
          </w:tcPr>
          <w:p w14:paraId="4EB6ECFA" w14:textId="2C6607C5" w:rsidR="00AC7D1A" w:rsidRPr="00F21724" w:rsidRDefault="00AC7D1A" w:rsidP="00A07BC3">
            <w:pPr>
              <w:spacing w:after="0"/>
              <w:rPr>
                <w:b/>
                <w:bCs/>
              </w:rPr>
            </w:pPr>
            <w:r w:rsidRPr="00F21724">
              <w:rPr>
                <w:b/>
                <w:bCs/>
              </w:rPr>
              <w:t xml:space="preserve">USD </w:t>
            </w:r>
            <w:r w:rsidR="00E140FE" w:rsidRPr="00F21724">
              <w:rPr>
                <w:b/>
                <w:bCs/>
              </w:rPr>
              <w:t>1</w:t>
            </w:r>
            <w:r w:rsidR="00F21724" w:rsidRPr="00F21724">
              <w:rPr>
                <w:b/>
                <w:bCs/>
              </w:rPr>
              <w:t>,0</w:t>
            </w:r>
            <w:r w:rsidR="00FE4242">
              <w:rPr>
                <w:b/>
                <w:bCs/>
              </w:rPr>
              <w:t>24,558</w:t>
            </w:r>
          </w:p>
          <w:p w14:paraId="18D226EE" w14:textId="3AE3C2DA" w:rsidR="00C23D32" w:rsidRPr="007F7A64" w:rsidRDefault="00C23D32" w:rsidP="00A07BC3">
            <w:pPr>
              <w:spacing w:after="0"/>
            </w:pPr>
          </w:p>
        </w:tc>
      </w:tr>
    </w:tbl>
    <w:p w14:paraId="05C46C54" w14:textId="77777777" w:rsidR="00AC7D1A" w:rsidRPr="008C21CF" w:rsidRDefault="00AC7D1A" w:rsidP="009B6C0D">
      <w:pPr>
        <w:spacing w:after="0"/>
        <w:rPr>
          <w:i/>
          <w:sz w:val="16"/>
          <w:szCs w:val="16"/>
        </w:rPr>
      </w:pPr>
    </w:p>
    <w:p w14:paraId="3A68BD05" w14:textId="77777777" w:rsidR="00F22610" w:rsidRDefault="00F22610" w:rsidP="009B6C0D">
      <w:pPr>
        <w:spacing w:after="0" w:line="0" w:lineRule="auto"/>
        <w:rPr>
          <w:rFonts w:eastAsia="Calibri"/>
          <w:b/>
        </w:rPr>
      </w:pPr>
      <w:r>
        <w:rPr>
          <w:rFonts w:eastAsia="Calibri"/>
          <w:b/>
        </w:rPr>
        <w:br w:type="page"/>
      </w:r>
    </w:p>
    <w:p w14:paraId="152E54C8" w14:textId="113D1D2A" w:rsidR="0017600E" w:rsidRPr="009B6C0D" w:rsidRDefault="0017600E" w:rsidP="00E07C20">
      <w:pPr>
        <w:pStyle w:val="ListParagraph"/>
        <w:numPr>
          <w:ilvl w:val="0"/>
          <w:numId w:val="20"/>
        </w:numPr>
        <w:spacing w:after="0" w:line="240" w:lineRule="auto"/>
        <w:ind w:left="450" w:hanging="450"/>
        <w:jc w:val="both"/>
        <w:rPr>
          <w:bCs/>
          <w:iCs/>
        </w:rPr>
      </w:pPr>
      <w:r w:rsidRPr="004F1255">
        <w:lastRenderedPageBreak/>
        <w:t xml:space="preserve">Does any aspect of this funding request </w:t>
      </w:r>
      <w:r w:rsidR="000D0B32" w:rsidRPr="004F1255">
        <w:t xml:space="preserve">use </w:t>
      </w:r>
      <w:r w:rsidRPr="004F1255">
        <w:t xml:space="preserve">a </w:t>
      </w:r>
      <w:r w:rsidR="00CA301B" w:rsidRPr="002F3609">
        <w:rPr>
          <w:b/>
        </w:rPr>
        <w:t>P</w:t>
      </w:r>
      <w:r w:rsidRPr="002F3609">
        <w:rPr>
          <w:b/>
        </w:rPr>
        <w:t>ayment</w:t>
      </w:r>
      <w:r w:rsidR="00CA301B" w:rsidRPr="002F3609">
        <w:rPr>
          <w:b/>
        </w:rPr>
        <w:t xml:space="preserve"> </w:t>
      </w:r>
      <w:r w:rsidRPr="002F3609">
        <w:rPr>
          <w:b/>
        </w:rPr>
        <w:t>for</w:t>
      </w:r>
      <w:r w:rsidR="00CA301B" w:rsidRPr="002F3609">
        <w:rPr>
          <w:b/>
        </w:rPr>
        <w:t xml:space="preserve"> R</w:t>
      </w:r>
      <w:r w:rsidRPr="002F3609">
        <w:rPr>
          <w:b/>
        </w:rPr>
        <w:t>esults</w:t>
      </w:r>
      <w:r w:rsidRPr="004F1255">
        <w:t xml:space="preserve"> </w:t>
      </w:r>
      <w:r w:rsidR="00172A9E">
        <w:t>modality</w:t>
      </w:r>
      <w:r w:rsidRPr="004F1255">
        <w:t xml:space="preserve">? </w:t>
      </w:r>
    </w:p>
    <w:p w14:paraId="3970E730" w14:textId="77777777" w:rsidR="009B6C0D" w:rsidRPr="004F1255" w:rsidRDefault="009B6C0D" w:rsidP="009B6C0D">
      <w:pPr>
        <w:pStyle w:val="ListParagraph"/>
        <w:spacing w:after="0" w:line="240" w:lineRule="auto"/>
        <w:ind w:left="450"/>
        <w:jc w:val="both"/>
        <w:rPr>
          <w:bCs/>
          <w:iCs/>
        </w:rPr>
      </w:pPr>
    </w:p>
    <w:p w14:paraId="2D773E12" w14:textId="53FED4BC" w:rsidR="0017600E" w:rsidRDefault="002975A4" w:rsidP="009B6C0D">
      <w:pPr>
        <w:pStyle w:val="ListParagraph"/>
        <w:spacing w:after="0"/>
      </w:pPr>
      <w:sdt>
        <w:sdtPr>
          <w:rPr>
            <w:rFonts w:eastAsia="MS Gothic"/>
          </w:rPr>
          <w:id w:val="1477947221"/>
          <w14:checkbox>
            <w14:checked w14:val="0"/>
            <w14:checkedState w14:val="2612" w14:font="MS Gothic"/>
            <w14:uncheckedState w14:val="2610" w14:font="MS Gothic"/>
          </w14:checkbox>
        </w:sdtPr>
        <w:sdtEndPr/>
        <w:sdtContent>
          <w:r w:rsidR="009B6C0D">
            <w:rPr>
              <w:rFonts w:ascii="MS Gothic" w:eastAsia="MS Gothic" w:hAnsi="MS Gothic" w:hint="eastAsia"/>
            </w:rPr>
            <w:t>☐</w:t>
          </w:r>
        </w:sdtContent>
      </w:sdt>
      <w:r w:rsidR="0017600E" w:rsidRPr="005305D5">
        <w:t xml:space="preserve"> Yes         </w:t>
      </w:r>
      <w:sdt>
        <w:sdtPr>
          <w:id w:val="-1054162004"/>
          <w14:checkbox>
            <w14:checked w14:val="1"/>
            <w14:checkedState w14:val="2612" w14:font="MS Gothic"/>
            <w14:uncheckedState w14:val="2610" w14:font="MS Gothic"/>
          </w14:checkbox>
        </w:sdtPr>
        <w:sdtEndPr/>
        <w:sdtContent>
          <w:r w:rsidR="00E477AC">
            <w:rPr>
              <w:rFonts w:ascii="MS Gothic" w:eastAsia="MS Gothic" w:hAnsi="MS Gothic" w:hint="eastAsia"/>
            </w:rPr>
            <w:t>☒</w:t>
          </w:r>
        </w:sdtContent>
      </w:sdt>
      <w:r w:rsidR="0017600E" w:rsidRPr="005305D5">
        <w:t xml:space="preserve"> No</w:t>
      </w:r>
    </w:p>
    <w:p w14:paraId="296220E8" w14:textId="77777777" w:rsidR="009B6C0D" w:rsidRDefault="009B6C0D" w:rsidP="009B6C0D">
      <w:pPr>
        <w:pStyle w:val="ListParagraph"/>
        <w:spacing w:after="0"/>
      </w:pPr>
    </w:p>
    <w:p w14:paraId="529501F8" w14:textId="327039E2" w:rsidR="0017600E" w:rsidRDefault="0017600E" w:rsidP="009B6C0D">
      <w:pPr>
        <w:tabs>
          <w:tab w:val="left" w:pos="360"/>
        </w:tabs>
        <w:spacing w:after="0" w:line="240" w:lineRule="auto"/>
        <w:ind w:left="360"/>
        <w:jc w:val="both"/>
      </w:pPr>
      <w:r w:rsidRPr="00B271DB">
        <w:rPr>
          <w:b/>
        </w:rPr>
        <w:t>If yes</w:t>
      </w:r>
      <w:r w:rsidRPr="00B271DB">
        <w:t>, in the table below</w:t>
      </w:r>
      <w:r w:rsidR="00CA301B">
        <w:t>, indicate</w:t>
      </w:r>
      <w:r w:rsidRPr="00B271DB">
        <w:t xml:space="preserve"> the relevant performance indicators</w:t>
      </w:r>
      <w:r w:rsidR="008D252C">
        <w:t xml:space="preserve"> and</w:t>
      </w:r>
      <w:r w:rsidRPr="00B271DB">
        <w:t xml:space="preserve"> rationale for the choice of performance indicators and</w:t>
      </w:r>
      <w:r w:rsidR="00E97A2E">
        <w:t>/or milestones.</w:t>
      </w:r>
      <w:r w:rsidRPr="00B271DB">
        <w:t xml:space="preserve"> </w:t>
      </w:r>
    </w:p>
    <w:p w14:paraId="16695AA9" w14:textId="77777777" w:rsidR="009B6C0D" w:rsidRPr="00B271DB" w:rsidRDefault="009B6C0D" w:rsidP="009B6C0D">
      <w:pPr>
        <w:tabs>
          <w:tab w:val="left" w:pos="360"/>
        </w:tabs>
        <w:spacing w:after="0" w:line="240" w:lineRule="auto"/>
        <w:ind w:left="360"/>
        <w:jc w:val="both"/>
        <w:rPr>
          <w:bCs/>
          <w:iCs/>
        </w:rPr>
      </w:pPr>
    </w:p>
    <w:tbl>
      <w:tblPr>
        <w:tblW w:w="10774" w:type="dxa"/>
        <w:tblInd w:w="-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2136"/>
        <w:gridCol w:w="1183"/>
        <w:gridCol w:w="1183"/>
        <w:gridCol w:w="1183"/>
        <w:gridCol w:w="1184"/>
        <w:gridCol w:w="1170"/>
        <w:gridCol w:w="2735"/>
      </w:tblGrid>
      <w:tr w:rsidR="0017600E" w:rsidRPr="005305D5" w14:paraId="7A5003C1" w14:textId="77777777" w:rsidTr="00EC4612">
        <w:trPr>
          <w:trHeight w:val="323"/>
        </w:trPr>
        <w:tc>
          <w:tcPr>
            <w:tcW w:w="2136" w:type="dxa"/>
            <w:vMerge w:val="restart"/>
            <w:tcBorders>
              <w:top w:val="single" w:sz="4" w:space="0" w:color="808080" w:themeColor="background1" w:themeShade="80"/>
              <w:left w:val="single" w:sz="4" w:space="0" w:color="808080" w:themeColor="background1" w:themeShade="80"/>
            </w:tcBorders>
            <w:shd w:val="clear" w:color="auto" w:fill="D9D9D9" w:themeFill="background1" w:themeFillShade="D9"/>
            <w:vAlign w:val="center"/>
          </w:tcPr>
          <w:p w14:paraId="009401FC" w14:textId="77777777" w:rsidR="0017600E" w:rsidRPr="00EC4612" w:rsidRDefault="0017600E" w:rsidP="009B6C0D">
            <w:pPr>
              <w:spacing w:after="0"/>
              <w:jc w:val="center"/>
              <w:rPr>
                <w:b/>
              </w:rPr>
            </w:pPr>
            <w:r w:rsidRPr="00EC4612">
              <w:rPr>
                <w:b/>
              </w:rPr>
              <w:t>Performance indicator or milestone</w:t>
            </w:r>
          </w:p>
        </w:tc>
        <w:tc>
          <w:tcPr>
            <w:tcW w:w="4733" w:type="dxa"/>
            <w:gridSpan w:val="4"/>
            <w:tcBorders>
              <w:top w:val="single" w:sz="4" w:space="0" w:color="808080" w:themeColor="background1" w:themeShade="80"/>
            </w:tcBorders>
            <w:shd w:val="clear" w:color="auto" w:fill="D9D9D9" w:themeFill="background1" w:themeFillShade="D9"/>
            <w:vAlign w:val="center"/>
          </w:tcPr>
          <w:p w14:paraId="491CC317" w14:textId="77777777" w:rsidR="0017600E" w:rsidRPr="00EC4612" w:rsidRDefault="0017600E" w:rsidP="009B6C0D">
            <w:pPr>
              <w:spacing w:after="0"/>
              <w:jc w:val="center"/>
              <w:rPr>
                <w:b/>
              </w:rPr>
            </w:pPr>
            <w:r w:rsidRPr="00EC4612">
              <w:rPr>
                <w:b/>
              </w:rPr>
              <w:t>Target</w:t>
            </w:r>
          </w:p>
        </w:tc>
        <w:tc>
          <w:tcPr>
            <w:tcW w:w="3905" w:type="dxa"/>
            <w:gridSpan w:val="2"/>
            <w:vMerge w:val="restart"/>
            <w:tcBorders>
              <w:top w:val="single" w:sz="4" w:space="0" w:color="808080" w:themeColor="background1" w:themeShade="80"/>
              <w:right w:val="single" w:sz="4" w:space="0" w:color="808080" w:themeColor="background1" w:themeShade="80"/>
            </w:tcBorders>
            <w:shd w:val="clear" w:color="auto" w:fill="D9D9D9" w:themeFill="background1" w:themeFillShade="D9"/>
            <w:vAlign w:val="center"/>
          </w:tcPr>
          <w:p w14:paraId="6F751914" w14:textId="77777777" w:rsidR="0017600E" w:rsidRPr="00EC4612" w:rsidRDefault="0017600E" w:rsidP="009B6C0D">
            <w:pPr>
              <w:spacing w:after="0"/>
              <w:jc w:val="center"/>
              <w:rPr>
                <w:b/>
              </w:rPr>
            </w:pPr>
            <w:r w:rsidRPr="00EC4612">
              <w:rPr>
                <w:b/>
              </w:rPr>
              <w:t>Rationale for the indicator/milestone selection for Global Fund funding</w:t>
            </w:r>
          </w:p>
        </w:tc>
      </w:tr>
      <w:tr w:rsidR="0017600E" w:rsidRPr="005305D5" w14:paraId="7291844D" w14:textId="77777777" w:rsidTr="00EC4612">
        <w:trPr>
          <w:trHeight w:val="322"/>
        </w:trPr>
        <w:tc>
          <w:tcPr>
            <w:tcW w:w="2136" w:type="dxa"/>
            <w:vMerge/>
            <w:tcBorders>
              <w:left w:val="single" w:sz="4" w:space="0" w:color="808080" w:themeColor="background1" w:themeShade="80"/>
            </w:tcBorders>
            <w:shd w:val="clear" w:color="auto" w:fill="F2F2F2" w:themeFill="background1" w:themeFillShade="F2"/>
            <w:vAlign w:val="center"/>
          </w:tcPr>
          <w:p w14:paraId="6AAD0E1A" w14:textId="77777777" w:rsidR="0017600E" w:rsidRPr="005305D5" w:rsidRDefault="0017600E" w:rsidP="009B6C0D">
            <w:pPr>
              <w:spacing w:after="0"/>
            </w:pPr>
          </w:p>
        </w:tc>
        <w:tc>
          <w:tcPr>
            <w:tcW w:w="1183" w:type="dxa"/>
            <w:shd w:val="clear" w:color="auto" w:fill="D9D9D9" w:themeFill="background1" w:themeFillShade="D9"/>
            <w:vAlign w:val="center"/>
          </w:tcPr>
          <w:p w14:paraId="0C02F98E" w14:textId="77777777" w:rsidR="0017600E" w:rsidRPr="00EC4612" w:rsidRDefault="0017600E" w:rsidP="009B6C0D">
            <w:pPr>
              <w:spacing w:after="0"/>
              <w:jc w:val="center"/>
              <w:rPr>
                <w:b/>
              </w:rPr>
            </w:pPr>
            <w:r w:rsidRPr="00EC4612">
              <w:rPr>
                <w:b/>
              </w:rPr>
              <w:t>Baseline</w:t>
            </w:r>
          </w:p>
        </w:tc>
        <w:tc>
          <w:tcPr>
            <w:tcW w:w="1183" w:type="dxa"/>
            <w:shd w:val="clear" w:color="auto" w:fill="D9D9D9" w:themeFill="background1" w:themeFillShade="D9"/>
            <w:vAlign w:val="center"/>
          </w:tcPr>
          <w:p w14:paraId="692C6498" w14:textId="77777777" w:rsidR="0017600E" w:rsidRPr="00EC4612" w:rsidRDefault="0017600E" w:rsidP="009B6C0D">
            <w:pPr>
              <w:spacing w:after="0"/>
              <w:jc w:val="center"/>
              <w:rPr>
                <w:b/>
              </w:rPr>
            </w:pPr>
            <w:r w:rsidRPr="00EC4612">
              <w:rPr>
                <w:b/>
              </w:rPr>
              <w:t>Y1</w:t>
            </w:r>
          </w:p>
        </w:tc>
        <w:tc>
          <w:tcPr>
            <w:tcW w:w="1183" w:type="dxa"/>
            <w:shd w:val="clear" w:color="auto" w:fill="D9D9D9" w:themeFill="background1" w:themeFillShade="D9"/>
            <w:vAlign w:val="center"/>
          </w:tcPr>
          <w:p w14:paraId="671C1B45" w14:textId="77777777" w:rsidR="0017600E" w:rsidRPr="00EC4612" w:rsidRDefault="0017600E" w:rsidP="009B6C0D">
            <w:pPr>
              <w:spacing w:after="0"/>
              <w:jc w:val="center"/>
              <w:rPr>
                <w:b/>
              </w:rPr>
            </w:pPr>
            <w:r w:rsidRPr="00EC4612">
              <w:rPr>
                <w:b/>
              </w:rPr>
              <w:t>Y2</w:t>
            </w:r>
          </w:p>
        </w:tc>
        <w:tc>
          <w:tcPr>
            <w:tcW w:w="1184" w:type="dxa"/>
            <w:shd w:val="clear" w:color="auto" w:fill="D9D9D9" w:themeFill="background1" w:themeFillShade="D9"/>
            <w:vAlign w:val="center"/>
          </w:tcPr>
          <w:p w14:paraId="3C4F102A" w14:textId="77777777" w:rsidR="0017600E" w:rsidRPr="00EC4612" w:rsidRDefault="0017600E" w:rsidP="009B6C0D">
            <w:pPr>
              <w:spacing w:after="0"/>
              <w:jc w:val="center"/>
              <w:rPr>
                <w:b/>
              </w:rPr>
            </w:pPr>
            <w:r w:rsidRPr="00EC4612">
              <w:rPr>
                <w:b/>
              </w:rPr>
              <w:t>Y3</w:t>
            </w:r>
          </w:p>
        </w:tc>
        <w:tc>
          <w:tcPr>
            <w:tcW w:w="3905" w:type="dxa"/>
            <w:gridSpan w:val="2"/>
            <w:vMerge/>
            <w:tcBorders>
              <w:right w:val="single" w:sz="4" w:space="0" w:color="808080" w:themeColor="background1" w:themeShade="80"/>
            </w:tcBorders>
            <w:shd w:val="clear" w:color="auto" w:fill="F2F2F2" w:themeFill="background1" w:themeFillShade="F2"/>
          </w:tcPr>
          <w:p w14:paraId="402BFCE4" w14:textId="77777777" w:rsidR="0017600E" w:rsidRPr="005305D5" w:rsidRDefault="0017600E" w:rsidP="009B6C0D">
            <w:pPr>
              <w:spacing w:after="0"/>
            </w:pPr>
          </w:p>
        </w:tc>
      </w:tr>
      <w:tr w:rsidR="0017600E" w:rsidRPr="005305D5" w14:paraId="39980912" w14:textId="77777777" w:rsidTr="007543E4">
        <w:trPr>
          <w:trHeight w:val="522"/>
        </w:trPr>
        <w:tc>
          <w:tcPr>
            <w:tcW w:w="2136" w:type="dxa"/>
            <w:tcBorders>
              <w:left w:val="single" w:sz="4" w:space="0" w:color="808080" w:themeColor="background1" w:themeShade="80"/>
            </w:tcBorders>
            <w:vAlign w:val="center"/>
          </w:tcPr>
          <w:p w14:paraId="538D7721" w14:textId="77777777" w:rsidR="0017600E" w:rsidRPr="005305D5" w:rsidRDefault="0017600E" w:rsidP="009B6C0D">
            <w:pPr>
              <w:pStyle w:val="ListParagraph"/>
              <w:spacing w:after="0"/>
            </w:pPr>
          </w:p>
        </w:tc>
        <w:tc>
          <w:tcPr>
            <w:tcW w:w="1183" w:type="dxa"/>
            <w:shd w:val="clear" w:color="auto" w:fill="FFFFFF" w:themeFill="text2" w:themeFillTint="33"/>
            <w:vAlign w:val="center"/>
          </w:tcPr>
          <w:p w14:paraId="75202240" w14:textId="77777777" w:rsidR="0017600E" w:rsidRPr="005305D5" w:rsidRDefault="0017600E" w:rsidP="009B6C0D">
            <w:pPr>
              <w:pStyle w:val="ListParagraph"/>
              <w:spacing w:after="0"/>
            </w:pPr>
          </w:p>
        </w:tc>
        <w:tc>
          <w:tcPr>
            <w:tcW w:w="1183" w:type="dxa"/>
            <w:shd w:val="clear" w:color="auto" w:fill="FFFFFF" w:themeFill="text2" w:themeFillTint="33"/>
            <w:vAlign w:val="center"/>
          </w:tcPr>
          <w:p w14:paraId="6CCED55A" w14:textId="77777777" w:rsidR="0017600E" w:rsidRPr="005305D5" w:rsidRDefault="0017600E" w:rsidP="009B6C0D">
            <w:pPr>
              <w:pStyle w:val="ListParagraph"/>
              <w:spacing w:after="0"/>
            </w:pPr>
          </w:p>
        </w:tc>
        <w:tc>
          <w:tcPr>
            <w:tcW w:w="1183" w:type="dxa"/>
            <w:shd w:val="clear" w:color="auto" w:fill="FFFFFF" w:themeFill="text2" w:themeFillTint="33"/>
            <w:vAlign w:val="center"/>
          </w:tcPr>
          <w:p w14:paraId="55DBD14F" w14:textId="77777777" w:rsidR="0017600E" w:rsidRPr="005305D5" w:rsidRDefault="0017600E" w:rsidP="009B6C0D">
            <w:pPr>
              <w:pStyle w:val="ListParagraph"/>
              <w:spacing w:after="0"/>
            </w:pPr>
          </w:p>
        </w:tc>
        <w:tc>
          <w:tcPr>
            <w:tcW w:w="1184" w:type="dxa"/>
            <w:shd w:val="clear" w:color="auto" w:fill="FFFFFF" w:themeFill="text2" w:themeFillTint="33"/>
            <w:vAlign w:val="center"/>
          </w:tcPr>
          <w:p w14:paraId="6CF9A807" w14:textId="77777777" w:rsidR="0017600E" w:rsidRPr="005305D5" w:rsidRDefault="0017600E" w:rsidP="009B6C0D">
            <w:pPr>
              <w:pStyle w:val="ListParagraph"/>
              <w:spacing w:after="0"/>
            </w:pPr>
          </w:p>
        </w:tc>
        <w:tc>
          <w:tcPr>
            <w:tcW w:w="3905" w:type="dxa"/>
            <w:gridSpan w:val="2"/>
            <w:tcBorders>
              <w:right w:val="single" w:sz="4" w:space="0" w:color="808080" w:themeColor="background1" w:themeShade="80"/>
            </w:tcBorders>
            <w:vAlign w:val="center"/>
          </w:tcPr>
          <w:p w14:paraId="40AFF6B3" w14:textId="77777777" w:rsidR="0017600E" w:rsidRPr="005305D5" w:rsidRDefault="0017600E" w:rsidP="009B6C0D">
            <w:pPr>
              <w:spacing w:after="0"/>
            </w:pPr>
          </w:p>
        </w:tc>
      </w:tr>
      <w:tr w:rsidR="0017600E" w:rsidRPr="005305D5" w14:paraId="724B5D76" w14:textId="77777777" w:rsidTr="007543E4">
        <w:trPr>
          <w:trHeight w:val="559"/>
        </w:trPr>
        <w:tc>
          <w:tcPr>
            <w:tcW w:w="2136" w:type="dxa"/>
            <w:tcBorders>
              <w:left w:val="single" w:sz="4" w:space="0" w:color="808080" w:themeColor="background1" w:themeShade="80"/>
            </w:tcBorders>
            <w:vAlign w:val="center"/>
          </w:tcPr>
          <w:p w14:paraId="18A0BB6D" w14:textId="77777777" w:rsidR="0017600E" w:rsidRPr="005305D5" w:rsidRDefault="0017600E" w:rsidP="009B6C0D">
            <w:pPr>
              <w:pStyle w:val="ListParagraph"/>
              <w:spacing w:after="0"/>
            </w:pPr>
          </w:p>
        </w:tc>
        <w:tc>
          <w:tcPr>
            <w:tcW w:w="1183" w:type="dxa"/>
            <w:shd w:val="clear" w:color="auto" w:fill="FFFFFF" w:themeFill="text2" w:themeFillTint="33"/>
            <w:vAlign w:val="center"/>
          </w:tcPr>
          <w:p w14:paraId="69430DCD" w14:textId="77777777" w:rsidR="0017600E" w:rsidRPr="005305D5" w:rsidRDefault="0017600E" w:rsidP="009B6C0D">
            <w:pPr>
              <w:pStyle w:val="ListParagraph"/>
              <w:spacing w:after="0"/>
            </w:pPr>
          </w:p>
        </w:tc>
        <w:tc>
          <w:tcPr>
            <w:tcW w:w="1183" w:type="dxa"/>
            <w:shd w:val="clear" w:color="auto" w:fill="FFFFFF" w:themeFill="text2" w:themeFillTint="33"/>
            <w:vAlign w:val="center"/>
          </w:tcPr>
          <w:p w14:paraId="4C755D12" w14:textId="77777777" w:rsidR="0017600E" w:rsidRPr="005305D5" w:rsidRDefault="0017600E" w:rsidP="009B6C0D">
            <w:pPr>
              <w:pStyle w:val="ListParagraph"/>
              <w:spacing w:after="0"/>
            </w:pPr>
          </w:p>
        </w:tc>
        <w:tc>
          <w:tcPr>
            <w:tcW w:w="1183" w:type="dxa"/>
            <w:shd w:val="clear" w:color="auto" w:fill="FFFFFF" w:themeFill="text2" w:themeFillTint="33"/>
            <w:vAlign w:val="center"/>
          </w:tcPr>
          <w:p w14:paraId="4D804F15" w14:textId="77777777" w:rsidR="0017600E" w:rsidRPr="005305D5" w:rsidRDefault="0017600E" w:rsidP="009B6C0D">
            <w:pPr>
              <w:pStyle w:val="ListParagraph"/>
              <w:spacing w:after="0"/>
            </w:pPr>
          </w:p>
        </w:tc>
        <w:tc>
          <w:tcPr>
            <w:tcW w:w="1184" w:type="dxa"/>
            <w:shd w:val="clear" w:color="auto" w:fill="FFFFFF" w:themeFill="text2" w:themeFillTint="33"/>
            <w:vAlign w:val="center"/>
          </w:tcPr>
          <w:p w14:paraId="4E66C6C6" w14:textId="77777777" w:rsidR="0017600E" w:rsidRPr="005305D5" w:rsidRDefault="0017600E" w:rsidP="009B6C0D">
            <w:pPr>
              <w:pStyle w:val="ListParagraph"/>
              <w:spacing w:after="0"/>
            </w:pPr>
          </w:p>
        </w:tc>
        <w:tc>
          <w:tcPr>
            <w:tcW w:w="3905" w:type="dxa"/>
            <w:gridSpan w:val="2"/>
            <w:tcBorders>
              <w:right w:val="single" w:sz="4" w:space="0" w:color="808080" w:themeColor="background1" w:themeShade="80"/>
            </w:tcBorders>
            <w:vAlign w:val="center"/>
          </w:tcPr>
          <w:p w14:paraId="57E47438" w14:textId="77777777" w:rsidR="0017600E" w:rsidRPr="005305D5" w:rsidRDefault="0017600E" w:rsidP="009B6C0D">
            <w:pPr>
              <w:spacing w:after="0"/>
            </w:pPr>
          </w:p>
        </w:tc>
      </w:tr>
      <w:tr w:rsidR="0017600E" w:rsidRPr="005305D5" w14:paraId="6B767103" w14:textId="77777777" w:rsidTr="007543E4">
        <w:trPr>
          <w:trHeight w:val="553"/>
        </w:trPr>
        <w:tc>
          <w:tcPr>
            <w:tcW w:w="2136" w:type="dxa"/>
            <w:tcBorders>
              <w:left w:val="single" w:sz="4" w:space="0" w:color="808080" w:themeColor="background1" w:themeShade="80"/>
            </w:tcBorders>
            <w:vAlign w:val="center"/>
          </w:tcPr>
          <w:p w14:paraId="504D5EE5" w14:textId="77777777" w:rsidR="0017600E" w:rsidRPr="005305D5" w:rsidRDefault="0017600E" w:rsidP="009B6C0D">
            <w:pPr>
              <w:pStyle w:val="ListParagraph"/>
              <w:spacing w:after="0"/>
              <w:rPr>
                <w:b/>
                <w:bCs/>
                <w:i/>
                <w:iCs/>
              </w:rPr>
            </w:pPr>
            <w:r w:rsidRPr="005305D5">
              <w:t>Add rows if necessary</w:t>
            </w:r>
          </w:p>
        </w:tc>
        <w:tc>
          <w:tcPr>
            <w:tcW w:w="1183" w:type="dxa"/>
            <w:shd w:val="clear" w:color="auto" w:fill="FFFFFF" w:themeFill="text2" w:themeFillTint="33"/>
            <w:vAlign w:val="center"/>
          </w:tcPr>
          <w:p w14:paraId="433E47BD" w14:textId="77777777" w:rsidR="0017600E" w:rsidRPr="005305D5" w:rsidRDefault="0017600E" w:rsidP="009B6C0D">
            <w:pPr>
              <w:pStyle w:val="ListParagraph"/>
              <w:spacing w:after="0"/>
            </w:pPr>
          </w:p>
        </w:tc>
        <w:tc>
          <w:tcPr>
            <w:tcW w:w="1183" w:type="dxa"/>
            <w:shd w:val="clear" w:color="auto" w:fill="FFFFFF" w:themeFill="text2" w:themeFillTint="33"/>
            <w:vAlign w:val="center"/>
          </w:tcPr>
          <w:p w14:paraId="4753019D" w14:textId="77777777" w:rsidR="0017600E" w:rsidRPr="005305D5" w:rsidRDefault="0017600E" w:rsidP="009B6C0D">
            <w:pPr>
              <w:pStyle w:val="ListParagraph"/>
              <w:spacing w:after="0"/>
            </w:pPr>
          </w:p>
        </w:tc>
        <w:tc>
          <w:tcPr>
            <w:tcW w:w="1183" w:type="dxa"/>
            <w:shd w:val="clear" w:color="auto" w:fill="FFFFFF" w:themeFill="text2" w:themeFillTint="33"/>
            <w:vAlign w:val="center"/>
          </w:tcPr>
          <w:p w14:paraId="5671C9B6" w14:textId="77777777" w:rsidR="0017600E" w:rsidRPr="005305D5" w:rsidRDefault="0017600E" w:rsidP="009B6C0D">
            <w:pPr>
              <w:pStyle w:val="ListParagraph"/>
              <w:spacing w:after="0"/>
            </w:pPr>
          </w:p>
        </w:tc>
        <w:tc>
          <w:tcPr>
            <w:tcW w:w="1184" w:type="dxa"/>
            <w:shd w:val="clear" w:color="auto" w:fill="FFFFFF" w:themeFill="text2" w:themeFillTint="33"/>
            <w:vAlign w:val="center"/>
          </w:tcPr>
          <w:p w14:paraId="6654379D" w14:textId="77777777" w:rsidR="0017600E" w:rsidRPr="005305D5" w:rsidRDefault="0017600E" w:rsidP="009B6C0D">
            <w:pPr>
              <w:pStyle w:val="ListParagraph"/>
              <w:spacing w:after="0"/>
            </w:pPr>
          </w:p>
        </w:tc>
        <w:tc>
          <w:tcPr>
            <w:tcW w:w="3905" w:type="dxa"/>
            <w:gridSpan w:val="2"/>
            <w:tcBorders>
              <w:right w:val="single" w:sz="4" w:space="0" w:color="808080" w:themeColor="background1" w:themeShade="80"/>
            </w:tcBorders>
            <w:vAlign w:val="center"/>
          </w:tcPr>
          <w:p w14:paraId="47E65C79" w14:textId="77777777" w:rsidR="0017600E" w:rsidRPr="005305D5" w:rsidRDefault="0017600E" w:rsidP="009B6C0D">
            <w:pPr>
              <w:spacing w:after="0"/>
            </w:pPr>
          </w:p>
        </w:tc>
      </w:tr>
      <w:tr w:rsidR="004F1255" w:rsidRPr="005305D5" w14:paraId="6CDAB9C2" w14:textId="77777777" w:rsidTr="004F1255">
        <w:trPr>
          <w:trHeight w:val="553"/>
        </w:trPr>
        <w:tc>
          <w:tcPr>
            <w:tcW w:w="8039" w:type="dxa"/>
            <w:gridSpan w:val="6"/>
            <w:tcBorders>
              <w:left w:val="single" w:sz="4" w:space="0" w:color="808080" w:themeColor="background1" w:themeShade="80"/>
            </w:tcBorders>
            <w:shd w:val="clear" w:color="auto" w:fill="D9D9D9" w:themeFill="background1" w:themeFillShade="D9"/>
            <w:vAlign w:val="center"/>
          </w:tcPr>
          <w:p w14:paraId="74B19AC5" w14:textId="611E65D4" w:rsidR="004F1255" w:rsidRPr="004F1255" w:rsidRDefault="004F1255" w:rsidP="009B6C0D">
            <w:pPr>
              <w:spacing w:after="0"/>
              <w:jc w:val="right"/>
              <w:rPr>
                <w:b/>
              </w:rPr>
            </w:pPr>
            <w:r w:rsidRPr="004F1255">
              <w:rPr>
                <w:b/>
              </w:rPr>
              <w:t>Total amount requested from the Global Fund</w:t>
            </w:r>
          </w:p>
        </w:tc>
        <w:tc>
          <w:tcPr>
            <w:tcW w:w="2735" w:type="dxa"/>
            <w:tcBorders>
              <w:right w:val="single" w:sz="4" w:space="0" w:color="808080" w:themeColor="background1" w:themeShade="80"/>
            </w:tcBorders>
            <w:vAlign w:val="center"/>
          </w:tcPr>
          <w:p w14:paraId="5C8B737F" w14:textId="77777777" w:rsidR="004F1255" w:rsidRPr="005305D5" w:rsidRDefault="004F1255" w:rsidP="009B6C0D">
            <w:pPr>
              <w:spacing w:after="0"/>
            </w:pPr>
          </w:p>
        </w:tc>
      </w:tr>
    </w:tbl>
    <w:p w14:paraId="28F68CEF" w14:textId="0AED47F2" w:rsidR="00DE1608" w:rsidRDefault="00DE1608" w:rsidP="00A54AAB">
      <w:pPr>
        <w:spacing w:after="0" w:line="260" w:lineRule="atLeast"/>
        <w:rPr>
          <w:rFonts w:eastAsia="Calibri"/>
        </w:rPr>
      </w:pPr>
    </w:p>
    <w:p w14:paraId="4438AAD6" w14:textId="77777777" w:rsidR="007346DA" w:rsidRPr="0059650E" w:rsidRDefault="007346DA" w:rsidP="007346DA">
      <w:pPr>
        <w:autoSpaceDE w:val="0"/>
        <w:autoSpaceDN w:val="0"/>
        <w:spacing w:after="0" w:line="240" w:lineRule="auto"/>
      </w:pPr>
      <w:r>
        <w:t xml:space="preserve">Specify how the </w:t>
      </w:r>
      <w:r w:rsidRPr="00151A3B">
        <w:t>accuracy and reliability of the reported results</w:t>
      </w:r>
      <w:r>
        <w:t xml:space="preserve"> will be ensured</w:t>
      </w:r>
      <w:r w:rsidRPr="00151A3B">
        <w:t>.</w:t>
      </w:r>
    </w:p>
    <w:p w14:paraId="0DEB256B" w14:textId="77777777" w:rsidR="0059650E" w:rsidRDefault="0059650E" w:rsidP="00A54AAB">
      <w:pPr>
        <w:spacing w:after="0" w:line="260" w:lineRule="atLeast"/>
        <w:rPr>
          <w:rFonts w:eastAsia="Calibri"/>
        </w:rPr>
      </w:pPr>
    </w:p>
    <w:tbl>
      <w:tblPr>
        <w:tblStyle w:val="TableGrid"/>
        <w:tblW w:w="0" w:type="auto"/>
        <w:tblLook w:val="04A0" w:firstRow="1" w:lastRow="0" w:firstColumn="1" w:lastColumn="0" w:noHBand="0" w:noVBand="1"/>
      </w:tblPr>
      <w:tblGrid>
        <w:gridCol w:w="10456"/>
      </w:tblGrid>
      <w:tr w:rsidR="0059650E" w:rsidRPr="005305D5" w14:paraId="6E77E224" w14:textId="77777777" w:rsidTr="00CD615D">
        <w:tc>
          <w:tcPr>
            <w:tcW w:w="10790" w:type="dxa"/>
          </w:tcPr>
          <w:p w14:paraId="5C647E5E" w14:textId="5A55831D" w:rsidR="0059650E" w:rsidRPr="005305D5" w:rsidRDefault="00755878" w:rsidP="00CD615D">
            <w:pPr>
              <w:spacing w:after="0"/>
            </w:pPr>
            <w:r>
              <w:t>N/A</w:t>
            </w:r>
          </w:p>
          <w:p w14:paraId="1650D516" w14:textId="77777777" w:rsidR="0059650E" w:rsidRPr="005305D5" w:rsidRDefault="0059650E" w:rsidP="00CD615D">
            <w:pPr>
              <w:spacing w:after="0"/>
            </w:pPr>
          </w:p>
          <w:p w14:paraId="360B66EA" w14:textId="77777777" w:rsidR="0059650E" w:rsidRPr="005305D5" w:rsidRDefault="0059650E" w:rsidP="00CD615D">
            <w:pPr>
              <w:spacing w:after="0"/>
            </w:pPr>
          </w:p>
        </w:tc>
      </w:tr>
    </w:tbl>
    <w:p w14:paraId="1CB2D38F" w14:textId="082B75B1" w:rsidR="0059650E" w:rsidRPr="00A54AAB" w:rsidRDefault="0059650E" w:rsidP="00A54AAB">
      <w:pPr>
        <w:spacing w:after="0" w:line="260" w:lineRule="atLeast"/>
        <w:rPr>
          <w:rFonts w:eastAsia="Calibri"/>
        </w:rPr>
      </w:pPr>
    </w:p>
    <w:p w14:paraId="576873EB" w14:textId="0FBCFAC1" w:rsidR="009B6C0D" w:rsidRPr="00B05D13" w:rsidRDefault="00DE5CEF" w:rsidP="00E07C20">
      <w:pPr>
        <w:pStyle w:val="ListParagraph"/>
        <w:numPr>
          <w:ilvl w:val="0"/>
          <w:numId w:val="20"/>
        </w:numPr>
        <w:spacing w:after="0" w:line="260" w:lineRule="atLeast"/>
        <w:ind w:left="450" w:hanging="450"/>
        <w:rPr>
          <w:rFonts w:eastAsia="Calibri"/>
        </w:rPr>
      </w:pPr>
      <w:bookmarkStart w:id="18" w:name="_Hlk11416730"/>
      <w:r w:rsidRPr="004F1255">
        <w:rPr>
          <w:rFonts w:eastAsia="Calibri"/>
          <w:b/>
        </w:rPr>
        <w:t xml:space="preserve">Opportunities for integration: </w:t>
      </w:r>
      <w:r w:rsidR="00CA301B">
        <w:rPr>
          <w:rFonts w:eastAsia="Calibri"/>
        </w:rPr>
        <w:t>E</w:t>
      </w:r>
      <w:r w:rsidRPr="004F1255">
        <w:rPr>
          <w:rFonts w:eastAsia="Calibri"/>
        </w:rPr>
        <w:t xml:space="preserve">xplain how the proposed investments take into consideration: </w:t>
      </w:r>
    </w:p>
    <w:p w14:paraId="343949A2" w14:textId="4DD70980" w:rsidR="00DE5CEF" w:rsidRPr="004F1255" w:rsidRDefault="006D0956" w:rsidP="00E07C20">
      <w:pPr>
        <w:pStyle w:val="ListParagraph"/>
        <w:numPr>
          <w:ilvl w:val="0"/>
          <w:numId w:val="27"/>
        </w:numPr>
        <w:spacing w:after="0" w:line="260" w:lineRule="atLeast"/>
        <w:rPr>
          <w:rFonts w:eastAsia="Calibri"/>
        </w:rPr>
      </w:pPr>
      <w:r>
        <w:rPr>
          <w:rFonts w:eastAsia="Calibri"/>
        </w:rPr>
        <w:t>N</w:t>
      </w:r>
      <w:r w:rsidR="00DE5CEF" w:rsidRPr="004F1255">
        <w:rPr>
          <w:rFonts w:eastAsia="Calibri"/>
        </w:rPr>
        <w:t xml:space="preserve">eeds across the three diseases and other related health </w:t>
      </w:r>
      <w:proofErr w:type="gramStart"/>
      <w:r w:rsidR="00DE5CEF" w:rsidRPr="004F1255">
        <w:rPr>
          <w:rFonts w:eastAsia="Calibri"/>
        </w:rPr>
        <w:t>programs</w:t>
      </w:r>
      <w:r>
        <w:rPr>
          <w:rFonts w:eastAsia="Calibri"/>
        </w:rPr>
        <w:t>;</w:t>
      </w:r>
      <w:proofErr w:type="gramEnd"/>
      <w:r w:rsidR="00DE5CEF" w:rsidRPr="004F1255">
        <w:rPr>
          <w:rFonts w:eastAsia="Calibri"/>
        </w:rPr>
        <w:t xml:space="preserve"> </w:t>
      </w:r>
    </w:p>
    <w:p w14:paraId="14CA95A9" w14:textId="5D33D270" w:rsidR="00DE5CEF" w:rsidRPr="009B6C0D" w:rsidRDefault="006D0956" w:rsidP="00E07C20">
      <w:pPr>
        <w:pStyle w:val="ListParagraph"/>
        <w:numPr>
          <w:ilvl w:val="0"/>
          <w:numId w:val="27"/>
        </w:numPr>
        <w:spacing w:after="0" w:line="260" w:lineRule="atLeast"/>
        <w:rPr>
          <w:rFonts w:eastAsia="Calibri"/>
        </w:rPr>
      </w:pPr>
      <w:r>
        <w:rPr>
          <w:rFonts w:eastAsia="Calibri"/>
        </w:rPr>
        <w:t>L</w:t>
      </w:r>
      <w:r w:rsidR="00DE5CEF" w:rsidRPr="004F1255">
        <w:rPr>
          <w:rFonts w:eastAsia="Calibri"/>
        </w:rPr>
        <w:t>inks with the broader health systems to improve disease outcomes, efficiency and program sustainability.</w:t>
      </w:r>
      <w:r w:rsidR="00DE5CEF" w:rsidRPr="004F1255">
        <w:rPr>
          <w:rFonts w:eastAsia="Calibri"/>
          <w:b/>
        </w:rPr>
        <w:t xml:space="preserve"> </w:t>
      </w:r>
    </w:p>
    <w:p w14:paraId="281D0B40" w14:textId="77777777" w:rsidR="009B6C0D" w:rsidRPr="004F1255" w:rsidRDefault="009B6C0D" w:rsidP="009B6C0D">
      <w:pPr>
        <w:pStyle w:val="ListParagraph"/>
        <w:spacing w:after="0" w:line="260" w:lineRule="atLeast"/>
        <w:ind w:left="1440"/>
        <w:rPr>
          <w:rFonts w:eastAsia="Calibri"/>
        </w:rPr>
      </w:pPr>
    </w:p>
    <w:tbl>
      <w:tblPr>
        <w:tblStyle w:val="TableGrid"/>
        <w:tblW w:w="0" w:type="auto"/>
        <w:tblLook w:val="04A0" w:firstRow="1" w:lastRow="0" w:firstColumn="1" w:lastColumn="0" w:noHBand="0" w:noVBand="1"/>
      </w:tblPr>
      <w:tblGrid>
        <w:gridCol w:w="10456"/>
      </w:tblGrid>
      <w:tr w:rsidR="00DE5CEF" w:rsidRPr="005305D5" w14:paraId="3E9BC23D" w14:textId="77777777" w:rsidTr="007543E4">
        <w:tc>
          <w:tcPr>
            <w:tcW w:w="10790" w:type="dxa"/>
          </w:tcPr>
          <w:p w14:paraId="7C8193E5" w14:textId="77777777" w:rsidR="00691D08" w:rsidRDefault="00691D08" w:rsidP="009B6C0D">
            <w:pPr>
              <w:spacing w:after="0"/>
            </w:pPr>
            <w:bookmarkStart w:id="19" w:name="_Hlk15391278"/>
          </w:p>
          <w:p w14:paraId="2C74B9B7" w14:textId="29755755" w:rsidR="00834D2F" w:rsidRDefault="00834D2F" w:rsidP="00834D2F">
            <w:pPr>
              <w:spacing w:after="0"/>
            </w:pPr>
            <w:r w:rsidRPr="00903E36">
              <w:t>The operationalization of the UHC Act is underway. One of the first interventions to be carried out is the provision by DOH of technical and financial support to selected LGUs that commit to province- or city-wide integration of local health systems. The DOH identified an initial thirty-three (33) such UHC Integration Sites (UIS) – 15 in Luzon (including 2 in NCR), 10 in Mindanao (including 1 in BARMM), and 8 in Visayas. The 33 UIS will be demonstrating financial integration, managerial integration, and technical integration, all of which will influence how TB, HIV/AIDS and malaria services are to be delivered.</w:t>
            </w:r>
            <w:r w:rsidR="00B77834">
              <w:t xml:space="preserve"> The FR will work on these sites and support its realization.  </w:t>
            </w:r>
          </w:p>
          <w:p w14:paraId="0D48A91A" w14:textId="77777777" w:rsidR="00834D2F" w:rsidRDefault="00834D2F" w:rsidP="009B6C0D">
            <w:pPr>
              <w:spacing w:after="0"/>
            </w:pPr>
          </w:p>
          <w:p w14:paraId="1408B0D6" w14:textId="77777777" w:rsidR="00834D2F" w:rsidRDefault="00834D2F" w:rsidP="009B6C0D">
            <w:pPr>
              <w:spacing w:after="0"/>
            </w:pPr>
          </w:p>
          <w:p w14:paraId="01C24328" w14:textId="378C14DA" w:rsidR="002C587D" w:rsidRDefault="00E140FE" w:rsidP="009B6C0D">
            <w:pPr>
              <w:spacing w:after="0"/>
            </w:pPr>
            <w:r>
              <w:t xml:space="preserve">Included in the RSSH Module are health systems improvement concerns that will be addressed to support all three disease components: </w:t>
            </w:r>
          </w:p>
          <w:p w14:paraId="1C913AA1" w14:textId="77777777" w:rsidR="00BB15FA" w:rsidRDefault="00BB15FA" w:rsidP="009B6C0D">
            <w:pPr>
              <w:spacing w:after="0"/>
            </w:pPr>
          </w:p>
          <w:p w14:paraId="45AA901A" w14:textId="52786018" w:rsidR="002C587D" w:rsidRPr="00691D08" w:rsidRDefault="002C587D" w:rsidP="00691D08">
            <w:pPr>
              <w:pStyle w:val="ListParagraph"/>
              <w:numPr>
                <w:ilvl w:val="0"/>
                <w:numId w:val="28"/>
              </w:numPr>
              <w:spacing w:after="0" w:line="360" w:lineRule="auto"/>
            </w:pPr>
            <w:r w:rsidRPr="002F38C0">
              <w:rPr>
                <w:b/>
                <w:bCs/>
                <w:color w:val="002A55" w:themeColor="accent5" w:themeShade="80"/>
              </w:rPr>
              <w:t>[PSCM]</w:t>
            </w:r>
            <w:r w:rsidRPr="002F38C0">
              <w:rPr>
                <w:color w:val="002A55" w:themeColor="accent5" w:themeShade="80"/>
              </w:rPr>
              <w:t xml:space="preserve"> </w:t>
            </w:r>
            <w:r w:rsidR="00E140FE" w:rsidRPr="00691D08">
              <w:t>Providing support to DOH</w:t>
            </w:r>
            <w:r w:rsidR="00834D2F">
              <w:t xml:space="preserve"> and LGUs</w:t>
            </w:r>
            <w:r w:rsidR="00E140FE" w:rsidRPr="00691D08">
              <w:t xml:space="preserve"> in </w:t>
            </w:r>
            <w:r w:rsidRPr="00691D08">
              <w:t xml:space="preserve">adopting procurement mechanisms will </w:t>
            </w:r>
            <w:r w:rsidR="00E140FE" w:rsidRPr="00691D08">
              <w:t>mitigate the occurrence of stock-outs</w:t>
            </w:r>
            <w:r w:rsidR="00834D2F">
              <w:t xml:space="preserve">, with features that will harness the advantages of economies of scale, in addition to ensuring high quality of the commodities, standardized processes, and uniform monitoring. </w:t>
            </w:r>
          </w:p>
          <w:p w14:paraId="037F209E" w14:textId="2140D4B3" w:rsidR="002C587D" w:rsidRPr="00691D08" w:rsidRDefault="002C587D" w:rsidP="00691D08">
            <w:pPr>
              <w:pStyle w:val="ListParagraph"/>
              <w:numPr>
                <w:ilvl w:val="0"/>
                <w:numId w:val="28"/>
              </w:numPr>
              <w:spacing w:after="0" w:line="360" w:lineRule="auto"/>
            </w:pPr>
            <w:r w:rsidRPr="002F38C0">
              <w:rPr>
                <w:b/>
                <w:bCs/>
                <w:color w:val="002A55" w:themeColor="accent5" w:themeShade="80"/>
              </w:rPr>
              <w:t>[PSCM]</w:t>
            </w:r>
            <w:r w:rsidRPr="002F38C0">
              <w:rPr>
                <w:color w:val="002A55" w:themeColor="accent5" w:themeShade="80"/>
              </w:rPr>
              <w:t xml:space="preserve"> </w:t>
            </w:r>
            <w:r w:rsidRPr="00691D08">
              <w:t xml:space="preserve">Providing FDA additional HPLC machines used to test drug quality will reduce waiting time between procurement and utilization of medicines. </w:t>
            </w:r>
          </w:p>
          <w:p w14:paraId="4EA73EF3" w14:textId="7E6394BD" w:rsidR="002C587D" w:rsidRPr="00691D08" w:rsidRDefault="002C587D" w:rsidP="00691D08">
            <w:pPr>
              <w:pStyle w:val="ListParagraph"/>
              <w:numPr>
                <w:ilvl w:val="0"/>
                <w:numId w:val="28"/>
              </w:numPr>
              <w:spacing w:after="0" w:line="360" w:lineRule="auto"/>
            </w:pPr>
            <w:r w:rsidRPr="002F38C0">
              <w:rPr>
                <w:b/>
                <w:bCs/>
                <w:color w:val="002A55" w:themeColor="accent5" w:themeShade="80"/>
              </w:rPr>
              <w:t>[PSCM]</w:t>
            </w:r>
            <w:r w:rsidRPr="002F38C0">
              <w:rPr>
                <w:color w:val="002A55" w:themeColor="accent5" w:themeShade="80"/>
              </w:rPr>
              <w:t xml:space="preserve"> </w:t>
            </w:r>
            <w:r w:rsidRPr="00691D08">
              <w:t xml:space="preserve">Deployment of PSCM Officers in the DOH regional offices will ensure all medicines and health products for the three diseases are managed. </w:t>
            </w:r>
          </w:p>
          <w:p w14:paraId="473946CC" w14:textId="15B58F61" w:rsidR="00E140FE" w:rsidRPr="00691D08" w:rsidRDefault="002C587D" w:rsidP="00691D08">
            <w:pPr>
              <w:pStyle w:val="ListParagraph"/>
              <w:numPr>
                <w:ilvl w:val="0"/>
                <w:numId w:val="28"/>
              </w:numPr>
              <w:spacing w:after="0" w:line="360" w:lineRule="auto"/>
            </w:pPr>
            <w:r w:rsidRPr="002F38C0">
              <w:rPr>
                <w:b/>
                <w:bCs/>
                <w:color w:val="002A55" w:themeColor="accent5" w:themeShade="80"/>
              </w:rPr>
              <w:lastRenderedPageBreak/>
              <w:t>[IS/M&amp;E]</w:t>
            </w:r>
            <w:r w:rsidRPr="002F38C0">
              <w:rPr>
                <w:color w:val="002A55" w:themeColor="accent5" w:themeShade="80"/>
              </w:rPr>
              <w:t xml:space="preserve"> </w:t>
            </w:r>
            <w:r w:rsidRPr="00691D08">
              <w:t>Supporting the interoperability of the various health information management systems for the three diseases with DOH enterprise architecture (HOMIS) will support data-driven decision making at both the national and local levels.</w:t>
            </w:r>
          </w:p>
          <w:p w14:paraId="57FA5394" w14:textId="494E4C09" w:rsidR="002C587D" w:rsidRPr="00691D08" w:rsidRDefault="002C587D" w:rsidP="00691D08">
            <w:pPr>
              <w:pStyle w:val="ListParagraph"/>
              <w:numPr>
                <w:ilvl w:val="0"/>
                <w:numId w:val="28"/>
              </w:numPr>
              <w:spacing w:after="0" w:line="360" w:lineRule="auto"/>
            </w:pPr>
            <w:r w:rsidRPr="002F38C0">
              <w:rPr>
                <w:b/>
                <w:bCs/>
                <w:color w:val="002A55" w:themeColor="accent5" w:themeShade="80"/>
              </w:rPr>
              <w:t>[Financing]</w:t>
            </w:r>
            <w:r w:rsidRPr="002F38C0">
              <w:rPr>
                <w:color w:val="002A55" w:themeColor="accent5" w:themeShade="80"/>
              </w:rPr>
              <w:t xml:space="preserve"> </w:t>
            </w:r>
            <w:r w:rsidRPr="00691D08">
              <w:t xml:space="preserve">Supporting the development of the PhilHealth Primary Care Package will support increasing domestic resources to support the three diseases. </w:t>
            </w:r>
          </w:p>
          <w:p w14:paraId="0B893D32" w14:textId="327581D2" w:rsidR="004E4FE2" w:rsidRPr="00691D08" w:rsidRDefault="004E4FE2" w:rsidP="00691D08">
            <w:pPr>
              <w:pStyle w:val="ListParagraph"/>
              <w:numPr>
                <w:ilvl w:val="0"/>
                <w:numId w:val="28"/>
              </w:numPr>
              <w:spacing w:after="0" w:line="360" w:lineRule="auto"/>
            </w:pPr>
            <w:r w:rsidRPr="002F38C0">
              <w:rPr>
                <w:b/>
                <w:bCs/>
                <w:color w:val="002A55" w:themeColor="accent5" w:themeShade="80"/>
              </w:rPr>
              <w:t>[Laboratory]</w:t>
            </w:r>
            <w:r w:rsidRPr="002F38C0">
              <w:rPr>
                <w:color w:val="002A55" w:themeColor="accent5" w:themeShade="80"/>
              </w:rPr>
              <w:t xml:space="preserve"> </w:t>
            </w:r>
            <w:r w:rsidRPr="00691D08">
              <w:t xml:space="preserve">Optimization of </w:t>
            </w:r>
            <w:r w:rsidR="00E02815">
              <w:t xml:space="preserve">specimen transport riders </w:t>
            </w:r>
            <w:r w:rsidRPr="00691D08">
              <w:t>to reduce time between diagnosis and treatment initiation</w:t>
            </w:r>
            <w:r w:rsidR="00E02815">
              <w:t xml:space="preserve"> for all diseases. </w:t>
            </w:r>
          </w:p>
          <w:p w14:paraId="18931815" w14:textId="77777777" w:rsidR="00691D08" w:rsidRPr="00691D08" w:rsidRDefault="00691D08" w:rsidP="00691D08">
            <w:pPr>
              <w:spacing w:after="0" w:line="360" w:lineRule="auto"/>
            </w:pPr>
          </w:p>
          <w:p w14:paraId="4C3311C9" w14:textId="1C261198" w:rsidR="002C587D" w:rsidRPr="00691D08" w:rsidRDefault="002C587D" w:rsidP="00691D08">
            <w:pPr>
              <w:spacing w:after="0" w:line="360" w:lineRule="auto"/>
            </w:pPr>
            <w:r w:rsidRPr="00691D08">
              <w:t xml:space="preserve">Within the FR for TB, integration will be pursued to include: </w:t>
            </w:r>
          </w:p>
          <w:p w14:paraId="4A6E73F1" w14:textId="5A21B8BF" w:rsidR="00B02C16" w:rsidRPr="00691D08" w:rsidRDefault="002C587D" w:rsidP="00691D08">
            <w:pPr>
              <w:pStyle w:val="ListParagraph"/>
              <w:numPr>
                <w:ilvl w:val="0"/>
                <w:numId w:val="28"/>
              </w:numPr>
              <w:spacing w:after="0" w:line="360" w:lineRule="auto"/>
            </w:pPr>
            <w:r w:rsidRPr="00691D08">
              <w:t xml:space="preserve">All Active </w:t>
            </w:r>
            <w:r w:rsidR="004E4FE2" w:rsidRPr="00691D08">
              <w:t xml:space="preserve">TB </w:t>
            </w:r>
            <w:r w:rsidRPr="00691D08">
              <w:t xml:space="preserve">Case Finding activities will include linkage to </w:t>
            </w:r>
            <w:r w:rsidR="00B02C16" w:rsidRPr="00691D08">
              <w:t>HIV</w:t>
            </w:r>
            <w:r w:rsidRPr="00691D08">
              <w:t xml:space="preserve"> testing and treatment</w:t>
            </w:r>
            <w:r w:rsidR="004E4FE2" w:rsidRPr="00691D08">
              <w:t xml:space="preserve"> among eligible population groups.</w:t>
            </w:r>
          </w:p>
          <w:p w14:paraId="083826C4" w14:textId="71FFF525" w:rsidR="002C587D" w:rsidRDefault="002C587D" w:rsidP="00691D08">
            <w:pPr>
              <w:pStyle w:val="ListParagraph"/>
              <w:numPr>
                <w:ilvl w:val="0"/>
                <w:numId w:val="28"/>
              </w:numPr>
              <w:spacing w:after="0" w:line="360" w:lineRule="auto"/>
            </w:pPr>
            <w:r w:rsidRPr="00691D08">
              <w:t>All Xpert sites of the NTP will be optimized to provide HIV Viral Load testing.</w:t>
            </w:r>
          </w:p>
          <w:p w14:paraId="036C83F5" w14:textId="4E5E20D4" w:rsidR="00430BC4" w:rsidRDefault="00430BC4" w:rsidP="00691D08">
            <w:pPr>
              <w:pStyle w:val="ListParagraph"/>
              <w:numPr>
                <w:ilvl w:val="0"/>
                <w:numId w:val="28"/>
              </w:numPr>
              <w:spacing w:after="0" w:line="360" w:lineRule="auto"/>
            </w:pPr>
            <w:r>
              <w:t>TB and HIV tests will be provided during TB ACF activities</w:t>
            </w:r>
          </w:p>
          <w:p w14:paraId="0C1E4933" w14:textId="3FF6B738" w:rsidR="00430BC4" w:rsidRPr="00691D08" w:rsidRDefault="00430BC4" w:rsidP="00691D08">
            <w:pPr>
              <w:pStyle w:val="ListParagraph"/>
              <w:numPr>
                <w:ilvl w:val="0"/>
                <w:numId w:val="28"/>
              </w:numPr>
              <w:spacing w:after="0" w:line="360" w:lineRule="auto"/>
            </w:pPr>
            <w:r>
              <w:t xml:space="preserve">ITIS will be enhanced to be interoperable with other health information systems </w:t>
            </w:r>
          </w:p>
          <w:p w14:paraId="2AACB4AB" w14:textId="77777777" w:rsidR="00DE5CEF" w:rsidRPr="005305D5" w:rsidRDefault="00DE5CEF" w:rsidP="00755878">
            <w:pPr>
              <w:pStyle w:val="ListParagraph"/>
              <w:spacing w:after="0"/>
            </w:pPr>
          </w:p>
        </w:tc>
      </w:tr>
      <w:bookmarkEnd w:id="19"/>
    </w:tbl>
    <w:p w14:paraId="66603989" w14:textId="56F49F53" w:rsidR="00DE1608" w:rsidRPr="004F1255" w:rsidRDefault="00DE1608" w:rsidP="009B6C0D">
      <w:pPr>
        <w:spacing w:after="0" w:line="260" w:lineRule="atLeast"/>
        <w:rPr>
          <w:rFonts w:eastAsia="Calibri"/>
          <w:highlight w:val="yellow"/>
        </w:rPr>
      </w:pPr>
    </w:p>
    <w:p w14:paraId="51D13D88" w14:textId="4C45AB98" w:rsidR="004B4C1B" w:rsidRDefault="000D0B32" w:rsidP="00E07C20">
      <w:pPr>
        <w:pStyle w:val="ListParagraph"/>
        <w:numPr>
          <w:ilvl w:val="0"/>
          <w:numId w:val="20"/>
        </w:numPr>
        <w:spacing w:after="0" w:line="260" w:lineRule="atLeast"/>
        <w:ind w:left="450" w:hanging="450"/>
        <w:rPr>
          <w:rFonts w:eastAsia="Calibri"/>
        </w:rPr>
      </w:pPr>
      <w:r w:rsidRPr="004F1255">
        <w:rPr>
          <w:rFonts w:eastAsia="Calibri"/>
        </w:rPr>
        <w:t xml:space="preserve">Summarize </w:t>
      </w:r>
      <w:r w:rsidR="004B4C1B" w:rsidRPr="004F1255">
        <w:rPr>
          <w:rFonts w:eastAsia="Calibri"/>
        </w:rPr>
        <w:t xml:space="preserve">how the funding request complies with the </w:t>
      </w:r>
      <w:r w:rsidR="009B6C0D">
        <w:rPr>
          <w:rFonts w:eastAsia="Calibri"/>
          <w:b/>
        </w:rPr>
        <w:t>application</w:t>
      </w:r>
      <w:r w:rsidR="004B4C1B" w:rsidRPr="00BC5A41">
        <w:rPr>
          <w:rFonts w:eastAsia="Calibri"/>
          <w:b/>
        </w:rPr>
        <w:t xml:space="preserve"> </w:t>
      </w:r>
      <w:r w:rsidR="00281B38">
        <w:rPr>
          <w:rFonts w:eastAsia="Calibri"/>
          <w:b/>
        </w:rPr>
        <w:t xml:space="preserve">focus </w:t>
      </w:r>
      <w:r w:rsidR="004B4C1B" w:rsidRPr="00BC5A41">
        <w:rPr>
          <w:rFonts w:eastAsia="Calibri"/>
          <w:b/>
        </w:rPr>
        <w:t>requirements</w:t>
      </w:r>
      <w:r w:rsidR="004B4C1B" w:rsidRPr="004F1255">
        <w:rPr>
          <w:rFonts w:eastAsia="Calibri"/>
        </w:rPr>
        <w:t xml:space="preserve"> specified in the allocation letter</w:t>
      </w:r>
      <w:r w:rsidRPr="004F1255">
        <w:rPr>
          <w:rFonts w:eastAsia="Calibri"/>
        </w:rPr>
        <w:t>.</w:t>
      </w:r>
    </w:p>
    <w:p w14:paraId="67A8850A" w14:textId="77777777" w:rsidR="009B6C0D" w:rsidRPr="004F1255" w:rsidRDefault="009B6C0D" w:rsidP="009B6C0D">
      <w:pPr>
        <w:pStyle w:val="ListParagraph"/>
        <w:spacing w:after="0" w:line="260" w:lineRule="atLeast"/>
        <w:ind w:left="450"/>
        <w:rPr>
          <w:rFonts w:eastAsia="Calibri"/>
        </w:rPr>
      </w:pPr>
    </w:p>
    <w:tbl>
      <w:tblPr>
        <w:tblStyle w:val="TableGrid"/>
        <w:tblW w:w="0" w:type="auto"/>
        <w:tblLook w:val="04A0" w:firstRow="1" w:lastRow="0" w:firstColumn="1" w:lastColumn="0" w:noHBand="0" w:noVBand="1"/>
      </w:tblPr>
      <w:tblGrid>
        <w:gridCol w:w="10456"/>
      </w:tblGrid>
      <w:tr w:rsidR="004B4C1B" w:rsidRPr="005305D5" w14:paraId="235D17CD" w14:textId="77777777" w:rsidTr="00D63E4B">
        <w:tc>
          <w:tcPr>
            <w:tcW w:w="10790" w:type="dxa"/>
          </w:tcPr>
          <w:p w14:paraId="31A54C9A" w14:textId="77777777" w:rsidR="00AE3D2A" w:rsidRDefault="004E4FE2" w:rsidP="00AE3D2A">
            <w:pPr>
              <w:spacing w:after="0"/>
            </w:pPr>
            <w:r>
              <w:t xml:space="preserve">This FR is anchored in the PhilSTEP Phase 1, which was recently updated to align with WHO and StopTB Partnership Program guidelines and the recommendations from the 2019 Joint Program Review. By and large, key strategies and approaches detailed in the Updated PhilSTEP 1 is consistent with the application focus requirements set by The Global Fund. </w:t>
            </w:r>
          </w:p>
          <w:p w14:paraId="01C3F2CB" w14:textId="77777777" w:rsidR="00AE3D2A" w:rsidRDefault="00AE3D2A" w:rsidP="00AE3D2A">
            <w:pPr>
              <w:spacing w:after="0"/>
            </w:pPr>
          </w:p>
          <w:p w14:paraId="14FD5F9B" w14:textId="4D2A5271" w:rsidR="003068C1" w:rsidRDefault="003068C1" w:rsidP="00E14128">
            <w:pPr>
              <w:spacing w:after="0"/>
            </w:pPr>
            <w:r>
              <w:t xml:space="preserve">This FR focuses almost entirely </w:t>
            </w:r>
            <w:r w:rsidR="00E02815">
              <w:t xml:space="preserve">on </w:t>
            </w:r>
            <w:r>
              <w:t xml:space="preserve">TGF investment to support vulnerable population groups. </w:t>
            </w:r>
          </w:p>
          <w:p w14:paraId="390B0E96" w14:textId="77777777" w:rsidR="003068C1" w:rsidRDefault="003068C1" w:rsidP="00E14128">
            <w:pPr>
              <w:spacing w:after="0"/>
            </w:pPr>
          </w:p>
          <w:p w14:paraId="27AB7C40" w14:textId="12EADA0C" w:rsidR="00C963FA" w:rsidRDefault="003068C1" w:rsidP="00E14128">
            <w:pPr>
              <w:spacing w:after="0"/>
            </w:pPr>
            <w:r>
              <w:t>T</w:t>
            </w:r>
            <w:r w:rsidR="00E14128">
              <w:t xml:space="preserve">his FR will support continuation of all essential programming funded by the Global fund in the 2017-2019 allocation period (AccessTB Project 2018-2020). This includes among others, </w:t>
            </w:r>
            <w:r w:rsidR="00AE3D2A">
              <w:t>find</w:t>
            </w:r>
            <w:r w:rsidR="00E14128">
              <w:t>ing</w:t>
            </w:r>
            <w:r w:rsidR="00AE3D2A">
              <w:t xml:space="preserve"> the missing TB cases through evidence-based active case finding initiatives</w:t>
            </w:r>
            <w:r w:rsidR="00E14128">
              <w:t>, s</w:t>
            </w:r>
            <w:r w:rsidR="00AE3D2A">
              <w:t xml:space="preserve">cale-up on the use of molecular </w:t>
            </w:r>
            <w:r w:rsidR="005C7854">
              <w:t xml:space="preserve">TB </w:t>
            </w:r>
            <w:r w:rsidR="00E02815">
              <w:t>molecular RDT</w:t>
            </w:r>
            <w:r w:rsidR="00E14128">
              <w:t>, full adoption of the all-oral shorter treatment regimen for MDR TB, DST for 1</w:t>
            </w:r>
            <w:r w:rsidR="00E14128" w:rsidRPr="00E14128">
              <w:rPr>
                <w:vertAlign w:val="superscript"/>
              </w:rPr>
              <w:t>st</w:t>
            </w:r>
            <w:r w:rsidR="00E14128">
              <w:t xml:space="preserve"> and 2</w:t>
            </w:r>
            <w:r w:rsidR="00E14128" w:rsidRPr="00E14128">
              <w:rPr>
                <w:vertAlign w:val="superscript"/>
              </w:rPr>
              <w:t>nd</w:t>
            </w:r>
            <w:r w:rsidR="00E14128">
              <w:t xml:space="preserve"> line drugs, </w:t>
            </w:r>
            <w:r w:rsidR="00615CE4">
              <w:t xml:space="preserve">provision of expanded enabler support for patients, </w:t>
            </w:r>
            <w:r w:rsidR="00E14128">
              <w:t>expansion of TB-HIV collaboration on co-management, and enhancement</w:t>
            </w:r>
            <w:r w:rsidR="00C963FA">
              <w:t xml:space="preserve"> &amp; </w:t>
            </w:r>
            <w:r w:rsidR="00E14128">
              <w:t xml:space="preserve">utilization of </w:t>
            </w:r>
            <w:r w:rsidR="00C963FA">
              <w:t xml:space="preserve">the </w:t>
            </w:r>
            <w:r w:rsidR="00E14128">
              <w:t>I</w:t>
            </w:r>
            <w:r w:rsidR="00C963FA">
              <w:t>ntegrated TB Information System (IT IS)</w:t>
            </w:r>
            <w:r w:rsidR="00E14128">
              <w:t xml:space="preserve">. </w:t>
            </w:r>
            <w:r w:rsidR="00E02815">
              <w:t>A n</w:t>
            </w:r>
            <w:r w:rsidR="00E14128">
              <w:t xml:space="preserve">ew </w:t>
            </w:r>
            <w:r w:rsidR="00C963FA">
              <w:t>inclusion in this funding request is the introduction of innovative TPT and implementation research on the use of BP</w:t>
            </w:r>
            <w:r w:rsidR="00903374">
              <w:t>AL</w:t>
            </w:r>
            <w:r w:rsidR="00C963FA">
              <w:t xml:space="preserve"> for XDR TB case management</w:t>
            </w:r>
            <w:r>
              <w:t xml:space="preserve">. </w:t>
            </w:r>
          </w:p>
          <w:p w14:paraId="0A44D782" w14:textId="77777777" w:rsidR="00C963FA" w:rsidRDefault="00C963FA" w:rsidP="00E14128">
            <w:pPr>
              <w:spacing w:after="0"/>
            </w:pPr>
          </w:p>
          <w:p w14:paraId="0B0D8444" w14:textId="173976AF" w:rsidR="00615CE4" w:rsidRDefault="00C963FA" w:rsidP="00C963FA">
            <w:pPr>
              <w:spacing w:after="0"/>
            </w:pPr>
            <w:r>
              <w:t xml:space="preserve">Private health care provider engagement is a significant inclusion in this FR. The approach aims to expand available human resources for health by engaging private health care providers to be part of the TB Health Care Provider Network. Doing this contributes to improving quality TB diagnosis by providing the access to </w:t>
            </w:r>
            <w:r w:rsidR="005C7854">
              <w:t xml:space="preserve">TB </w:t>
            </w:r>
            <w:r w:rsidR="00E02815">
              <w:t>molecular RDT</w:t>
            </w:r>
            <w:r w:rsidR="00615CE4">
              <w:t>, thereby reducing clinical diagnosis. Furthermore, private HCP engagement enhances the country’s TB data necessary for data-driven planning and implementation by maintaining a common case notification system and treatment outcome reporting through ITIS.</w:t>
            </w:r>
          </w:p>
          <w:p w14:paraId="3C3986D5" w14:textId="05F66D74" w:rsidR="00615CE4" w:rsidRDefault="00615CE4" w:rsidP="00C963FA">
            <w:pPr>
              <w:spacing w:after="0"/>
            </w:pPr>
          </w:p>
          <w:p w14:paraId="5A55891C" w14:textId="1F006325" w:rsidR="00E36636" w:rsidRDefault="00E36636" w:rsidP="00C963FA">
            <w:pPr>
              <w:spacing w:after="0"/>
            </w:pPr>
            <w:r>
              <w:t>This FR also puts premium on various interventions that will address human rights and gender concerns surrounding TB, particularly reducing stigma and discrimination (self-stigma, health care worker stigma, and general public) by creating a TB champions pool that will lead health promotion and advocacy initiatives for the NTP, establishing a TB patient hotline to help advance patient literacy and access to medical and non-medical services (legal and financial assistance from various social protection platforms)</w:t>
            </w:r>
            <w:r w:rsidR="00870EAC">
              <w:t xml:space="preserve"> and scaling up adoption of TB Programs in workplaces. Furthermore, enhancing the TB care package provided in jails and prisons to include HIV testing, construction of isolation facilities, and engaging judicial workers to adopt people-centered care measures for PDLs.  </w:t>
            </w:r>
          </w:p>
          <w:p w14:paraId="45734DCF" w14:textId="77777777" w:rsidR="00E36636" w:rsidRDefault="00E36636" w:rsidP="00C963FA">
            <w:pPr>
              <w:spacing w:after="0"/>
            </w:pPr>
          </w:p>
          <w:p w14:paraId="59D1A6F9" w14:textId="1E6952DC" w:rsidR="00615CE4" w:rsidRDefault="00E36636" w:rsidP="00C963FA">
            <w:pPr>
              <w:spacing w:after="0"/>
            </w:pPr>
            <w:r>
              <w:t xml:space="preserve">Civil society organizations, TB champions, and patient groups will be </w:t>
            </w:r>
            <w:r w:rsidR="00870EAC">
              <w:t xml:space="preserve">also </w:t>
            </w:r>
            <w:r>
              <w:t xml:space="preserve">actively engaged and equipped to support national and local advocacy initiatives for improved health systems and direct TB care delivery at the primary care facilities. Details on this </w:t>
            </w:r>
            <w:r w:rsidR="00E02815">
              <w:t>are</w:t>
            </w:r>
            <w:r>
              <w:t xml:space="preserve"> included in Section 3b.</w:t>
            </w:r>
          </w:p>
          <w:p w14:paraId="6EFE0D23" w14:textId="234ADB99" w:rsidR="00870EAC" w:rsidRDefault="00870EAC" w:rsidP="00C963FA">
            <w:pPr>
              <w:spacing w:after="0"/>
            </w:pPr>
          </w:p>
          <w:p w14:paraId="09D73502" w14:textId="4946A2B6" w:rsidR="00870EAC" w:rsidRDefault="00870EAC" w:rsidP="00C963FA">
            <w:pPr>
              <w:spacing w:after="0"/>
            </w:pPr>
            <w:r>
              <w:t xml:space="preserve">The FR also includes investments for cross-cutting </w:t>
            </w:r>
            <w:r w:rsidR="00E02815">
              <w:t xml:space="preserve">issues, thereby moving </w:t>
            </w:r>
            <w:r>
              <w:t xml:space="preserve">towards building a more resilient and sustainable health system. This covers immediate support for actions relating to (1) </w:t>
            </w:r>
            <w:r w:rsidR="003068C1">
              <w:t xml:space="preserve">health products management and systems strengthening, (2) improving financial management systems, (3) enhancing health management information systems and M&amp;E, and (4) improving laboratory systems. </w:t>
            </w:r>
            <w:r>
              <w:t xml:space="preserve">Details </w:t>
            </w:r>
            <w:r w:rsidR="003068C1">
              <w:t xml:space="preserve">on the proposed actions </w:t>
            </w:r>
            <w:r>
              <w:t>can be seen in Section 2.2</w:t>
            </w:r>
            <w:r w:rsidR="00E02815">
              <w:t xml:space="preserve">, </w:t>
            </w:r>
            <w:r>
              <w:t xml:space="preserve">Module 4.  </w:t>
            </w:r>
          </w:p>
          <w:p w14:paraId="434E0686" w14:textId="5547F02C" w:rsidR="004B4C1B" w:rsidRPr="005305D5" w:rsidRDefault="004B4C1B" w:rsidP="009B6C0D">
            <w:pPr>
              <w:spacing w:after="0"/>
            </w:pPr>
          </w:p>
        </w:tc>
      </w:tr>
      <w:bookmarkEnd w:id="18"/>
    </w:tbl>
    <w:p w14:paraId="5C2EBEF8" w14:textId="43F45CF6" w:rsidR="00DE1608" w:rsidRPr="00522262" w:rsidRDefault="00DE1608" w:rsidP="009B6C0D">
      <w:pPr>
        <w:spacing w:after="0"/>
        <w:rPr>
          <w:i/>
        </w:rPr>
      </w:pPr>
    </w:p>
    <w:p w14:paraId="464EE433" w14:textId="5A82A5CC" w:rsidR="001608C9" w:rsidRDefault="001608C9" w:rsidP="00E07C20">
      <w:pPr>
        <w:pStyle w:val="ListParagraph"/>
        <w:numPr>
          <w:ilvl w:val="0"/>
          <w:numId w:val="20"/>
        </w:numPr>
        <w:spacing w:after="0"/>
        <w:ind w:left="540" w:hanging="540"/>
        <w:rPr>
          <w:rStyle w:val="normaltextrun"/>
        </w:rPr>
      </w:pPr>
      <w:r w:rsidRPr="001608C9">
        <w:rPr>
          <w:rStyle w:val="normaltextrun"/>
        </w:rPr>
        <w:t xml:space="preserve">Explain how this funding request reflects </w:t>
      </w:r>
      <w:r w:rsidRPr="001608C9">
        <w:rPr>
          <w:rStyle w:val="normaltextrun"/>
          <w:b/>
        </w:rPr>
        <w:t>value for money</w:t>
      </w:r>
      <w:r w:rsidRPr="001608C9">
        <w:rPr>
          <w:rStyle w:val="normaltextrun"/>
        </w:rPr>
        <w:t xml:space="preserve">, including examples of improvement in value for money compared to the current allocation period. To respond, refer to the </w:t>
      </w:r>
      <w:r w:rsidRPr="001608C9">
        <w:rPr>
          <w:rStyle w:val="normaltextrun"/>
          <w:i/>
        </w:rPr>
        <w:t>Instructions</w:t>
      </w:r>
      <w:r w:rsidRPr="001608C9">
        <w:rPr>
          <w:rStyle w:val="normaltextrun"/>
        </w:rPr>
        <w:t xml:space="preserve"> for the aspects of value for money that should be considered.</w:t>
      </w:r>
    </w:p>
    <w:p w14:paraId="1D178713" w14:textId="77777777" w:rsidR="009B6C0D" w:rsidRPr="004F1255" w:rsidRDefault="009B6C0D" w:rsidP="009B6C0D">
      <w:pPr>
        <w:pStyle w:val="ListParagraph"/>
        <w:spacing w:after="0"/>
        <w:ind w:left="540"/>
      </w:pPr>
    </w:p>
    <w:tbl>
      <w:tblPr>
        <w:tblStyle w:val="TableGrid"/>
        <w:tblW w:w="0" w:type="auto"/>
        <w:tblLook w:val="04A0" w:firstRow="1" w:lastRow="0" w:firstColumn="1" w:lastColumn="0" w:noHBand="0" w:noVBand="1"/>
      </w:tblPr>
      <w:tblGrid>
        <w:gridCol w:w="10456"/>
      </w:tblGrid>
      <w:tr w:rsidR="0098274C" w:rsidRPr="005305D5" w14:paraId="2574620A" w14:textId="77777777" w:rsidTr="00D63E4B">
        <w:tc>
          <w:tcPr>
            <w:tcW w:w="10790" w:type="dxa"/>
          </w:tcPr>
          <w:p w14:paraId="3A87745F" w14:textId="4E0699CC" w:rsidR="00B75931" w:rsidRDefault="00007809" w:rsidP="00B75931">
            <w:pPr>
              <w:spacing w:after="0"/>
            </w:pPr>
            <w:r>
              <w:t xml:space="preserve">Considering that the Philippine CCM endorsed the current principal recipient to be maintained in the next grant cycle, </w:t>
            </w:r>
            <w:r w:rsidR="00B75931">
              <w:t>start-up cost for this FR is almost null and r</w:t>
            </w:r>
            <w:r>
              <w:t>easonable cost references have already been established for all related international and financial transactions.</w:t>
            </w:r>
            <w:r w:rsidR="00CD5B57">
              <w:t xml:space="preserve"> </w:t>
            </w:r>
          </w:p>
          <w:p w14:paraId="6E47176D" w14:textId="77777777" w:rsidR="00B75931" w:rsidRDefault="00B75931" w:rsidP="00B75931">
            <w:pPr>
              <w:spacing w:after="0"/>
            </w:pPr>
          </w:p>
          <w:p w14:paraId="7A46EDBC" w14:textId="79883E18" w:rsidR="00CD5B57" w:rsidRDefault="00CD5B57" w:rsidP="009B6C0D">
            <w:pPr>
              <w:spacing w:after="0"/>
            </w:pPr>
            <w:r>
              <w:t xml:space="preserve">Procurement is guided by the PR’s Finance and Procurement Policy Manual, which is anchored on “value of money” and has been reviewed and accepted by TGF. </w:t>
            </w:r>
          </w:p>
          <w:p w14:paraId="4400A5E6" w14:textId="67E931C2" w:rsidR="00B75931" w:rsidRDefault="00B75931" w:rsidP="009B6C0D">
            <w:pPr>
              <w:spacing w:after="0"/>
            </w:pPr>
          </w:p>
          <w:p w14:paraId="35B8B027" w14:textId="4881B6EB" w:rsidR="00CD5B57" w:rsidRDefault="00CD5B57" w:rsidP="009B6C0D">
            <w:pPr>
              <w:spacing w:after="0"/>
            </w:pPr>
            <w:r>
              <w:t xml:space="preserve">Major procurement items to include SLDs and Xpert cartridges are procured directly from the Global Drug Facility and Cepheid, respectively leveraging on reduced pricing guidelines already established by TGF. </w:t>
            </w:r>
          </w:p>
          <w:p w14:paraId="33532E89" w14:textId="035B9D76" w:rsidR="00CD5B57" w:rsidRDefault="00CD5B57" w:rsidP="009B6C0D">
            <w:pPr>
              <w:spacing w:after="0"/>
            </w:pPr>
          </w:p>
          <w:p w14:paraId="659A1664" w14:textId="77777777" w:rsidR="00B75931" w:rsidRDefault="00CD5B57" w:rsidP="009B6C0D">
            <w:pPr>
              <w:spacing w:after="0"/>
            </w:pPr>
            <w:r>
              <w:t xml:space="preserve">The compensation and benefits packages provided to grant supported human resources </w:t>
            </w:r>
            <w:r w:rsidR="00B75931">
              <w:t xml:space="preserve">for health </w:t>
            </w:r>
            <w:r>
              <w:t>is anchored on the DOH-recommended pay scale for donor-funded projects</w:t>
            </w:r>
            <w:r w:rsidR="00B75931">
              <w:t xml:space="preserve"> and adopts the PR’s pay scale for non-health positions. </w:t>
            </w:r>
            <w:r>
              <w:t xml:space="preserve"> All positions are supported by detailed task descriptions </w:t>
            </w:r>
            <w:r w:rsidR="00B75931">
              <w:t xml:space="preserve">with a list of </w:t>
            </w:r>
            <w:r>
              <w:t>competency requirement</w:t>
            </w:r>
            <w:r w:rsidR="00B75931">
              <w:t xml:space="preserve">s. Hiring </w:t>
            </w:r>
            <w:r>
              <w:t>is though competitive selection following the PR’s Human Resources Policy Manual.</w:t>
            </w:r>
          </w:p>
          <w:p w14:paraId="0C7755E5" w14:textId="385A9527" w:rsidR="00B75931" w:rsidRDefault="00B75931" w:rsidP="009B6C0D">
            <w:pPr>
              <w:spacing w:after="0"/>
            </w:pPr>
          </w:p>
          <w:p w14:paraId="1ED08FD7" w14:textId="77777777" w:rsidR="006D2E9A" w:rsidRDefault="00B75931" w:rsidP="009B6C0D">
            <w:pPr>
              <w:spacing w:after="0"/>
            </w:pPr>
            <w:r>
              <w:t>In the preparation of this FR, allocative efficiency has been considered by determining the extent to which committed domestic funding can be optimized, followed by other donor commitments (particularly that of USAID), before the determination of where TGF investment will be allocated more efficiently.</w:t>
            </w:r>
          </w:p>
          <w:p w14:paraId="4200ADE0" w14:textId="77777777" w:rsidR="006D2E9A" w:rsidRDefault="006D2E9A" w:rsidP="009B6C0D">
            <w:pPr>
              <w:spacing w:after="0"/>
            </w:pPr>
          </w:p>
          <w:p w14:paraId="4F129871" w14:textId="15C3D24C" w:rsidR="00B75931" w:rsidRDefault="00B75931" w:rsidP="009B6C0D">
            <w:pPr>
              <w:spacing w:after="0"/>
              <w:rPr>
                <w:color w:val="FF0000"/>
              </w:rPr>
            </w:pPr>
            <w:r>
              <w:t xml:space="preserve">Based on prioritization, </w:t>
            </w:r>
            <w:r w:rsidR="006D2E9A">
              <w:t xml:space="preserve">60% of the </w:t>
            </w:r>
            <w:r>
              <w:t xml:space="preserve">FR investment </w:t>
            </w:r>
            <w:r w:rsidR="006D2E9A">
              <w:t xml:space="preserve">will support the MDR TB module followed by the TCP module (25%), TB-HIV (4%), RSSH &amp; Human Rights (4%), and Program Management (7%).  </w:t>
            </w:r>
            <w:r w:rsidR="00EF3548">
              <w:t>Based on the TGF cost categories, the FR cost driver remains to be support to various health products and PSCM at 43% share followed by human resources augmentation at 20% and 14% for living support to clients. About 11% are planned for accessing external professional services</w:t>
            </w:r>
            <w:r w:rsidR="001D4280">
              <w:t xml:space="preserve">, </w:t>
            </w:r>
            <w:r w:rsidR="00EF3548">
              <w:t xml:space="preserve">8% for </w:t>
            </w:r>
            <w:r w:rsidR="001D4280">
              <w:t xml:space="preserve">travel related costs and 2% overhead cost in managing the grant.  </w:t>
            </w:r>
            <w:r w:rsidR="00EF3548">
              <w:t xml:space="preserve"> </w:t>
            </w:r>
          </w:p>
          <w:p w14:paraId="36572D85" w14:textId="77777777" w:rsidR="006D2E9A" w:rsidRDefault="006D2E9A" w:rsidP="009B6C0D">
            <w:pPr>
              <w:spacing w:after="0"/>
            </w:pPr>
          </w:p>
          <w:p w14:paraId="72CFC341" w14:textId="14C3B297" w:rsidR="00CD5B57" w:rsidRDefault="006D2E9A" w:rsidP="009B6C0D">
            <w:pPr>
              <w:spacing w:after="0"/>
            </w:pPr>
            <w:r>
              <w:t xml:space="preserve">The costing landscape of the Updated PhilSTEP 1 was prepared with much consideration of possible technical efficiencies. </w:t>
            </w:r>
            <w:r w:rsidR="00793928">
              <w:t>Part of the exercise was determining the allowable/unallowable costs items and funding priorities for each funding stream (NTP budget, PHIC budget, LGU Budget, USAID funds, WHO, etc.) vis-à-vis GF funding priorities and limitations.  Some of the key demonstrations showing technical efficiencies adopted includes, but not limited to the following: (1)</w:t>
            </w:r>
            <w:r>
              <w:t xml:space="preserve"> FR will support decentralization of MDR TB detection and case management at the primary care facilities</w:t>
            </w:r>
            <w:r w:rsidR="00793928">
              <w:t xml:space="preserve">. (2) Active case finding initiatives for TB has integrated HIV testing options.  (3) FR investments on TB-HIV collaboration strengthens the capacities of both TB facilities and HIV hubs for co-management. (4) Xpert MTB/Rif which were initially procured to support TB diagnosis has been shared with the HIV program to support HIV viral load testing. </w:t>
            </w:r>
          </w:p>
          <w:p w14:paraId="0C6478DD" w14:textId="2FAD4786" w:rsidR="00CD5B57" w:rsidRDefault="00CD5B57" w:rsidP="009B6C0D">
            <w:pPr>
              <w:spacing w:after="0"/>
            </w:pPr>
          </w:p>
          <w:p w14:paraId="5B4E7AE7" w14:textId="7BA9FDD1" w:rsidR="00CE4050" w:rsidRDefault="00CE4050" w:rsidP="00CE4050">
            <w:pPr>
              <w:spacing w:after="0"/>
            </w:pPr>
            <w:r>
              <w:lastRenderedPageBreak/>
              <w:t xml:space="preserve">As previously highlighted, this FR focuses almost </w:t>
            </w:r>
            <w:r w:rsidR="00E02815">
              <w:t xml:space="preserve">the </w:t>
            </w:r>
            <w:r>
              <w:t>entire</w:t>
            </w:r>
            <w:r w:rsidR="00E02815">
              <w:t xml:space="preserve">ty of </w:t>
            </w:r>
            <w:r>
              <w:t xml:space="preserve">TGF investment to support addressing barriers preventing equitable access of quality TB diagnostics and treatment, including preventive therapy for vulnerable population groups. </w:t>
            </w:r>
          </w:p>
          <w:p w14:paraId="29E037C6" w14:textId="19C87528" w:rsidR="00CE4050" w:rsidRDefault="00CE4050" w:rsidP="00CE4050">
            <w:pPr>
              <w:spacing w:after="0"/>
            </w:pPr>
          </w:p>
          <w:p w14:paraId="3A434B49" w14:textId="16F29F34" w:rsidR="00CE4050" w:rsidRDefault="00CE4050" w:rsidP="00CE4050">
            <w:pPr>
              <w:spacing w:after="0"/>
            </w:pPr>
            <w:r>
              <w:t xml:space="preserve">As the Philippines gear up to the full implementation of the UHC law, this FR is designed to use the TB Program as a tracer program in setting up Health Care Provider Networks, test alternative mechanism for procurement, modelling service contracting &amp; payment mechanisms, and advocating for increase domestic resource mobilization. Learning and insights gained from interventions included in the FR will be used to support further enhancement of UHC policies, guidelines, and procedures towards a comprehensive and unified health system (technical, managerial, and financial) integration form the primary care to the national level.   </w:t>
            </w:r>
          </w:p>
          <w:p w14:paraId="2A15E80F" w14:textId="554D740A" w:rsidR="00007809" w:rsidRPr="005305D5" w:rsidRDefault="00007809" w:rsidP="009B6C0D">
            <w:pPr>
              <w:spacing w:after="0"/>
            </w:pPr>
          </w:p>
        </w:tc>
      </w:tr>
    </w:tbl>
    <w:p w14:paraId="009DE181" w14:textId="77777777" w:rsidR="00EA6611" w:rsidRDefault="00EA6611" w:rsidP="009B6C0D">
      <w:pPr>
        <w:spacing w:after="0" w:line="0" w:lineRule="auto"/>
      </w:pPr>
      <w:r>
        <w:lastRenderedPageBreak/>
        <w:br w:type="page"/>
      </w:r>
    </w:p>
    <w:p w14:paraId="00FEB4E3" w14:textId="7947DA3B" w:rsidR="0098274C" w:rsidRPr="004F1255" w:rsidRDefault="0098274C" w:rsidP="00E07C20">
      <w:pPr>
        <w:pStyle w:val="Heading2"/>
        <w:numPr>
          <w:ilvl w:val="1"/>
          <w:numId w:val="25"/>
        </w:numPr>
        <w:shd w:val="clear" w:color="auto" w:fill="D9D9D9" w:themeFill="background1" w:themeFillShade="D9"/>
        <w:spacing w:before="0" w:after="0" w:line="240" w:lineRule="auto"/>
        <w:contextualSpacing/>
      </w:pPr>
      <w:r w:rsidRPr="004F1255">
        <w:lastRenderedPageBreak/>
        <w:t xml:space="preserve">Matching Funds </w:t>
      </w:r>
      <w:r w:rsidR="00064171">
        <w:t>(if applicable)</w:t>
      </w:r>
    </w:p>
    <w:p w14:paraId="33365B7C" w14:textId="77777777" w:rsidR="0003674B" w:rsidRDefault="0003674B" w:rsidP="009B6C0D">
      <w:pPr>
        <w:spacing w:after="0"/>
      </w:pPr>
    </w:p>
    <w:p w14:paraId="6427FD4D" w14:textId="1F26EBF2" w:rsidR="006D0956" w:rsidRDefault="006D0956" w:rsidP="009B6C0D">
      <w:pPr>
        <w:spacing w:after="0"/>
      </w:pPr>
      <w:r>
        <w:t xml:space="preserve">This question should </w:t>
      </w:r>
      <w:r w:rsidRPr="004F1255">
        <w:t xml:space="preserve">only </w:t>
      </w:r>
      <w:r>
        <w:t>be answered by</w:t>
      </w:r>
      <w:r w:rsidRPr="004F1255">
        <w:t xml:space="preserve"> applicants with designated matching funds, as indicated in </w:t>
      </w:r>
      <w:r w:rsidR="000E4E8B">
        <w:t xml:space="preserve">the </w:t>
      </w:r>
      <w:r w:rsidRPr="004F1255">
        <w:t>allocation letter</w:t>
      </w:r>
      <w:r>
        <w:t>.</w:t>
      </w:r>
    </w:p>
    <w:p w14:paraId="7002C322" w14:textId="77777777" w:rsidR="0003674B" w:rsidRDefault="0003674B" w:rsidP="009B6C0D">
      <w:pPr>
        <w:spacing w:after="0"/>
      </w:pPr>
    </w:p>
    <w:p w14:paraId="466E1426" w14:textId="47608335" w:rsidR="0098274C" w:rsidRDefault="006D0956" w:rsidP="009B6C0D">
      <w:pPr>
        <w:spacing w:after="0"/>
      </w:pPr>
      <w:r>
        <w:t>D</w:t>
      </w:r>
      <w:r w:rsidR="0098274C" w:rsidRPr="004F1255">
        <w:t xml:space="preserve">escribe how the </w:t>
      </w:r>
      <w:r w:rsidR="0098274C" w:rsidRPr="005A32E0">
        <w:rPr>
          <w:b/>
        </w:rPr>
        <w:t>programmatic and financial conditions</w:t>
      </w:r>
      <w:r w:rsidR="002A1D61" w:rsidRPr="004F1255">
        <w:t>,</w:t>
      </w:r>
      <w:r w:rsidR="0098274C" w:rsidRPr="004F1255">
        <w:t xml:space="preserve"> as outlined in </w:t>
      </w:r>
      <w:r w:rsidR="002A1D61" w:rsidRPr="004F1255">
        <w:t>the allocation letter, have been met.</w:t>
      </w:r>
    </w:p>
    <w:p w14:paraId="5C9655F4" w14:textId="77777777" w:rsidR="0003674B" w:rsidRDefault="0003674B" w:rsidP="009B6C0D">
      <w:pPr>
        <w:spacing w:after="0"/>
      </w:pPr>
    </w:p>
    <w:tbl>
      <w:tblPr>
        <w:tblStyle w:val="TableGrid"/>
        <w:tblW w:w="0" w:type="auto"/>
        <w:tblLook w:val="04A0" w:firstRow="1" w:lastRow="0" w:firstColumn="1" w:lastColumn="0" w:noHBand="0" w:noVBand="1"/>
      </w:tblPr>
      <w:tblGrid>
        <w:gridCol w:w="10456"/>
      </w:tblGrid>
      <w:tr w:rsidR="0098274C" w:rsidRPr="005305D5" w14:paraId="3A82466F" w14:textId="77777777" w:rsidTr="00D63E4B">
        <w:tc>
          <w:tcPr>
            <w:tcW w:w="10790" w:type="dxa"/>
          </w:tcPr>
          <w:p w14:paraId="41FF524E" w14:textId="6AFD1D4A" w:rsidR="00B36CC3" w:rsidRDefault="00B36CC3" w:rsidP="00B36CC3">
            <w:pPr>
              <w:spacing w:after="0"/>
            </w:pPr>
            <w:r>
              <w:t xml:space="preserve">The Philippines is eligible for </w:t>
            </w:r>
            <w:r w:rsidR="00A87402">
              <w:t>additional catalytic matching fund for the TB portfolio amounting to USD 10M that will be accessed to find missing people with T</w:t>
            </w:r>
            <w:r w:rsidR="00E02815">
              <w:t>B</w:t>
            </w:r>
            <w:r w:rsidR="00A87402">
              <w:t xml:space="preserve">. </w:t>
            </w:r>
          </w:p>
          <w:p w14:paraId="2AD0FFC0" w14:textId="2EF025AB" w:rsidR="007A440D" w:rsidRDefault="007A440D" w:rsidP="00B36CC3">
            <w:pPr>
              <w:spacing w:after="0"/>
            </w:pPr>
          </w:p>
          <w:p w14:paraId="4DE1DE72" w14:textId="0C5E6E6E" w:rsidR="007A440D" w:rsidRDefault="007A440D" w:rsidP="00B36CC3">
            <w:pPr>
              <w:spacing w:after="0"/>
            </w:pPr>
            <w:r w:rsidRPr="00B70D24">
              <w:t xml:space="preserve">The FR reflects at least USD 20M for finding missing TB cases through systematic screening under the TBCP module. The additional USD 10M is being optimized to find missing TB cases through private health care sector engagement as detailed below. </w:t>
            </w:r>
            <w:r w:rsidR="00D4560E" w:rsidRPr="00B70D24">
              <w:t xml:space="preserve">For the ongoing AccessTB Grant, roughly USD </w:t>
            </w:r>
            <w:r w:rsidR="003F3B7B" w:rsidRPr="00B70D24">
              <w:t xml:space="preserve">14.4 </w:t>
            </w:r>
            <w:r w:rsidR="00D4560E" w:rsidRPr="00B70D24">
              <w:t>M is allocated for TBCP</w:t>
            </w:r>
            <w:r w:rsidR="003F3B7B" w:rsidRPr="00B70D24">
              <w:t xml:space="preserve"> – finding missing TB cases</w:t>
            </w:r>
            <w:r w:rsidR="00D4560E" w:rsidRPr="00B70D24">
              <w:t>.</w:t>
            </w:r>
            <w:r w:rsidR="00D4560E">
              <w:t xml:space="preserve"> </w:t>
            </w:r>
          </w:p>
          <w:p w14:paraId="1DBF2165" w14:textId="60B01DE7" w:rsidR="0051770C" w:rsidRDefault="0051770C" w:rsidP="00B36CC3">
            <w:pPr>
              <w:spacing w:after="0"/>
            </w:pPr>
          </w:p>
          <w:p w14:paraId="1B79B05D" w14:textId="77777777" w:rsidR="00E02815" w:rsidRDefault="00E02815" w:rsidP="00E02815">
            <w:pPr>
              <w:spacing w:after="0"/>
            </w:pPr>
            <w:r>
              <w:t xml:space="preserve">Between 2021 to 2023, engaging private providers will directly contribute to TB case notification as follows: 2021: 75,750, 2022: 92,925, and 2023: 97,615. Substantially, at least 10 103 private physicians in highly urbanized cities nationwide will be part of the comprehensive TB care network integrated in the HCPN.         </w:t>
            </w:r>
          </w:p>
          <w:p w14:paraId="5F780C38" w14:textId="266FA878" w:rsidR="00E02815" w:rsidRDefault="00E02815" w:rsidP="00E02815">
            <w:pPr>
              <w:spacing w:after="0"/>
            </w:pPr>
            <w:r>
              <w:t xml:space="preserve">   </w:t>
            </w:r>
          </w:p>
          <w:p w14:paraId="295F8BD7" w14:textId="77777777" w:rsidR="0051770C" w:rsidRDefault="0051770C" w:rsidP="0051770C">
            <w:pPr>
              <w:spacing w:after="0"/>
            </w:pPr>
            <w:r w:rsidRPr="00721D89">
              <w:t>In 2017 the NTP and partners developed a “National Action Plan for Public-Private Mix on Private Sector Participation in TB Care and Prevention, 2018-2022”.</w:t>
            </w:r>
            <w:r>
              <w:t xml:space="preserve"> Given the important role of private healthcare in the Philippines health system, PPM has never received the budgetary and management priority that it deserves. PPM initiatives have been small, time-bound and externally funded. Currently, only a tiny proportion of private healthcare providers are engaged by the program: 677 providers are registered in ITIS but in the first 6 months of 2019 only 81 provided program-supported treatment and 285 referred patients, while 311 (46%) were inactive.  There are only 146 private program-supported DOTS facilities, and only 108 are accredited with PhilHealth. </w:t>
            </w:r>
          </w:p>
          <w:p w14:paraId="51848135" w14:textId="77777777" w:rsidR="0051770C" w:rsidRDefault="0051770C" w:rsidP="0051770C">
            <w:pPr>
              <w:spacing w:after="0"/>
            </w:pPr>
            <w:r>
              <w:t xml:space="preserve"> </w:t>
            </w:r>
          </w:p>
          <w:p w14:paraId="635DC0BE" w14:textId="77777777" w:rsidR="0051770C" w:rsidRDefault="0051770C" w:rsidP="0051770C">
            <w:pPr>
              <w:spacing w:after="0"/>
            </w:pPr>
            <w:r>
              <w:t>Private providers lack access to (and potentially awareness of and confidence in) affordable molecular testing for TB; they rely too much on chest x-rays and clinical diagnosis. As a result, many TB cases may be missed, and many of those treated for TB in the private sector may not have TB.  A recently</w:t>
            </w:r>
          </w:p>
          <w:p w14:paraId="1EB827D8" w14:textId="77777777" w:rsidR="0051770C" w:rsidRDefault="0051770C" w:rsidP="0051770C">
            <w:pPr>
              <w:spacing w:after="0"/>
            </w:pPr>
            <w:r>
              <w:t>established consortium of 15 private laboratories will soon avail Xpert cartridges and equipment at reduced prices.  However, the expected consumer price will still be about USD 42, which will likely be unaffordable for most patients, especially given that private doctors are evidently willing to prescribe TB drugs based on clinical signs and CxR findings.</w:t>
            </w:r>
          </w:p>
          <w:p w14:paraId="1419AF71" w14:textId="16A0A150" w:rsidR="00B36CC3" w:rsidRDefault="00B36CC3" w:rsidP="00B36CC3">
            <w:pPr>
              <w:spacing w:after="0"/>
            </w:pPr>
          </w:p>
          <w:p w14:paraId="4D55CFAB" w14:textId="34098691" w:rsidR="00D6565D" w:rsidRDefault="00D6565D" w:rsidP="00B36CC3">
            <w:pPr>
              <w:spacing w:after="0"/>
            </w:pPr>
            <w:r>
              <w:t xml:space="preserve">As part of the </w:t>
            </w:r>
            <w:r w:rsidR="0051770C">
              <w:t>ongoing TGF Grant for TB in the Philippines (</w:t>
            </w:r>
            <w:r>
              <w:t>AccessTB Project</w:t>
            </w:r>
            <w:r w:rsidR="0051770C">
              <w:t>)</w:t>
            </w:r>
            <w:r>
              <w:t xml:space="preserve">, an assessment will be conducted </w:t>
            </w:r>
            <w:r w:rsidR="0051770C">
              <w:t xml:space="preserve">in 2020 </w:t>
            </w:r>
            <w:r>
              <w:t xml:space="preserve">to review the progress of the country vis-à-vis the </w:t>
            </w:r>
            <w:r w:rsidR="0051770C">
              <w:t xml:space="preserve">Public-Private Mix </w:t>
            </w:r>
            <w:r>
              <w:t>National Action Plan</w:t>
            </w:r>
            <w:r w:rsidR="0051770C">
              <w:t xml:space="preserve"> to better support the private sector engagement strategy being proposed under this FR. </w:t>
            </w:r>
            <w:r>
              <w:t xml:space="preserve"> </w:t>
            </w:r>
          </w:p>
          <w:p w14:paraId="1CBFFD43" w14:textId="77777777" w:rsidR="00D6565D" w:rsidRDefault="00D6565D" w:rsidP="00B36CC3">
            <w:pPr>
              <w:spacing w:after="0"/>
            </w:pPr>
          </w:p>
          <w:p w14:paraId="3F77D981" w14:textId="0B5992E7" w:rsidR="00A87402" w:rsidRDefault="00A87402" w:rsidP="00B36CC3">
            <w:pPr>
              <w:spacing w:after="0"/>
            </w:pPr>
            <w:r>
              <w:t>In 2018, AccessTB Project introduced TB Notification Officers to promote mandatory case notification among private physicians in hospitals located in the big three regions. The intervention contributed to about 18% of total TB case notification</w:t>
            </w:r>
            <w:r w:rsidR="00E02815">
              <w:t>s</w:t>
            </w:r>
            <w:r>
              <w:t xml:space="preserve"> from 8,703 engaged private physicians.</w:t>
            </w:r>
            <w:r w:rsidR="00684FD7">
              <w:t xml:space="preserve"> The matching fund will be earmarked to scale-up this innovative approach, with additional elements to optimize private health care provider engagement to also contribute to better diagnosis and treatment outcome results.  </w:t>
            </w:r>
            <w:r>
              <w:t xml:space="preserve"> </w:t>
            </w:r>
          </w:p>
          <w:p w14:paraId="71E719FC" w14:textId="77777777" w:rsidR="00A87402" w:rsidRDefault="00A87402" w:rsidP="00B36CC3">
            <w:pPr>
              <w:spacing w:after="0"/>
            </w:pPr>
          </w:p>
          <w:p w14:paraId="2E1D70EF" w14:textId="59A98E10" w:rsidR="0098274C" w:rsidRPr="005305D5" w:rsidRDefault="00684FD7" w:rsidP="00FA04B6">
            <w:pPr>
              <w:spacing w:after="0"/>
            </w:pPr>
            <w:r>
              <w:t xml:space="preserve">The new element to be added in scaling up this intervention is building capacity of engaged private physicians to become part of the TB Health Care Provider Network, beyond just simply engaging them to comply with mandatory case notification. </w:t>
            </w:r>
            <w:r w:rsidR="00B70B7D">
              <w:t xml:space="preserve">Being part of the TB </w:t>
            </w:r>
            <w:r w:rsidR="00E02815">
              <w:t>care network</w:t>
            </w:r>
            <w:r w:rsidR="00B70B7D">
              <w:t xml:space="preserve"> means engaged private physicians comply to NTP diagnostic and treatment algorithms and use ITIS for TB data real time recording and reporting. Furthermore, engaging private providers more sustainably </w:t>
            </w:r>
            <w:r w:rsidR="00E02815">
              <w:t xml:space="preserve">increase </w:t>
            </w:r>
            <w:r w:rsidR="00B70B7D">
              <w:t>human resource</w:t>
            </w:r>
            <w:r w:rsidR="00E02815">
              <w:t>s</w:t>
            </w:r>
            <w:r w:rsidR="00B70B7D">
              <w:t xml:space="preserve"> for TB and paves </w:t>
            </w:r>
            <w:r w:rsidR="00E02815">
              <w:t xml:space="preserve">the </w:t>
            </w:r>
            <w:r w:rsidR="00B70B7D">
              <w:t xml:space="preserve">way to better market access to </w:t>
            </w:r>
            <w:r w:rsidR="005C7854">
              <w:t xml:space="preserve">TB </w:t>
            </w:r>
            <w:r w:rsidR="00E02815">
              <w:t>molecular RDT</w:t>
            </w:r>
            <w:r w:rsidR="00C96624">
              <w:t xml:space="preserve"> and innovative medicines (SLD</w:t>
            </w:r>
            <w:r w:rsidR="00B70B7D">
              <w:t xml:space="preserve"> and </w:t>
            </w:r>
            <w:r w:rsidR="00C96624">
              <w:t>TPT)</w:t>
            </w:r>
            <w:r w:rsidR="00B70B7D">
              <w:t xml:space="preserve">. Moreover, engaging the private providers will greatly improve quality of TB care delivery which will support </w:t>
            </w:r>
            <w:r w:rsidR="00E02815">
              <w:t xml:space="preserve">a </w:t>
            </w:r>
            <w:r w:rsidR="00B70B7D">
              <w:t xml:space="preserve">reduction </w:t>
            </w:r>
            <w:r w:rsidR="00E02815">
              <w:t>in</w:t>
            </w:r>
            <w:r w:rsidR="00B70B7D">
              <w:t xml:space="preserve"> clinically diagnosed TB cases. It is important to note that in 2018, about 98% of all notified cases from mandatory case notification (from private providers) were clinically diagnosed. </w:t>
            </w:r>
          </w:p>
        </w:tc>
      </w:tr>
    </w:tbl>
    <w:p w14:paraId="32D4E059" w14:textId="77777777" w:rsidR="0098274C" w:rsidRPr="005305D5" w:rsidRDefault="0098274C" w:rsidP="009B6C0D">
      <w:pPr>
        <w:pStyle w:val="ListParagraph"/>
        <w:spacing w:after="0"/>
      </w:pPr>
    </w:p>
    <w:p w14:paraId="2BAF8FDF" w14:textId="1472C2E6" w:rsidR="0098274C" w:rsidRPr="0098274C" w:rsidRDefault="0003674B" w:rsidP="0003674B">
      <w:pPr>
        <w:pStyle w:val="Heading1"/>
        <w:numPr>
          <w:ilvl w:val="0"/>
          <w:numId w:val="0"/>
        </w:numPr>
        <w:spacing w:before="0"/>
        <w:ind w:left="567" w:hanging="567"/>
      </w:pPr>
      <w:bookmarkStart w:id="20" w:name="_Toc7075896"/>
      <w:bookmarkStart w:id="21" w:name="_Toc7080092"/>
      <w:bookmarkStart w:id="22" w:name="_Toc7080213"/>
      <w:bookmarkStart w:id="23" w:name="_Toc7080228"/>
      <w:bookmarkStart w:id="24" w:name="_Toc7082335"/>
      <w:bookmarkStart w:id="25" w:name="_Toc1122238"/>
      <w:bookmarkStart w:id="26" w:name="_Toc1127667"/>
      <w:bookmarkStart w:id="27" w:name="_Toc5011519"/>
      <w:bookmarkStart w:id="28" w:name="_Toc5195533"/>
      <w:bookmarkStart w:id="29" w:name="_Toc6994679"/>
      <w:bookmarkStart w:id="30" w:name="_Toc7000520"/>
      <w:bookmarkStart w:id="31" w:name="_Toc7000630"/>
      <w:bookmarkStart w:id="32" w:name="_Toc7074796"/>
      <w:r>
        <w:t xml:space="preserve">Section 3: </w:t>
      </w:r>
      <w:r w:rsidR="0098274C" w:rsidRPr="0098274C">
        <w:t>Operationalization and Implementati</w:t>
      </w:r>
      <w:r w:rsidR="00684FD7">
        <w:t>o</w:t>
      </w:r>
      <w:r w:rsidR="0098274C" w:rsidRPr="0098274C">
        <w:t>n Arrangements</w:t>
      </w:r>
    </w:p>
    <w:bookmarkEnd w:id="20"/>
    <w:bookmarkEnd w:id="21"/>
    <w:bookmarkEnd w:id="22"/>
    <w:bookmarkEnd w:id="23"/>
    <w:bookmarkEnd w:id="24"/>
    <w:bookmarkEnd w:id="25"/>
    <w:bookmarkEnd w:id="26"/>
    <w:bookmarkEnd w:id="27"/>
    <w:bookmarkEnd w:id="28"/>
    <w:bookmarkEnd w:id="29"/>
    <w:bookmarkEnd w:id="30"/>
    <w:bookmarkEnd w:id="31"/>
    <w:bookmarkEnd w:id="32"/>
    <w:p w14:paraId="6C15B62D" w14:textId="77777777" w:rsidR="004544BB" w:rsidRDefault="004544BB" w:rsidP="009B6C0D">
      <w:pPr>
        <w:spacing w:after="0"/>
      </w:pPr>
    </w:p>
    <w:p w14:paraId="6B42C937" w14:textId="130624AF" w:rsidR="00250AD1" w:rsidRPr="0099505A" w:rsidRDefault="004544BB" w:rsidP="009B6C0D">
      <w:pPr>
        <w:spacing w:after="0"/>
        <w:rPr>
          <w:rFonts w:cs="Arial"/>
          <w:bCs/>
          <w:iCs/>
        </w:rPr>
      </w:pPr>
      <w:r>
        <w:t xml:space="preserve">To respond to the questions below, refer to the </w:t>
      </w:r>
      <w:r w:rsidRPr="00DD3612">
        <w:rPr>
          <w:i/>
        </w:rPr>
        <w:t>Instructions</w:t>
      </w:r>
      <w:r>
        <w:rPr>
          <w:i/>
        </w:rPr>
        <w:t xml:space="preserve"> </w:t>
      </w:r>
      <w:r w:rsidRPr="004F1255">
        <w:t xml:space="preserve">and </w:t>
      </w:r>
      <w:r w:rsidR="00A85062">
        <w:t xml:space="preserve">an </w:t>
      </w:r>
      <w:r w:rsidR="0024579D">
        <w:t>updated</w:t>
      </w:r>
      <w:r w:rsidRPr="00DD3612">
        <w:rPr>
          <w:i/>
        </w:rPr>
        <w:t xml:space="preserve"> </w:t>
      </w:r>
      <w:r w:rsidR="00C90482">
        <w:rPr>
          <w:b/>
        </w:rPr>
        <w:t>Implementation A</w:t>
      </w:r>
      <w:r w:rsidR="005C4C3E">
        <w:rPr>
          <w:b/>
        </w:rPr>
        <w:t>rrangement</w:t>
      </w:r>
      <w:r w:rsidR="00C90482">
        <w:rPr>
          <w:b/>
        </w:rPr>
        <w:t xml:space="preserve"> M</w:t>
      </w:r>
      <w:r w:rsidR="00744405" w:rsidRPr="00AB0657">
        <w:rPr>
          <w:b/>
        </w:rPr>
        <w:t>ap</w:t>
      </w:r>
      <w:r w:rsidR="0024579D">
        <w:rPr>
          <w:rStyle w:val="FootnoteReference"/>
        </w:rPr>
        <w:footnoteReference w:id="10"/>
      </w:r>
      <w:r w:rsidR="00744405" w:rsidRPr="0024579D">
        <w:t>.</w:t>
      </w:r>
    </w:p>
    <w:p w14:paraId="0FDD8F72" w14:textId="77777777" w:rsidR="00DE1608" w:rsidRDefault="00DE1608" w:rsidP="009B6C0D">
      <w:pPr>
        <w:spacing w:after="0"/>
      </w:pPr>
    </w:p>
    <w:p w14:paraId="778414DF" w14:textId="3FD0DB5B" w:rsidR="00EA6611" w:rsidRDefault="00EA6611" w:rsidP="00E07C20">
      <w:pPr>
        <w:pStyle w:val="ListParagraph"/>
        <w:numPr>
          <w:ilvl w:val="0"/>
          <w:numId w:val="22"/>
        </w:numPr>
        <w:spacing w:after="0" w:line="260" w:lineRule="atLeast"/>
        <w:ind w:left="450" w:hanging="450"/>
      </w:pPr>
      <w:r w:rsidRPr="004F1255">
        <w:t xml:space="preserve">Describe how </w:t>
      </w:r>
      <w:r w:rsidR="00EE2777">
        <w:t xml:space="preserve">the </w:t>
      </w:r>
      <w:r w:rsidRPr="004F1255">
        <w:t xml:space="preserve">proposed </w:t>
      </w:r>
      <w:r w:rsidRPr="00B656A9">
        <w:rPr>
          <w:b/>
        </w:rPr>
        <w:t>implementation arrangements</w:t>
      </w:r>
      <w:r w:rsidRPr="004F1255">
        <w:t xml:space="preserve"> will ensure </w:t>
      </w:r>
      <w:r w:rsidRPr="00B656A9">
        <w:t>efficient program delivery</w:t>
      </w:r>
      <w:r w:rsidRPr="004F1255">
        <w:t>.</w:t>
      </w:r>
    </w:p>
    <w:p w14:paraId="4A7C011C" w14:textId="77777777" w:rsidR="0003674B" w:rsidRPr="004F1255" w:rsidRDefault="0003674B" w:rsidP="0003674B">
      <w:pPr>
        <w:pStyle w:val="ListParagraph"/>
        <w:spacing w:after="0" w:line="260" w:lineRule="atLeast"/>
        <w:ind w:left="450"/>
      </w:pPr>
    </w:p>
    <w:tbl>
      <w:tblPr>
        <w:tblStyle w:val="TableGrid"/>
        <w:tblW w:w="0" w:type="auto"/>
        <w:tblLook w:val="04A0" w:firstRow="1" w:lastRow="0" w:firstColumn="1" w:lastColumn="0" w:noHBand="0" w:noVBand="1"/>
      </w:tblPr>
      <w:tblGrid>
        <w:gridCol w:w="10456"/>
      </w:tblGrid>
      <w:tr w:rsidR="00EA6611" w:rsidRPr="005305D5" w14:paraId="4689B519" w14:textId="77777777" w:rsidTr="007543E4">
        <w:tc>
          <w:tcPr>
            <w:tcW w:w="10790" w:type="dxa"/>
          </w:tcPr>
          <w:p w14:paraId="41133A5A" w14:textId="77777777" w:rsidR="006D25DA" w:rsidRDefault="00843FE4" w:rsidP="009B6C0D">
            <w:pPr>
              <w:spacing w:after="0"/>
            </w:pPr>
            <w:r>
              <w:t xml:space="preserve">The Philippine CCM endorsed the Philippine Business for Social Progress, Inc. (PBSP) as the principal recipient (PR) for TGF TB grant cycle 2021-2023. PBSP is the current PR for TGF TB grant cycle 2018-2020.  </w:t>
            </w:r>
          </w:p>
          <w:p w14:paraId="6B55CD77" w14:textId="77777777" w:rsidR="006D25DA" w:rsidRDefault="006D25DA" w:rsidP="009B6C0D">
            <w:pPr>
              <w:spacing w:after="0"/>
            </w:pPr>
          </w:p>
          <w:p w14:paraId="1A96C7CF" w14:textId="1A862B6C" w:rsidR="006D25DA" w:rsidRDefault="006D25DA" w:rsidP="009B6C0D">
            <w:pPr>
              <w:spacing w:after="0"/>
            </w:pPr>
            <w:r>
              <w:t xml:space="preserve">PBSP will directly administer the grant and implementation will be though </w:t>
            </w:r>
            <w:r w:rsidRPr="006D25DA">
              <w:t>the DOH national and regional centers, in coordination with the health facilities at the various LGUs.</w:t>
            </w:r>
            <w:r>
              <w:t xml:space="preserve"> </w:t>
            </w:r>
          </w:p>
          <w:p w14:paraId="7FFC104C" w14:textId="77777777" w:rsidR="000B29EC" w:rsidRDefault="000B29EC" w:rsidP="000B29EC">
            <w:pPr>
              <w:spacing w:after="0"/>
            </w:pPr>
          </w:p>
          <w:p w14:paraId="187134A9" w14:textId="5C6BB20E" w:rsidR="009E7ACD" w:rsidRPr="005305D5" w:rsidRDefault="000B29EC" w:rsidP="009E7ACD">
            <w:pPr>
              <w:spacing w:after="0"/>
            </w:pPr>
            <w:r>
              <w:t xml:space="preserve">For both </w:t>
            </w:r>
            <w:r w:rsidR="009E7ACD">
              <w:t>MDR TB</w:t>
            </w:r>
            <w:r>
              <w:t xml:space="preserve"> and TB-HIV Collaboration modules, PBSP will continue to operate following the current implementation arrangement for the AccessTB Project. </w:t>
            </w:r>
            <w:r w:rsidR="009E7ACD">
              <w:t xml:space="preserve">For the RSSH module, PBSP will engage consultants/institutions through professional service agreements to deliver grant support requirements to target groups.           </w:t>
            </w:r>
          </w:p>
          <w:p w14:paraId="283C883B" w14:textId="77777777" w:rsidR="006D25DA" w:rsidRDefault="006D25DA" w:rsidP="009B6C0D">
            <w:pPr>
              <w:spacing w:after="0"/>
            </w:pPr>
          </w:p>
          <w:p w14:paraId="16BDD274" w14:textId="43116532" w:rsidR="000B29EC" w:rsidRDefault="006D25DA" w:rsidP="009B6C0D">
            <w:pPr>
              <w:spacing w:after="0"/>
            </w:pPr>
            <w:r>
              <w:t xml:space="preserve">For TCP </w:t>
            </w:r>
            <w:r w:rsidR="009E7ACD">
              <w:t xml:space="preserve">module, </w:t>
            </w:r>
            <w:r>
              <w:t xml:space="preserve">PBSP will continue to directly implement the ACF using four AccessTB mobile vans. </w:t>
            </w:r>
            <w:r w:rsidR="000B29EC">
              <w:t xml:space="preserve">PBSP will also directly manage service contracting of high-volume facilities for ICF using CxR voucher system. </w:t>
            </w:r>
            <w:r>
              <w:t xml:space="preserve">ACF in communities </w:t>
            </w:r>
            <w:r w:rsidR="000B29EC">
              <w:t xml:space="preserve">to reach the vulnerable population </w:t>
            </w:r>
            <w:r>
              <w:t xml:space="preserve">will be implemented </w:t>
            </w:r>
            <w:r w:rsidR="000B29EC">
              <w:t xml:space="preserve">through service contract engagement of </w:t>
            </w:r>
            <w:r>
              <w:t xml:space="preserve">at least 20 </w:t>
            </w:r>
            <w:r w:rsidR="004E38A9">
              <w:t>CSOs</w:t>
            </w:r>
            <w:r w:rsidR="000B29EC">
              <w:t xml:space="preserve"> nationwide. These </w:t>
            </w:r>
            <w:r w:rsidR="004E38A9">
              <w:t>CSO</w:t>
            </w:r>
            <w:r w:rsidR="000B29EC">
              <w:t xml:space="preserve">s would have been selected to support in 2021-2023 based on their performance in the current grant performing the same function. The Philippine Coalition against Tuberculosis (PhilCAT) will be engaged as sub-recipient to manage and implement the intervention package in engaging private health care providers to be part of the </w:t>
            </w:r>
            <w:r w:rsidR="00834D2F">
              <w:t xml:space="preserve">comprehensive </w:t>
            </w:r>
            <w:r w:rsidR="000B29EC">
              <w:t xml:space="preserve">TB </w:t>
            </w:r>
            <w:r w:rsidR="00834D2F">
              <w:t>c</w:t>
            </w:r>
            <w:r w:rsidR="000B29EC">
              <w:t xml:space="preserve">are </w:t>
            </w:r>
            <w:r w:rsidR="00834D2F">
              <w:t>n</w:t>
            </w:r>
            <w:r w:rsidR="000B29EC">
              <w:t>etwork</w:t>
            </w:r>
            <w:r w:rsidR="00834D2F">
              <w:t xml:space="preserve"> integrated in the HCPN.</w:t>
            </w:r>
          </w:p>
          <w:p w14:paraId="526D59F1" w14:textId="77777777" w:rsidR="001C2F6B" w:rsidRDefault="001C2F6B" w:rsidP="001C2F6B">
            <w:pPr>
              <w:spacing w:after="0"/>
            </w:pPr>
          </w:p>
          <w:p w14:paraId="2F36D9E0" w14:textId="580347F0" w:rsidR="001C2F6B" w:rsidRDefault="001C2F6B" w:rsidP="001C2F6B">
            <w:pPr>
              <w:spacing w:after="0"/>
            </w:pPr>
            <w:r>
              <w:t xml:space="preserve">The NTP TWG </w:t>
            </w:r>
            <w:r w:rsidR="00E02815">
              <w:t xml:space="preserve">continues to provide </w:t>
            </w:r>
            <w:r>
              <w:t xml:space="preserve">technical oversight for the </w:t>
            </w:r>
            <w:proofErr w:type="gramStart"/>
            <w:r>
              <w:t xml:space="preserve">grant, </w:t>
            </w:r>
            <w:r w:rsidR="00E02815">
              <w:t>and</w:t>
            </w:r>
            <w:proofErr w:type="gramEnd"/>
            <w:r w:rsidR="00E02815">
              <w:t xml:space="preserve"> </w:t>
            </w:r>
            <w:r>
              <w:t xml:space="preserve">will regularly report to the PCOC and the PCCM.    </w:t>
            </w:r>
          </w:p>
          <w:p w14:paraId="0F119A41" w14:textId="31575873" w:rsidR="00EA6611" w:rsidRDefault="00EA6611" w:rsidP="009E7ACD">
            <w:pPr>
              <w:spacing w:after="0"/>
            </w:pPr>
          </w:p>
          <w:p w14:paraId="0D54F1A9" w14:textId="7D1D6A23" w:rsidR="00F20EFD" w:rsidRDefault="00F20EFD" w:rsidP="009E7ACD">
            <w:pPr>
              <w:spacing w:after="0"/>
            </w:pPr>
            <w:r>
              <w:t xml:space="preserve">Learning from the previous and current project operating structure, PBSP will move from a vertical structure (by module) to a horizontal structure - whereby teams will be organized by geographical coverage. This will allow more integrated management of the grant which proved to be more efficient considering the scale of operations. </w:t>
            </w:r>
          </w:p>
          <w:p w14:paraId="6C7DC303" w14:textId="2FAF4580" w:rsidR="001C2F6B" w:rsidRDefault="001C2F6B" w:rsidP="009E7ACD">
            <w:pPr>
              <w:spacing w:after="0"/>
            </w:pPr>
          </w:p>
          <w:p w14:paraId="0820AACD" w14:textId="684527CD" w:rsidR="00201E26" w:rsidRDefault="001C2F6B" w:rsidP="001C2F6B">
            <w:pPr>
              <w:spacing w:after="0"/>
            </w:pPr>
            <w:r>
              <w:t>Provisions within the grant agreement and the PBSP procurement policy will guide all procurement related activities of this funding request. The PBSP procurement manual details all policies and procedures related to procurement and supply chain management of PBSP, which is applied to all its programs and projects. Noteworthy is the presence of Bids and Awards Committee, PBSP Levels of Authority Manual, and a Fixed Assets Registry. Procurement of SLDs will remain to be via the GDF.</w:t>
            </w:r>
          </w:p>
          <w:p w14:paraId="7E9F7648" w14:textId="4187BAAF" w:rsidR="00F20EFD" w:rsidRPr="005305D5" w:rsidRDefault="00F20EFD" w:rsidP="009E7ACD">
            <w:pPr>
              <w:spacing w:after="0"/>
            </w:pPr>
          </w:p>
        </w:tc>
      </w:tr>
    </w:tbl>
    <w:p w14:paraId="3D012234" w14:textId="3B55D9CE" w:rsidR="0003674B" w:rsidRDefault="0003674B" w:rsidP="0099505A">
      <w:pPr>
        <w:spacing w:after="0" w:line="260" w:lineRule="atLeast"/>
      </w:pPr>
    </w:p>
    <w:p w14:paraId="75FE2F91" w14:textId="6F8A09E4" w:rsidR="009209C9" w:rsidRDefault="009209C9" w:rsidP="00E07C20">
      <w:pPr>
        <w:pStyle w:val="ListParagraph"/>
        <w:numPr>
          <w:ilvl w:val="0"/>
          <w:numId w:val="22"/>
        </w:numPr>
        <w:spacing w:after="0" w:line="260" w:lineRule="atLeast"/>
        <w:ind w:left="450" w:hanging="450"/>
      </w:pPr>
      <w:r w:rsidRPr="004F1255">
        <w:t>Describe the role that </w:t>
      </w:r>
      <w:r w:rsidRPr="005A32E0">
        <w:rPr>
          <w:b/>
        </w:rPr>
        <w:t>community-based organizations</w:t>
      </w:r>
      <w:r w:rsidRPr="004F1255">
        <w:t> will play under the implementation arrangements.</w:t>
      </w:r>
    </w:p>
    <w:p w14:paraId="1DAA6A57" w14:textId="77777777" w:rsidR="0003674B" w:rsidRPr="004F1255" w:rsidRDefault="0003674B" w:rsidP="0003674B">
      <w:pPr>
        <w:pStyle w:val="ListParagraph"/>
        <w:spacing w:after="0" w:line="260" w:lineRule="atLeast"/>
        <w:ind w:left="450"/>
      </w:pPr>
    </w:p>
    <w:tbl>
      <w:tblPr>
        <w:tblStyle w:val="TableGrid"/>
        <w:tblW w:w="0" w:type="auto"/>
        <w:tblLook w:val="04A0" w:firstRow="1" w:lastRow="0" w:firstColumn="1" w:lastColumn="0" w:noHBand="0" w:noVBand="1"/>
      </w:tblPr>
      <w:tblGrid>
        <w:gridCol w:w="10456"/>
      </w:tblGrid>
      <w:tr w:rsidR="009209C9" w:rsidRPr="005305D5" w14:paraId="5B42561A" w14:textId="77777777" w:rsidTr="009209C9">
        <w:tc>
          <w:tcPr>
            <w:tcW w:w="10456" w:type="dxa"/>
          </w:tcPr>
          <w:p w14:paraId="690A72E5" w14:textId="4EBF3404" w:rsidR="00E30518" w:rsidRDefault="00E30518" w:rsidP="001C2F6B">
            <w:pPr>
              <w:spacing w:after="0"/>
            </w:pPr>
            <w:r>
              <w:t xml:space="preserve">PBSP will engage PhilCAT, an NGO, as Sub-recipient for private health care provider engagement in finding missing TB cases. </w:t>
            </w:r>
          </w:p>
          <w:p w14:paraId="79C4F6B5" w14:textId="77777777" w:rsidR="00E30518" w:rsidRDefault="00E30518" w:rsidP="001C2F6B">
            <w:pPr>
              <w:spacing w:after="0"/>
            </w:pPr>
          </w:p>
          <w:p w14:paraId="31EDD1D3" w14:textId="173929E4" w:rsidR="001C2F6B" w:rsidRDefault="00E30518" w:rsidP="001C2F6B">
            <w:pPr>
              <w:spacing w:after="0"/>
            </w:pPr>
            <w:r>
              <w:t xml:space="preserve">About </w:t>
            </w:r>
            <w:r w:rsidR="001C2F6B">
              <w:t>20 NGOs will be engaged to support ACF in communities to find missing TB cases among most at risk population groups. Community Health Volunteers (CHV) from CBOs and patient groups will also be engaged to support contact investigation and case holding (for both DS and DR TB cases) in high-</w:t>
            </w:r>
            <w:r w:rsidR="001C2F6B">
              <w:lastRenderedPageBreak/>
              <w:t>volume iDOTS facilities</w:t>
            </w:r>
            <w:r w:rsidR="00AC4477">
              <w:t xml:space="preserve"> in the 33 highly urbanized cities</w:t>
            </w:r>
            <w:r w:rsidR="001C2F6B">
              <w:t xml:space="preserve">. </w:t>
            </w:r>
            <w:r>
              <w:t xml:space="preserve">Selection of STRiders will also prioritize hiring of qualified individuals from the key affected population </w:t>
            </w:r>
            <w:r w:rsidR="00201E26">
              <w:t xml:space="preserve">(KAP) </w:t>
            </w:r>
            <w:r>
              <w:t xml:space="preserve">groups. </w:t>
            </w:r>
          </w:p>
          <w:p w14:paraId="5031DD55" w14:textId="77777777" w:rsidR="00E30518" w:rsidRDefault="00E30518" w:rsidP="001C2F6B">
            <w:pPr>
              <w:spacing w:after="0"/>
            </w:pPr>
          </w:p>
          <w:p w14:paraId="19E309C2" w14:textId="05A586B3" w:rsidR="00E30518" w:rsidRDefault="00E30518" w:rsidP="001C2F6B">
            <w:pPr>
              <w:spacing w:after="0"/>
            </w:pPr>
            <w:r>
              <w:t xml:space="preserve">As part of patient empowerment and reducing stigma and discrimination, PBSP through the NTP will organize a TB Champions Pool to be capacitated to serve as advocacy champions at the national and local levels.  The pool will be selected among the key affected population groups, including health care workers and community leaders, local chief executives, and/or key personalities/influencers. They will be capacitated on public speaking and will be supported to participate in national and local advocacy initiatives. </w:t>
            </w:r>
          </w:p>
          <w:p w14:paraId="18B60357" w14:textId="35FA15BE" w:rsidR="001C2F6B" w:rsidRDefault="00E30518" w:rsidP="001C2F6B">
            <w:pPr>
              <w:spacing w:after="0"/>
            </w:pPr>
            <w:r>
              <w:t xml:space="preserve">   </w:t>
            </w:r>
          </w:p>
          <w:p w14:paraId="5EF848AD" w14:textId="2B7999B2" w:rsidR="00201E26" w:rsidRDefault="00201E26" w:rsidP="001C2F6B">
            <w:pPr>
              <w:spacing w:after="0"/>
            </w:pPr>
            <w:r>
              <w:t xml:space="preserve">The membership of the NTP TWG includes permanent representation from CSOs and KAP. As practiced, all ad hoc committees established to support implementation and evaluation of NTP interventions consciously includes representation from CSOs and KAP. </w:t>
            </w:r>
          </w:p>
          <w:p w14:paraId="447F1B2D" w14:textId="7608FB0C" w:rsidR="001C2F6B" w:rsidRPr="005305D5" w:rsidRDefault="00201E26" w:rsidP="001C2F6B">
            <w:pPr>
              <w:spacing w:after="0"/>
            </w:pPr>
            <w:r>
              <w:t xml:space="preserve"> </w:t>
            </w:r>
            <w:r w:rsidR="001C2F6B">
              <w:t xml:space="preserve"> </w:t>
            </w:r>
          </w:p>
        </w:tc>
      </w:tr>
    </w:tbl>
    <w:p w14:paraId="766FDB55" w14:textId="68614CBD" w:rsidR="0003674B" w:rsidRDefault="0003674B" w:rsidP="0099505A">
      <w:pPr>
        <w:spacing w:after="0" w:line="260" w:lineRule="atLeast"/>
      </w:pPr>
    </w:p>
    <w:p w14:paraId="1AEE0B99" w14:textId="053D253A" w:rsidR="009209C9" w:rsidRDefault="00AE7DD0" w:rsidP="00E07C20">
      <w:pPr>
        <w:pStyle w:val="ListParagraph"/>
        <w:numPr>
          <w:ilvl w:val="0"/>
          <w:numId w:val="22"/>
        </w:numPr>
        <w:spacing w:after="0" w:line="260" w:lineRule="atLeast"/>
        <w:ind w:left="450" w:hanging="450"/>
      </w:pPr>
      <w:r>
        <w:t xml:space="preserve">Does the funding request envisage a </w:t>
      </w:r>
      <w:r w:rsidRPr="00175C83">
        <w:rPr>
          <w:b/>
        </w:rPr>
        <w:t>joint investment platform</w:t>
      </w:r>
      <w:r>
        <w:t xml:space="preserve"> with other institutions?</w:t>
      </w:r>
    </w:p>
    <w:p w14:paraId="15C9C2AB" w14:textId="77777777" w:rsidR="0003674B" w:rsidRDefault="0003674B" w:rsidP="0003674B">
      <w:pPr>
        <w:pStyle w:val="ListParagraph"/>
        <w:spacing w:after="0" w:line="260" w:lineRule="atLeast"/>
        <w:ind w:left="450"/>
      </w:pPr>
    </w:p>
    <w:p w14:paraId="6E27F9B4" w14:textId="517BFB4C" w:rsidR="00AE7DD0" w:rsidRDefault="002975A4" w:rsidP="009B6C0D">
      <w:pPr>
        <w:pStyle w:val="ListParagraph"/>
        <w:spacing w:after="0"/>
      </w:pPr>
      <w:sdt>
        <w:sdtPr>
          <w:id w:val="-1035574346"/>
          <w14:checkbox>
            <w14:checked w14:val="0"/>
            <w14:checkedState w14:val="2612" w14:font="MS Gothic"/>
            <w14:uncheckedState w14:val="2610" w14:font="MS Gothic"/>
          </w14:checkbox>
        </w:sdtPr>
        <w:sdtEndPr/>
        <w:sdtContent>
          <w:r w:rsidR="00AE7DD0" w:rsidRPr="005305D5">
            <w:rPr>
              <w:rFonts w:ascii="Segoe UI Symbol" w:eastAsia="MS Gothic" w:hAnsi="Segoe UI Symbol" w:cs="Segoe UI Symbol"/>
            </w:rPr>
            <w:t>☐</w:t>
          </w:r>
        </w:sdtContent>
      </w:sdt>
      <w:r w:rsidR="00AE7DD0" w:rsidRPr="005305D5">
        <w:t xml:space="preserve"> Yes         </w:t>
      </w:r>
      <w:sdt>
        <w:sdtPr>
          <w:id w:val="-1839682974"/>
          <w14:checkbox>
            <w14:checked w14:val="1"/>
            <w14:checkedState w14:val="2612" w14:font="MS Gothic"/>
            <w14:uncheckedState w14:val="2610" w14:font="MS Gothic"/>
          </w14:checkbox>
        </w:sdtPr>
        <w:sdtEndPr/>
        <w:sdtContent>
          <w:r w:rsidR="00B02C16">
            <w:rPr>
              <w:rFonts w:ascii="MS Gothic" w:eastAsia="MS Gothic" w:hAnsi="MS Gothic" w:hint="eastAsia"/>
            </w:rPr>
            <w:t>☒</w:t>
          </w:r>
        </w:sdtContent>
      </w:sdt>
      <w:r w:rsidR="00AE7DD0" w:rsidRPr="005305D5">
        <w:t xml:space="preserve"> No</w:t>
      </w:r>
    </w:p>
    <w:p w14:paraId="76195758" w14:textId="77777777" w:rsidR="0003674B" w:rsidRPr="005305D5" w:rsidRDefault="0003674B" w:rsidP="009B6C0D">
      <w:pPr>
        <w:pStyle w:val="ListParagraph"/>
        <w:spacing w:after="0"/>
      </w:pPr>
    </w:p>
    <w:p w14:paraId="5D856294" w14:textId="44E3D4D7" w:rsidR="00AE7DD0" w:rsidRDefault="00AE7DD0" w:rsidP="009B6C0D">
      <w:pPr>
        <w:pStyle w:val="ListParagraph"/>
        <w:spacing w:after="0" w:line="260" w:lineRule="atLeast"/>
        <w:ind w:left="450"/>
      </w:pPr>
      <w:r w:rsidRPr="005305D5">
        <w:t xml:space="preserve">If </w:t>
      </w:r>
      <w:r w:rsidRPr="005305D5">
        <w:rPr>
          <w:b/>
        </w:rPr>
        <w:t>yes</w:t>
      </w:r>
      <w:r w:rsidRPr="005305D5">
        <w:t xml:space="preserve">, </w:t>
      </w:r>
      <w:r>
        <w:t>describe specific arrangements and modalities.</w:t>
      </w:r>
    </w:p>
    <w:p w14:paraId="736916B1" w14:textId="77777777" w:rsidR="0003674B" w:rsidRPr="004F1255" w:rsidRDefault="0003674B" w:rsidP="009B6C0D">
      <w:pPr>
        <w:pStyle w:val="ListParagraph"/>
        <w:spacing w:after="0" w:line="260" w:lineRule="atLeast"/>
        <w:ind w:left="450"/>
      </w:pPr>
    </w:p>
    <w:tbl>
      <w:tblPr>
        <w:tblStyle w:val="TableGrid"/>
        <w:tblW w:w="0" w:type="auto"/>
        <w:tblLook w:val="04A0" w:firstRow="1" w:lastRow="0" w:firstColumn="1" w:lastColumn="0" w:noHBand="0" w:noVBand="1"/>
      </w:tblPr>
      <w:tblGrid>
        <w:gridCol w:w="10456"/>
      </w:tblGrid>
      <w:tr w:rsidR="009209C9" w:rsidRPr="005305D5" w14:paraId="752925C5" w14:textId="77777777" w:rsidTr="00226B41">
        <w:tc>
          <w:tcPr>
            <w:tcW w:w="10790" w:type="dxa"/>
          </w:tcPr>
          <w:p w14:paraId="5BAF514E" w14:textId="2423BE12" w:rsidR="009209C9" w:rsidRPr="005305D5" w:rsidRDefault="00755878" w:rsidP="009B6C0D">
            <w:pPr>
              <w:spacing w:after="0"/>
            </w:pPr>
            <w:r>
              <w:t>N/A</w:t>
            </w:r>
          </w:p>
          <w:p w14:paraId="6FCF0CC0" w14:textId="77777777" w:rsidR="009209C9" w:rsidRPr="005305D5" w:rsidRDefault="009209C9" w:rsidP="009B6C0D">
            <w:pPr>
              <w:spacing w:after="0"/>
            </w:pPr>
          </w:p>
        </w:tc>
      </w:tr>
    </w:tbl>
    <w:p w14:paraId="70D894C9" w14:textId="74FFC7F5" w:rsidR="0003674B" w:rsidRDefault="0003674B" w:rsidP="0099505A">
      <w:pPr>
        <w:spacing w:after="0" w:line="260" w:lineRule="atLeast"/>
      </w:pPr>
    </w:p>
    <w:p w14:paraId="26149193" w14:textId="428753F8" w:rsidR="007E0555" w:rsidRDefault="007E0555" w:rsidP="00E07C20">
      <w:pPr>
        <w:pStyle w:val="ListParagraph"/>
        <w:numPr>
          <w:ilvl w:val="0"/>
          <w:numId w:val="22"/>
        </w:numPr>
        <w:spacing w:after="0"/>
        <w:ind w:left="450" w:hanging="450"/>
      </w:pPr>
      <w:r w:rsidRPr="00D474E6">
        <w:t>Describe key</w:t>
      </w:r>
      <w:r w:rsidR="006D0956">
        <w:t>,</w:t>
      </w:r>
      <w:r w:rsidRPr="00D474E6">
        <w:t xml:space="preserve"> </w:t>
      </w:r>
      <w:r w:rsidRPr="00622D6C">
        <w:rPr>
          <w:b/>
        </w:rPr>
        <w:t>anticipated implementation risks</w:t>
      </w:r>
      <w:r w:rsidRPr="00D474E6">
        <w:t xml:space="preserve"> that might negatively affect </w:t>
      </w:r>
      <w:r w:rsidR="00BF55BF" w:rsidRPr="00BF55BF">
        <w:rPr>
          <w:b/>
        </w:rPr>
        <w:t>(</w:t>
      </w:r>
      <w:r w:rsidR="005F24F9" w:rsidRPr="00BF55BF">
        <w:rPr>
          <w:b/>
        </w:rPr>
        <w:t>i)</w:t>
      </w:r>
      <w:r w:rsidR="005F24F9" w:rsidRPr="00D474E6">
        <w:t xml:space="preserve"> </w:t>
      </w:r>
      <w:r w:rsidRPr="00D474E6">
        <w:t>the delivery of the program objectives</w:t>
      </w:r>
      <w:r w:rsidR="00F63A8D" w:rsidRPr="00D474E6">
        <w:t xml:space="preserve"> </w:t>
      </w:r>
      <w:r w:rsidRPr="00D474E6">
        <w:t xml:space="preserve">supported </w:t>
      </w:r>
      <w:r w:rsidR="005F24F9" w:rsidRPr="00D474E6">
        <w:t xml:space="preserve">by the </w:t>
      </w:r>
      <w:r w:rsidRPr="00D474E6">
        <w:t>Global Fund, and/or</w:t>
      </w:r>
      <w:r w:rsidR="005F24F9" w:rsidRPr="00D474E6">
        <w:t xml:space="preserve"> </w:t>
      </w:r>
      <w:r w:rsidR="00BF55BF" w:rsidRPr="00BF55BF">
        <w:rPr>
          <w:b/>
        </w:rPr>
        <w:t>(</w:t>
      </w:r>
      <w:r w:rsidR="005F24F9" w:rsidRPr="00D474E6">
        <w:rPr>
          <w:b/>
        </w:rPr>
        <w:t>ii)</w:t>
      </w:r>
      <w:r w:rsidRPr="00D474E6">
        <w:t xml:space="preserve"> the broader health system. </w:t>
      </w:r>
      <w:r w:rsidR="005F24F9" w:rsidRPr="00D474E6">
        <w:t>Then</w:t>
      </w:r>
      <w:r w:rsidR="00953A8B" w:rsidRPr="00D474E6">
        <w:t>, describe the mitigation measures that address these risks, and which entity would be responsible for these mitigation measures.</w:t>
      </w:r>
    </w:p>
    <w:p w14:paraId="6DAC476D" w14:textId="77777777" w:rsidR="0003674B" w:rsidRPr="00D474E6" w:rsidRDefault="0003674B" w:rsidP="0003674B">
      <w:pPr>
        <w:pStyle w:val="ListParagraph"/>
        <w:spacing w:after="0"/>
        <w:ind w:left="450"/>
      </w:pPr>
    </w:p>
    <w:tbl>
      <w:tblPr>
        <w:tblStyle w:val="TableGrid"/>
        <w:tblW w:w="0" w:type="auto"/>
        <w:tblLook w:val="04A0" w:firstRow="1" w:lastRow="0" w:firstColumn="1" w:lastColumn="0" w:noHBand="0" w:noVBand="1"/>
      </w:tblPr>
      <w:tblGrid>
        <w:gridCol w:w="3823"/>
        <w:gridCol w:w="4394"/>
        <w:gridCol w:w="2239"/>
      </w:tblGrid>
      <w:tr w:rsidR="00487844" w14:paraId="68840FB3" w14:textId="77777777" w:rsidTr="00DA07D7">
        <w:tc>
          <w:tcPr>
            <w:tcW w:w="3823" w:type="dxa"/>
            <w:shd w:val="clear" w:color="auto" w:fill="F2F2F2"/>
            <w:vAlign w:val="center"/>
          </w:tcPr>
          <w:p w14:paraId="1DA03DAF" w14:textId="77777777" w:rsidR="00487844" w:rsidRDefault="00487844" w:rsidP="009B6C0D">
            <w:pPr>
              <w:spacing w:after="0"/>
              <w:jc w:val="center"/>
              <w:rPr>
                <w:rFonts w:eastAsia="Times New Roman" w:cs="Arial"/>
                <w:b/>
                <w:lang w:eastAsia="es-EC"/>
              </w:rPr>
            </w:pPr>
            <w:r w:rsidRPr="00E96334">
              <w:rPr>
                <w:rFonts w:eastAsia="Times New Roman" w:cs="Arial"/>
                <w:b/>
                <w:lang w:eastAsia="es-EC"/>
              </w:rPr>
              <w:t>Key Implementation Risks</w:t>
            </w:r>
          </w:p>
          <w:p w14:paraId="6E10D53F" w14:textId="32F9362D" w:rsidR="002F38C0" w:rsidRPr="00E96334" w:rsidRDefault="002F38C0" w:rsidP="009B6C0D">
            <w:pPr>
              <w:spacing w:after="0"/>
              <w:jc w:val="center"/>
              <w:rPr>
                <w:rFonts w:eastAsia="Times New Roman" w:cs="Arial"/>
                <w:b/>
                <w:lang w:eastAsia="es-EC"/>
              </w:rPr>
            </w:pPr>
          </w:p>
        </w:tc>
        <w:tc>
          <w:tcPr>
            <w:tcW w:w="4394" w:type="dxa"/>
            <w:shd w:val="clear" w:color="auto" w:fill="F2F2F2"/>
            <w:vAlign w:val="center"/>
          </w:tcPr>
          <w:p w14:paraId="51F1E5A0" w14:textId="77777777" w:rsidR="00487844" w:rsidRDefault="00487844" w:rsidP="009B6C0D">
            <w:pPr>
              <w:spacing w:after="0"/>
              <w:jc w:val="center"/>
              <w:rPr>
                <w:rFonts w:eastAsia="Times New Roman" w:cs="Arial"/>
                <w:b/>
                <w:lang w:eastAsia="es-EC"/>
              </w:rPr>
            </w:pPr>
            <w:r w:rsidRPr="00E96334">
              <w:rPr>
                <w:rFonts w:eastAsia="Times New Roman" w:cs="Arial"/>
                <w:b/>
                <w:lang w:eastAsia="es-EC"/>
              </w:rPr>
              <w:t>Corresponding Mitigation Measures</w:t>
            </w:r>
          </w:p>
          <w:p w14:paraId="16D1D65D" w14:textId="276B142E" w:rsidR="002F38C0" w:rsidRPr="00E96334" w:rsidRDefault="002F38C0" w:rsidP="009B6C0D">
            <w:pPr>
              <w:spacing w:after="0"/>
              <w:jc w:val="center"/>
              <w:rPr>
                <w:rFonts w:eastAsia="Times New Roman" w:cs="Arial"/>
                <w:b/>
                <w:lang w:eastAsia="es-EC"/>
              </w:rPr>
            </w:pPr>
          </w:p>
        </w:tc>
        <w:tc>
          <w:tcPr>
            <w:tcW w:w="2239" w:type="dxa"/>
            <w:shd w:val="clear" w:color="auto" w:fill="F2F2F2"/>
            <w:vAlign w:val="center"/>
          </w:tcPr>
          <w:p w14:paraId="3AC1FCC9" w14:textId="77777777" w:rsidR="00487844" w:rsidRDefault="00487844" w:rsidP="009B6C0D">
            <w:pPr>
              <w:spacing w:after="0"/>
              <w:jc w:val="center"/>
              <w:rPr>
                <w:rFonts w:eastAsia="Times New Roman" w:cs="Arial"/>
                <w:b/>
                <w:lang w:eastAsia="es-EC"/>
              </w:rPr>
            </w:pPr>
            <w:r w:rsidRPr="00E96334">
              <w:rPr>
                <w:rFonts w:eastAsia="Times New Roman" w:cs="Arial"/>
                <w:b/>
                <w:lang w:eastAsia="es-EC"/>
              </w:rPr>
              <w:t>Entity Responsible</w:t>
            </w:r>
          </w:p>
          <w:p w14:paraId="0B1966A9" w14:textId="48031ED0" w:rsidR="002F38C0" w:rsidRPr="00E96334" w:rsidRDefault="002F38C0" w:rsidP="009B6C0D">
            <w:pPr>
              <w:spacing w:after="0"/>
              <w:jc w:val="center"/>
              <w:rPr>
                <w:rFonts w:eastAsia="Times New Roman" w:cs="Arial"/>
                <w:b/>
                <w:lang w:eastAsia="es-EC"/>
              </w:rPr>
            </w:pPr>
          </w:p>
        </w:tc>
      </w:tr>
      <w:tr w:rsidR="00487844" w14:paraId="42EA8F85" w14:textId="77777777" w:rsidTr="00DA07D7">
        <w:tc>
          <w:tcPr>
            <w:tcW w:w="3823" w:type="dxa"/>
          </w:tcPr>
          <w:p w14:paraId="1A7D1902" w14:textId="58338715" w:rsidR="00487844" w:rsidRPr="00E96334" w:rsidRDefault="00A110FB" w:rsidP="009B6C0D">
            <w:pPr>
              <w:spacing w:after="0"/>
              <w:rPr>
                <w:rFonts w:eastAsia="Times New Roman" w:cs="Arial"/>
                <w:lang w:eastAsia="es-EC"/>
              </w:rPr>
            </w:pPr>
            <w:r w:rsidRPr="002F38C0">
              <w:rPr>
                <w:rFonts w:eastAsia="Times New Roman" w:cs="Arial"/>
                <w:b/>
                <w:bCs/>
                <w:color w:val="002A55" w:themeColor="accent5" w:themeShade="80"/>
                <w:lang w:eastAsia="es-EC"/>
              </w:rPr>
              <w:t>[Program</w:t>
            </w:r>
            <w:r w:rsidR="00DA07D7" w:rsidRPr="002F38C0">
              <w:rPr>
                <w:rFonts w:eastAsia="Times New Roman" w:cs="Arial"/>
                <w:b/>
                <w:bCs/>
                <w:color w:val="002A55" w:themeColor="accent5" w:themeShade="80"/>
                <w:lang w:eastAsia="es-EC"/>
              </w:rPr>
              <w:t xml:space="preserve"> Quality</w:t>
            </w:r>
            <w:r w:rsidRPr="002F38C0">
              <w:rPr>
                <w:rFonts w:eastAsia="Times New Roman" w:cs="Arial"/>
                <w:b/>
                <w:bCs/>
                <w:color w:val="002A55" w:themeColor="accent5" w:themeShade="80"/>
                <w:lang w:eastAsia="es-EC"/>
              </w:rPr>
              <w:t>]</w:t>
            </w:r>
            <w:r w:rsidRPr="002F38C0">
              <w:rPr>
                <w:rFonts w:eastAsia="Times New Roman" w:cs="Arial"/>
                <w:color w:val="002A55" w:themeColor="accent5" w:themeShade="80"/>
                <w:lang w:eastAsia="es-EC"/>
              </w:rPr>
              <w:t xml:space="preserve"> </w:t>
            </w:r>
            <w:r w:rsidRPr="00E96334">
              <w:rPr>
                <w:rFonts w:eastAsia="Times New Roman" w:cs="Arial"/>
                <w:lang w:eastAsia="es-EC"/>
              </w:rPr>
              <w:t>High initial loss to follow-up in ACF activities</w:t>
            </w:r>
          </w:p>
        </w:tc>
        <w:tc>
          <w:tcPr>
            <w:tcW w:w="4394" w:type="dxa"/>
          </w:tcPr>
          <w:p w14:paraId="750BB44F" w14:textId="77777777" w:rsidR="00DA07D7" w:rsidRPr="00E96334" w:rsidRDefault="00DA07D7" w:rsidP="009B6C0D">
            <w:pPr>
              <w:spacing w:after="0"/>
              <w:rPr>
                <w:rFonts w:eastAsia="Times New Roman" w:cs="Arial"/>
                <w:lang w:eastAsia="es-EC"/>
              </w:rPr>
            </w:pPr>
            <w:r w:rsidRPr="00E96334">
              <w:rPr>
                <w:rFonts w:eastAsia="Times New Roman" w:cs="Arial"/>
                <w:lang w:eastAsia="es-EC"/>
              </w:rPr>
              <w:t>For ACF mobile vans, to include CxR and Xpert for a one-stop-shop approach.</w:t>
            </w:r>
          </w:p>
          <w:p w14:paraId="4B4C695B" w14:textId="30554844" w:rsidR="00487844" w:rsidRPr="00E96334" w:rsidRDefault="00DA07D7" w:rsidP="009B6C0D">
            <w:pPr>
              <w:spacing w:after="0"/>
              <w:rPr>
                <w:rFonts w:eastAsia="Times New Roman" w:cs="Arial"/>
                <w:lang w:eastAsia="es-EC"/>
              </w:rPr>
            </w:pPr>
            <w:r w:rsidRPr="00E96334">
              <w:rPr>
                <w:rFonts w:eastAsia="Times New Roman" w:cs="Arial"/>
                <w:lang w:eastAsia="es-EC"/>
              </w:rPr>
              <w:t xml:space="preserve">For ACF in communities to optimize STRiders to ensure linkage to Xpert sites and fast turnaround time for diagnosis to treatment initiation </w:t>
            </w:r>
          </w:p>
        </w:tc>
        <w:tc>
          <w:tcPr>
            <w:tcW w:w="2239" w:type="dxa"/>
          </w:tcPr>
          <w:p w14:paraId="4D72A9D8" w14:textId="7D2E4647" w:rsidR="00487844" w:rsidRPr="00E96334" w:rsidRDefault="00DA07D7" w:rsidP="009B6C0D">
            <w:pPr>
              <w:spacing w:after="0"/>
              <w:rPr>
                <w:rFonts w:eastAsia="Times New Roman" w:cs="Arial"/>
                <w:lang w:eastAsia="es-EC"/>
              </w:rPr>
            </w:pPr>
            <w:r w:rsidRPr="00E96334">
              <w:rPr>
                <w:rFonts w:eastAsia="Times New Roman" w:cs="Arial"/>
                <w:lang w:eastAsia="es-EC"/>
              </w:rPr>
              <w:t>PR</w:t>
            </w:r>
          </w:p>
        </w:tc>
      </w:tr>
      <w:tr w:rsidR="00A11297" w14:paraId="05D7637A" w14:textId="77777777" w:rsidTr="00DA07D7">
        <w:tc>
          <w:tcPr>
            <w:tcW w:w="3823" w:type="dxa"/>
          </w:tcPr>
          <w:p w14:paraId="0BAE3219" w14:textId="10BA5EA6" w:rsidR="00A11297" w:rsidRPr="00E96334" w:rsidRDefault="00A11297" w:rsidP="009B6C0D">
            <w:pPr>
              <w:spacing w:after="0"/>
              <w:rPr>
                <w:rFonts w:eastAsia="Times New Roman" w:cs="Arial"/>
                <w:lang w:eastAsia="es-EC"/>
              </w:rPr>
            </w:pPr>
            <w:r w:rsidRPr="002F38C0">
              <w:rPr>
                <w:rFonts w:eastAsia="Times New Roman" w:cs="Arial"/>
                <w:b/>
                <w:bCs/>
                <w:color w:val="002A55" w:themeColor="accent5" w:themeShade="80"/>
                <w:lang w:eastAsia="es-EC"/>
              </w:rPr>
              <w:t>[M&amp;E]</w:t>
            </w:r>
            <w:r w:rsidRPr="002F38C0">
              <w:rPr>
                <w:rFonts w:eastAsia="Times New Roman" w:cs="Arial"/>
                <w:color w:val="002A55" w:themeColor="accent5" w:themeShade="80"/>
                <w:lang w:eastAsia="es-EC"/>
              </w:rPr>
              <w:t xml:space="preserve"> </w:t>
            </w:r>
            <w:r w:rsidRPr="00E96334">
              <w:rPr>
                <w:rFonts w:eastAsia="Times New Roman" w:cs="Arial"/>
                <w:lang w:eastAsia="es-EC"/>
              </w:rPr>
              <w:t xml:space="preserve">Breakdown of ITIS that will make TB data inaccessible. </w:t>
            </w:r>
          </w:p>
        </w:tc>
        <w:tc>
          <w:tcPr>
            <w:tcW w:w="4394" w:type="dxa"/>
          </w:tcPr>
          <w:p w14:paraId="34C48DF3" w14:textId="5F9A36C2" w:rsidR="00A11297" w:rsidRPr="00E96334" w:rsidRDefault="00A11297" w:rsidP="009B6C0D">
            <w:pPr>
              <w:spacing w:after="0"/>
              <w:rPr>
                <w:rFonts w:eastAsia="Times New Roman" w:cs="Arial"/>
                <w:lang w:eastAsia="es-EC"/>
              </w:rPr>
            </w:pPr>
            <w:r w:rsidRPr="00E96334">
              <w:rPr>
                <w:rFonts w:eastAsia="Times New Roman" w:cs="Arial"/>
                <w:lang w:eastAsia="es-EC"/>
              </w:rPr>
              <w:t xml:space="preserve">Conduct regular maintenance checks for the IT IS and maintain </w:t>
            </w:r>
            <w:r w:rsidR="00DA07D7" w:rsidRPr="00E96334">
              <w:rPr>
                <w:rFonts w:eastAsia="Times New Roman" w:cs="Arial"/>
                <w:lang w:eastAsia="es-EC"/>
              </w:rPr>
              <w:t xml:space="preserve">data </w:t>
            </w:r>
            <w:r w:rsidRPr="00E96334">
              <w:rPr>
                <w:rFonts w:eastAsia="Times New Roman" w:cs="Arial"/>
                <w:lang w:eastAsia="es-EC"/>
              </w:rPr>
              <w:t>backup</w:t>
            </w:r>
            <w:r w:rsidR="00DA07D7" w:rsidRPr="00E96334">
              <w:rPr>
                <w:rFonts w:eastAsia="Times New Roman" w:cs="Arial"/>
                <w:lang w:eastAsia="es-EC"/>
              </w:rPr>
              <w:t xml:space="preserve"> (on/off-site)</w:t>
            </w:r>
            <w:r w:rsidRPr="00E96334">
              <w:rPr>
                <w:rFonts w:eastAsia="Times New Roman" w:cs="Arial"/>
                <w:lang w:eastAsia="es-EC"/>
              </w:rPr>
              <w:t xml:space="preserve">. </w:t>
            </w:r>
          </w:p>
        </w:tc>
        <w:tc>
          <w:tcPr>
            <w:tcW w:w="2239" w:type="dxa"/>
          </w:tcPr>
          <w:p w14:paraId="738664D6" w14:textId="45269201" w:rsidR="00A11297" w:rsidRPr="00E96334" w:rsidRDefault="00A11297" w:rsidP="009B6C0D">
            <w:pPr>
              <w:spacing w:after="0"/>
              <w:rPr>
                <w:rFonts w:eastAsia="Times New Roman" w:cs="Arial"/>
                <w:lang w:eastAsia="es-EC"/>
              </w:rPr>
            </w:pPr>
            <w:r w:rsidRPr="00E96334">
              <w:rPr>
                <w:rFonts w:eastAsia="Times New Roman" w:cs="Arial"/>
                <w:lang w:eastAsia="es-EC"/>
              </w:rPr>
              <w:t>DOH-KMITS</w:t>
            </w:r>
          </w:p>
        </w:tc>
      </w:tr>
      <w:tr w:rsidR="00A110FB" w14:paraId="3CC79C07" w14:textId="77777777" w:rsidTr="00DA07D7">
        <w:tc>
          <w:tcPr>
            <w:tcW w:w="3823" w:type="dxa"/>
          </w:tcPr>
          <w:p w14:paraId="2A1F3150" w14:textId="0ECECE4D" w:rsidR="00A110FB" w:rsidRPr="00E96334" w:rsidRDefault="00A110FB" w:rsidP="009B6C0D">
            <w:pPr>
              <w:spacing w:after="0"/>
              <w:rPr>
                <w:rFonts w:eastAsia="Times New Roman" w:cs="Arial"/>
                <w:lang w:eastAsia="es-EC"/>
              </w:rPr>
            </w:pPr>
            <w:r w:rsidRPr="002F38C0">
              <w:rPr>
                <w:rFonts w:eastAsia="Times New Roman" w:cs="Arial"/>
                <w:b/>
                <w:bCs/>
                <w:color w:val="002A55" w:themeColor="accent5" w:themeShade="80"/>
                <w:lang w:eastAsia="es-EC"/>
              </w:rPr>
              <w:t>[Procurement]</w:t>
            </w:r>
            <w:r w:rsidRPr="002F38C0">
              <w:rPr>
                <w:rFonts w:eastAsia="Times New Roman" w:cs="Arial"/>
                <w:color w:val="002A55" w:themeColor="accent5" w:themeShade="80"/>
                <w:lang w:eastAsia="es-EC"/>
              </w:rPr>
              <w:t xml:space="preserve"> </w:t>
            </w:r>
            <w:r w:rsidRPr="00E96334">
              <w:rPr>
                <w:rFonts w:eastAsia="Times New Roman" w:cs="Arial"/>
                <w:lang w:eastAsia="es-EC"/>
              </w:rPr>
              <w:t xml:space="preserve">Stock out of </w:t>
            </w:r>
            <w:r w:rsidR="00E02815">
              <w:rPr>
                <w:rFonts w:eastAsia="Times New Roman" w:cs="Arial"/>
                <w:lang w:eastAsia="es-EC"/>
              </w:rPr>
              <w:t>a</w:t>
            </w:r>
            <w:r w:rsidRPr="00E96334">
              <w:rPr>
                <w:rFonts w:eastAsia="Times New Roman" w:cs="Arial"/>
                <w:lang w:eastAsia="es-EC"/>
              </w:rPr>
              <w:t>nti</w:t>
            </w:r>
            <w:r w:rsidR="00E02815">
              <w:rPr>
                <w:rFonts w:eastAsia="Times New Roman" w:cs="Arial"/>
                <w:lang w:eastAsia="es-EC"/>
              </w:rPr>
              <w:t>-</w:t>
            </w:r>
            <w:r w:rsidRPr="00E96334">
              <w:rPr>
                <w:rFonts w:eastAsia="Times New Roman" w:cs="Arial"/>
                <w:lang w:eastAsia="es-EC"/>
              </w:rPr>
              <w:t xml:space="preserve">TB Medicines and </w:t>
            </w:r>
            <w:r w:rsidR="00A11297" w:rsidRPr="00E96334">
              <w:rPr>
                <w:rFonts w:eastAsia="Times New Roman" w:cs="Arial"/>
                <w:lang w:eastAsia="es-EC"/>
              </w:rPr>
              <w:t>TB products/ commodities</w:t>
            </w:r>
          </w:p>
        </w:tc>
        <w:tc>
          <w:tcPr>
            <w:tcW w:w="4394" w:type="dxa"/>
          </w:tcPr>
          <w:p w14:paraId="09B3A40E" w14:textId="52E0F06F" w:rsidR="00A110FB" w:rsidRPr="00E96334" w:rsidRDefault="00DA07D7" w:rsidP="009B6C0D">
            <w:pPr>
              <w:spacing w:after="0"/>
              <w:rPr>
                <w:rFonts w:eastAsia="Times New Roman" w:cs="Arial"/>
                <w:lang w:eastAsia="es-EC"/>
              </w:rPr>
            </w:pPr>
            <w:r w:rsidRPr="00E96334">
              <w:rPr>
                <w:rFonts w:eastAsia="Times New Roman" w:cs="Arial"/>
                <w:lang w:eastAsia="es-EC"/>
              </w:rPr>
              <w:t>For FLDs, to maintain buffer stock. For SLDs and Xpert cartridges to be routinely monitored.</w:t>
            </w:r>
          </w:p>
        </w:tc>
        <w:tc>
          <w:tcPr>
            <w:tcW w:w="2239" w:type="dxa"/>
          </w:tcPr>
          <w:p w14:paraId="4BA96655" w14:textId="2D31D137" w:rsidR="00A110FB" w:rsidRPr="00E96334" w:rsidRDefault="00DA07D7" w:rsidP="009B6C0D">
            <w:pPr>
              <w:spacing w:after="0"/>
              <w:rPr>
                <w:rFonts w:eastAsia="Times New Roman" w:cs="Arial"/>
                <w:lang w:eastAsia="es-EC"/>
              </w:rPr>
            </w:pPr>
            <w:r w:rsidRPr="00E96334">
              <w:rPr>
                <w:rFonts w:eastAsia="Times New Roman" w:cs="Arial"/>
                <w:lang w:eastAsia="es-EC"/>
              </w:rPr>
              <w:t>NTP</w:t>
            </w:r>
          </w:p>
        </w:tc>
      </w:tr>
      <w:tr w:rsidR="00487844" w14:paraId="54751B8E" w14:textId="77777777" w:rsidTr="00DA07D7">
        <w:tc>
          <w:tcPr>
            <w:tcW w:w="3823" w:type="dxa"/>
          </w:tcPr>
          <w:p w14:paraId="14450152" w14:textId="109FC90B" w:rsidR="00487844" w:rsidRPr="00E96334" w:rsidRDefault="00A11297" w:rsidP="009B6C0D">
            <w:pPr>
              <w:spacing w:after="0"/>
              <w:rPr>
                <w:rFonts w:eastAsia="Times New Roman" w:cs="Arial"/>
                <w:lang w:eastAsia="es-EC"/>
              </w:rPr>
            </w:pPr>
            <w:r w:rsidRPr="002F38C0">
              <w:rPr>
                <w:rFonts w:eastAsia="Times New Roman" w:cs="Arial"/>
                <w:b/>
                <w:bCs/>
                <w:color w:val="002A55" w:themeColor="accent5" w:themeShade="80"/>
                <w:lang w:eastAsia="es-EC"/>
              </w:rPr>
              <w:t>[In-country supply chain]</w:t>
            </w:r>
            <w:r w:rsidRPr="002F38C0">
              <w:rPr>
                <w:rFonts w:eastAsia="Times New Roman" w:cs="Arial"/>
                <w:color w:val="002A55" w:themeColor="accent5" w:themeShade="80"/>
                <w:lang w:eastAsia="es-EC"/>
              </w:rPr>
              <w:t xml:space="preserve"> </w:t>
            </w:r>
            <w:r w:rsidRPr="00E96334">
              <w:rPr>
                <w:rFonts w:eastAsia="Times New Roman" w:cs="Arial"/>
                <w:lang w:eastAsia="es-EC"/>
              </w:rPr>
              <w:t>Delayed release by Bureau of Customs due to delayed DOH concurrence to consignments and related tax charging.</w:t>
            </w:r>
          </w:p>
        </w:tc>
        <w:tc>
          <w:tcPr>
            <w:tcW w:w="4394" w:type="dxa"/>
          </w:tcPr>
          <w:p w14:paraId="36506B33" w14:textId="1D871C95" w:rsidR="00487844" w:rsidRPr="00E96334" w:rsidRDefault="00E96334" w:rsidP="009B6C0D">
            <w:pPr>
              <w:spacing w:after="0"/>
              <w:rPr>
                <w:rFonts w:eastAsia="Times New Roman" w:cs="Arial"/>
                <w:lang w:eastAsia="es-EC"/>
              </w:rPr>
            </w:pPr>
            <w:r w:rsidRPr="00E96334">
              <w:rPr>
                <w:rFonts w:eastAsia="Times New Roman" w:cs="Arial"/>
                <w:lang w:eastAsia="es-EC"/>
              </w:rPr>
              <w:t xml:space="preserve">For GF procured goods, to be monitored closely and provide support to DOH to process immediate release </w:t>
            </w:r>
          </w:p>
        </w:tc>
        <w:tc>
          <w:tcPr>
            <w:tcW w:w="2239" w:type="dxa"/>
          </w:tcPr>
          <w:p w14:paraId="462D5726" w14:textId="43A0FABB" w:rsidR="00487844" w:rsidRPr="00E96334" w:rsidRDefault="00DA07D7" w:rsidP="009B6C0D">
            <w:pPr>
              <w:spacing w:after="0"/>
              <w:rPr>
                <w:rFonts w:eastAsia="Times New Roman" w:cs="Arial"/>
                <w:lang w:eastAsia="es-EC"/>
              </w:rPr>
            </w:pPr>
            <w:r w:rsidRPr="00E96334">
              <w:rPr>
                <w:rFonts w:eastAsia="Times New Roman" w:cs="Arial"/>
                <w:lang w:eastAsia="es-EC"/>
              </w:rPr>
              <w:t>NTP</w:t>
            </w:r>
            <w:r w:rsidR="00E96334" w:rsidRPr="00E96334">
              <w:rPr>
                <w:rFonts w:eastAsia="Times New Roman" w:cs="Arial"/>
                <w:lang w:eastAsia="es-EC"/>
              </w:rPr>
              <w:t>, PR</w:t>
            </w:r>
          </w:p>
        </w:tc>
      </w:tr>
      <w:tr w:rsidR="00487844" w14:paraId="48E956C9" w14:textId="77777777" w:rsidTr="00DA07D7">
        <w:tc>
          <w:tcPr>
            <w:tcW w:w="3823" w:type="dxa"/>
          </w:tcPr>
          <w:p w14:paraId="00A8BBCC" w14:textId="38B939CF" w:rsidR="00487844" w:rsidRPr="00E96334" w:rsidRDefault="00A11297" w:rsidP="009B6C0D">
            <w:pPr>
              <w:spacing w:after="0"/>
              <w:rPr>
                <w:rFonts w:eastAsia="Times New Roman" w:cs="Arial"/>
                <w:lang w:eastAsia="es-EC"/>
              </w:rPr>
            </w:pPr>
            <w:r w:rsidRPr="002F38C0">
              <w:rPr>
                <w:rFonts w:eastAsia="Times New Roman" w:cs="Arial"/>
                <w:b/>
                <w:bCs/>
                <w:color w:val="002A55" w:themeColor="accent5" w:themeShade="80"/>
                <w:lang w:eastAsia="es-EC"/>
              </w:rPr>
              <w:t>[Grant Related Fraud &amp; Fiduciary]</w:t>
            </w:r>
            <w:r w:rsidRPr="002F38C0">
              <w:rPr>
                <w:rFonts w:eastAsia="Times New Roman" w:cs="Arial"/>
                <w:color w:val="002A55" w:themeColor="accent5" w:themeShade="80"/>
                <w:lang w:eastAsia="es-EC"/>
              </w:rPr>
              <w:t xml:space="preserve"> </w:t>
            </w:r>
            <w:r w:rsidRPr="00E96334">
              <w:rPr>
                <w:rFonts w:eastAsia="Times New Roman" w:cs="Arial"/>
                <w:lang w:eastAsia="es-EC"/>
              </w:rPr>
              <w:t>Misuse of grant funds</w:t>
            </w:r>
          </w:p>
        </w:tc>
        <w:tc>
          <w:tcPr>
            <w:tcW w:w="4394" w:type="dxa"/>
          </w:tcPr>
          <w:p w14:paraId="6439399A" w14:textId="4FB16FB0" w:rsidR="00487844" w:rsidRPr="00E96334" w:rsidRDefault="00FB41EC" w:rsidP="009B6C0D">
            <w:pPr>
              <w:spacing w:after="0"/>
              <w:rPr>
                <w:rFonts w:eastAsia="Times New Roman" w:cs="Arial"/>
                <w:lang w:eastAsia="es-EC"/>
              </w:rPr>
            </w:pPr>
            <w:r w:rsidRPr="00FB41EC">
              <w:rPr>
                <w:rFonts w:eastAsia="Times New Roman" w:cs="Arial"/>
                <w:lang w:eastAsia="es-EC"/>
              </w:rPr>
              <w:t xml:space="preserve">Conduct of routine and special financial monitoring activities to all PR personnel, SRs and </w:t>
            </w:r>
            <w:r w:rsidR="00755878">
              <w:rPr>
                <w:rFonts w:eastAsia="Times New Roman" w:cs="Arial"/>
                <w:lang w:eastAsia="es-EC"/>
              </w:rPr>
              <w:t>service contractors</w:t>
            </w:r>
            <w:r w:rsidRPr="00FB41EC">
              <w:rPr>
                <w:rFonts w:eastAsia="Times New Roman" w:cs="Arial"/>
                <w:lang w:eastAsia="es-EC"/>
              </w:rPr>
              <w:t xml:space="preserve"> involved in financial and procurement transactions. Ensure that the Enterprise </w:t>
            </w:r>
            <w:r w:rsidR="00E02815">
              <w:rPr>
                <w:rFonts w:eastAsia="Times New Roman" w:cs="Arial"/>
                <w:lang w:eastAsia="es-EC"/>
              </w:rPr>
              <w:t>R</w:t>
            </w:r>
            <w:r w:rsidRPr="00FB41EC">
              <w:rPr>
                <w:rFonts w:eastAsia="Times New Roman" w:cs="Arial"/>
                <w:lang w:eastAsia="es-EC"/>
              </w:rPr>
              <w:t>isk Management System is in place and</w:t>
            </w:r>
            <w:r>
              <w:rPr>
                <w:rFonts w:eastAsia="Times New Roman" w:cs="Arial"/>
                <w:lang w:eastAsia="es-EC"/>
              </w:rPr>
              <w:t xml:space="preserve"> operational.</w:t>
            </w:r>
          </w:p>
        </w:tc>
        <w:tc>
          <w:tcPr>
            <w:tcW w:w="2239" w:type="dxa"/>
          </w:tcPr>
          <w:p w14:paraId="0263C781" w14:textId="3F8248C7" w:rsidR="00487844" w:rsidRPr="00E96334" w:rsidRDefault="00A11297" w:rsidP="009B6C0D">
            <w:pPr>
              <w:spacing w:after="0"/>
              <w:rPr>
                <w:rFonts w:eastAsia="Times New Roman" w:cs="Arial"/>
                <w:lang w:eastAsia="es-EC"/>
              </w:rPr>
            </w:pPr>
            <w:r w:rsidRPr="00E96334">
              <w:rPr>
                <w:rFonts w:eastAsia="Times New Roman" w:cs="Arial"/>
                <w:lang w:eastAsia="es-EC"/>
              </w:rPr>
              <w:t>PR/PBSP</w:t>
            </w:r>
          </w:p>
        </w:tc>
      </w:tr>
      <w:tr w:rsidR="00B6504E" w14:paraId="3CE7DB1E" w14:textId="77777777" w:rsidTr="00DA07D7">
        <w:tc>
          <w:tcPr>
            <w:tcW w:w="3823" w:type="dxa"/>
          </w:tcPr>
          <w:p w14:paraId="1BA457B7" w14:textId="0F781189" w:rsidR="00B6504E" w:rsidRPr="00E96334" w:rsidRDefault="00FB41EC" w:rsidP="009B6C0D">
            <w:pPr>
              <w:spacing w:after="0"/>
              <w:rPr>
                <w:rFonts w:eastAsia="Times New Roman" w:cs="Arial"/>
                <w:b/>
                <w:bCs/>
                <w:color w:val="0055AA" w:themeColor="accent5"/>
                <w:lang w:eastAsia="es-EC"/>
              </w:rPr>
            </w:pPr>
            <w:r w:rsidRPr="002F38C0">
              <w:rPr>
                <w:rFonts w:eastAsia="Times New Roman" w:cs="Arial"/>
                <w:b/>
                <w:bCs/>
                <w:color w:val="002A55" w:themeColor="accent5" w:themeShade="80"/>
                <w:lang w:eastAsia="es-EC"/>
              </w:rPr>
              <w:t>[Grant Related Fraud &amp; Fiduciary]</w:t>
            </w:r>
            <w:r w:rsidRPr="002F38C0">
              <w:rPr>
                <w:rFonts w:eastAsia="Times New Roman" w:cs="Arial"/>
                <w:color w:val="002A55" w:themeColor="accent5" w:themeShade="80"/>
                <w:lang w:eastAsia="es-EC"/>
              </w:rPr>
              <w:t xml:space="preserve"> </w:t>
            </w:r>
            <w:r>
              <w:rPr>
                <w:rFonts w:eastAsia="Times New Roman" w:cs="Arial"/>
                <w:lang w:eastAsia="es-EC"/>
              </w:rPr>
              <w:t>Loss, theft o</w:t>
            </w:r>
            <w:r w:rsidR="00E02815">
              <w:rPr>
                <w:rFonts w:eastAsia="Times New Roman" w:cs="Arial"/>
                <w:lang w:eastAsia="es-EC"/>
              </w:rPr>
              <w:t>f</w:t>
            </w:r>
            <w:r>
              <w:rPr>
                <w:rFonts w:eastAsia="Times New Roman" w:cs="Arial"/>
                <w:lang w:eastAsia="es-EC"/>
              </w:rPr>
              <w:t xml:space="preserve"> non-financial assets</w:t>
            </w:r>
          </w:p>
        </w:tc>
        <w:tc>
          <w:tcPr>
            <w:tcW w:w="4394" w:type="dxa"/>
          </w:tcPr>
          <w:p w14:paraId="0AC5C3F4" w14:textId="7A96E009" w:rsidR="00B6504E" w:rsidRPr="00E96334" w:rsidRDefault="00FB41EC" w:rsidP="009B6C0D">
            <w:pPr>
              <w:spacing w:after="0"/>
              <w:rPr>
                <w:rFonts w:eastAsia="Times New Roman" w:cs="Arial"/>
                <w:lang w:eastAsia="es-EC"/>
              </w:rPr>
            </w:pPr>
            <w:r w:rsidRPr="00FB41EC">
              <w:rPr>
                <w:rFonts w:eastAsia="Times New Roman" w:cs="Arial"/>
                <w:lang w:eastAsia="es-EC"/>
              </w:rPr>
              <w:t xml:space="preserve">Ensure fixed assets registry </w:t>
            </w:r>
            <w:r w:rsidR="00E02815">
              <w:rPr>
                <w:rFonts w:eastAsia="Times New Roman" w:cs="Arial"/>
                <w:lang w:eastAsia="es-EC"/>
              </w:rPr>
              <w:t>is</w:t>
            </w:r>
            <w:r w:rsidRPr="00FB41EC">
              <w:rPr>
                <w:rFonts w:eastAsia="Times New Roman" w:cs="Arial"/>
                <w:lang w:eastAsia="es-EC"/>
              </w:rPr>
              <w:t xml:space="preserve"> up to date and </w:t>
            </w:r>
            <w:r w:rsidR="00E02815">
              <w:rPr>
                <w:rFonts w:eastAsia="Times New Roman" w:cs="Arial"/>
                <w:lang w:eastAsia="es-EC"/>
              </w:rPr>
              <w:t xml:space="preserve">assets </w:t>
            </w:r>
            <w:r w:rsidRPr="00FB41EC">
              <w:rPr>
                <w:rFonts w:eastAsia="Times New Roman" w:cs="Arial"/>
                <w:lang w:eastAsia="es-EC"/>
              </w:rPr>
              <w:t xml:space="preserve">are covered by insurance. </w:t>
            </w:r>
            <w:r w:rsidRPr="00FB41EC">
              <w:rPr>
                <w:rFonts w:eastAsia="Times New Roman" w:cs="Arial"/>
                <w:lang w:eastAsia="es-EC"/>
              </w:rPr>
              <w:lastRenderedPageBreak/>
              <w:t>Ensure FAR is reconciled with expenditure reports. Ensure safety and security checks are made in all facilities with GF properties.</w:t>
            </w:r>
            <w:r>
              <w:rPr>
                <w:rFonts w:eastAsia="Times New Roman" w:cs="Arial"/>
                <w:lang w:eastAsia="es-EC"/>
              </w:rPr>
              <w:t xml:space="preserve"> </w:t>
            </w:r>
          </w:p>
        </w:tc>
        <w:tc>
          <w:tcPr>
            <w:tcW w:w="2239" w:type="dxa"/>
          </w:tcPr>
          <w:p w14:paraId="5FFB0B28" w14:textId="1C767807" w:rsidR="00B6504E" w:rsidRPr="00E96334" w:rsidRDefault="00FB41EC" w:rsidP="009B6C0D">
            <w:pPr>
              <w:spacing w:after="0"/>
              <w:rPr>
                <w:rFonts w:eastAsia="Times New Roman" w:cs="Arial"/>
                <w:lang w:eastAsia="es-EC"/>
              </w:rPr>
            </w:pPr>
            <w:r>
              <w:rPr>
                <w:rFonts w:eastAsia="Times New Roman" w:cs="Arial"/>
                <w:lang w:eastAsia="es-EC"/>
              </w:rPr>
              <w:lastRenderedPageBreak/>
              <w:t>PR</w:t>
            </w:r>
          </w:p>
        </w:tc>
      </w:tr>
      <w:tr w:rsidR="00A110FB" w14:paraId="297953C8" w14:textId="77777777" w:rsidTr="00DA07D7">
        <w:tc>
          <w:tcPr>
            <w:tcW w:w="3823" w:type="dxa"/>
          </w:tcPr>
          <w:p w14:paraId="701FA0E4" w14:textId="777A449F" w:rsidR="00A110FB" w:rsidRPr="00E96334" w:rsidRDefault="00A11297" w:rsidP="009B6C0D">
            <w:pPr>
              <w:spacing w:after="0"/>
              <w:rPr>
                <w:rFonts w:eastAsia="Times New Roman" w:cs="Arial"/>
                <w:lang w:eastAsia="es-EC"/>
              </w:rPr>
            </w:pPr>
            <w:r w:rsidRPr="002F38C0">
              <w:rPr>
                <w:rFonts w:eastAsia="Times New Roman" w:cs="Arial"/>
                <w:b/>
                <w:bCs/>
                <w:color w:val="002A55" w:themeColor="accent5" w:themeShade="80"/>
                <w:lang w:eastAsia="es-EC"/>
              </w:rPr>
              <w:t>[Quality of Health Products]</w:t>
            </w:r>
            <w:r w:rsidRPr="002F38C0">
              <w:rPr>
                <w:rFonts w:eastAsia="Times New Roman" w:cs="Arial"/>
                <w:color w:val="002A55" w:themeColor="accent5" w:themeShade="80"/>
                <w:lang w:eastAsia="es-EC"/>
              </w:rPr>
              <w:t xml:space="preserve"> </w:t>
            </w:r>
            <w:r w:rsidRPr="00E96334">
              <w:rPr>
                <w:rFonts w:eastAsia="Times New Roman" w:cs="Arial"/>
                <w:lang w:eastAsia="es-EC"/>
              </w:rPr>
              <w:t xml:space="preserve">Delay in distribution of procured medicines due to delay in FDA drug test quality feedback   </w:t>
            </w:r>
          </w:p>
        </w:tc>
        <w:tc>
          <w:tcPr>
            <w:tcW w:w="4394" w:type="dxa"/>
          </w:tcPr>
          <w:p w14:paraId="086C2D23" w14:textId="2BABB0B6" w:rsidR="00A110FB" w:rsidRPr="00E96334" w:rsidRDefault="00E96334" w:rsidP="009B6C0D">
            <w:pPr>
              <w:spacing w:after="0"/>
              <w:rPr>
                <w:rFonts w:eastAsia="Times New Roman" w:cs="Arial"/>
                <w:lang w:eastAsia="es-EC"/>
              </w:rPr>
            </w:pPr>
            <w:r w:rsidRPr="00E96334">
              <w:rPr>
                <w:rFonts w:eastAsia="Times New Roman" w:cs="Arial"/>
                <w:lang w:eastAsia="es-EC"/>
              </w:rPr>
              <w:t>Provide HPLC machine to FDA to support faster testing of drug quality</w:t>
            </w:r>
          </w:p>
        </w:tc>
        <w:tc>
          <w:tcPr>
            <w:tcW w:w="2239" w:type="dxa"/>
          </w:tcPr>
          <w:p w14:paraId="390C572E" w14:textId="48249B4A" w:rsidR="00A110FB" w:rsidRPr="00E96334" w:rsidRDefault="00E96334" w:rsidP="009B6C0D">
            <w:pPr>
              <w:spacing w:after="0"/>
              <w:rPr>
                <w:rFonts w:eastAsia="Times New Roman" w:cs="Arial"/>
                <w:lang w:eastAsia="es-EC"/>
              </w:rPr>
            </w:pPr>
            <w:r w:rsidRPr="00E96334">
              <w:rPr>
                <w:rFonts w:eastAsia="Times New Roman" w:cs="Arial"/>
                <w:lang w:eastAsia="es-EC"/>
              </w:rPr>
              <w:t>PR</w:t>
            </w:r>
          </w:p>
        </w:tc>
      </w:tr>
      <w:tr w:rsidR="00FB41EC" w14:paraId="0E54A88D" w14:textId="77777777" w:rsidTr="00DA07D7">
        <w:tc>
          <w:tcPr>
            <w:tcW w:w="3823" w:type="dxa"/>
          </w:tcPr>
          <w:p w14:paraId="3366C577" w14:textId="4239C0FA" w:rsidR="00FB41EC" w:rsidRPr="00E96334" w:rsidRDefault="00FB41EC" w:rsidP="009B6C0D">
            <w:pPr>
              <w:spacing w:after="0"/>
              <w:rPr>
                <w:rFonts w:eastAsia="Times New Roman" w:cs="Arial"/>
                <w:b/>
                <w:bCs/>
                <w:color w:val="0055AA" w:themeColor="accent5"/>
                <w:lang w:eastAsia="es-EC"/>
              </w:rPr>
            </w:pPr>
            <w:r w:rsidRPr="002F38C0">
              <w:rPr>
                <w:rFonts w:eastAsia="Times New Roman" w:cs="Arial"/>
                <w:b/>
                <w:bCs/>
                <w:color w:val="002A55" w:themeColor="accent5" w:themeShade="80"/>
                <w:lang w:eastAsia="es-EC"/>
              </w:rPr>
              <w:t xml:space="preserve">[Macroeconomic] </w:t>
            </w:r>
            <w:r w:rsidRPr="00FB41EC">
              <w:rPr>
                <w:rFonts w:eastAsia="Times New Roman" w:cs="Arial"/>
                <w:lang w:eastAsia="es-EC"/>
              </w:rPr>
              <w:t xml:space="preserve">Potential </w:t>
            </w:r>
            <w:r>
              <w:rPr>
                <w:rFonts w:eastAsia="Times New Roman" w:cs="Arial"/>
                <w:lang w:eastAsia="es-EC"/>
              </w:rPr>
              <w:t>foreign exchange loss</w:t>
            </w:r>
            <w:r w:rsidRPr="00FB41EC">
              <w:rPr>
                <w:rFonts w:eastAsia="Times New Roman" w:cs="Arial"/>
                <w:lang w:eastAsia="es-EC"/>
              </w:rPr>
              <w:t xml:space="preserve"> </w:t>
            </w:r>
          </w:p>
        </w:tc>
        <w:tc>
          <w:tcPr>
            <w:tcW w:w="4394" w:type="dxa"/>
          </w:tcPr>
          <w:p w14:paraId="08B23150" w14:textId="49F9DAE9" w:rsidR="00FB41EC" w:rsidRPr="00E96334" w:rsidRDefault="00FB41EC" w:rsidP="009B6C0D">
            <w:pPr>
              <w:spacing w:after="0"/>
              <w:rPr>
                <w:rFonts w:eastAsia="Times New Roman" w:cs="Arial"/>
                <w:lang w:eastAsia="es-EC"/>
              </w:rPr>
            </w:pPr>
            <w:r w:rsidRPr="00FB41EC">
              <w:rPr>
                <w:rFonts w:eastAsia="Times New Roman" w:cs="Arial"/>
                <w:lang w:eastAsia="es-EC"/>
              </w:rPr>
              <w:t>Use of USD as grant currency and conduct of close monitoring of forex movement and maximizing strength of peso by timely conversion to mitigate forex loss</w:t>
            </w:r>
            <w:r>
              <w:rPr>
                <w:rFonts w:eastAsia="Times New Roman" w:cs="Arial"/>
                <w:lang w:eastAsia="es-EC"/>
              </w:rPr>
              <w:t>.</w:t>
            </w:r>
          </w:p>
        </w:tc>
        <w:tc>
          <w:tcPr>
            <w:tcW w:w="2239" w:type="dxa"/>
          </w:tcPr>
          <w:p w14:paraId="371A7DB0" w14:textId="42B2D019" w:rsidR="00FB41EC" w:rsidRPr="00E96334" w:rsidRDefault="00FB41EC" w:rsidP="009B6C0D">
            <w:pPr>
              <w:spacing w:after="0"/>
              <w:rPr>
                <w:rFonts w:eastAsia="Times New Roman" w:cs="Arial"/>
                <w:lang w:eastAsia="es-EC"/>
              </w:rPr>
            </w:pPr>
            <w:r>
              <w:rPr>
                <w:rFonts w:eastAsia="Times New Roman" w:cs="Arial"/>
                <w:lang w:eastAsia="es-EC"/>
              </w:rPr>
              <w:t>PR</w:t>
            </w:r>
          </w:p>
        </w:tc>
      </w:tr>
      <w:tr w:rsidR="00DA07D7" w14:paraId="7F2F151F" w14:textId="77777777" w:rsidTr="00DA07D7">
        <w:tc>
          <w:tcPr>
            <w:tcW w:w="3823" w:type="dxa"/>
          </w:tcPr>
          <w:p w14:paraId="5DAC265F" w14:textId="7E72F772" w:rsidR="00DA07D7" w:rsidRPr="00E96334" w:rsidRDefault="00DA07D7" w:rsidP="009B6C0D">
            <w:pPr>
              <w:spacing w:after="0"/>
              <w:rPr>
                <w:rFonts w:eastAsia="Times New Roman" w:cs="Arial"/>
                <w:lang w:eastAsia="es-EC"/>
              </w:rPr>
            </w:pPr>
            <w:r w:rsidRPr="002F38C0">
              <w:rPr>
                <w:rFonts w:eastAsia="Times New Roman" w:cs="Arial"/>
                <w:b/>
                <w:bCs/>
                <w:color w:val="002A55" w:themeColor="accent5" w:themeShade="80"/>
                <w:lang w:eastAsia="es-EC"/>
              </w:rPr>
              <w:t>[Disaster Risk]</w:t>
            </w:r>
            <w:r w:rsidRPr="002F38C0">
              <w:rPr>
                <w:rFonts w:eastAsia="Times New Roman" w:cs="Arial"/>
                <w:color w:val="002A55" w:themeColor="accent5" w:themeShade="80"/>
                <w:lang w:eastAsia="es-EC"/>
              </w:rPr>
              <w:t xml:space="preserve"> </w:t>
            </w:r>
            <w:r w:rsidRPr="00E96334">
              <w:rPr>
                <w:rFonts w:eastAsia="Times New Roman" w:cs="Arial"/>
                <w:lang w:eastAsia="es-EC"/>
              </w:rPr>
              <w:t xml:space="preserve">Delay in program implementation due to natural or man-made disasters, including </w:t>
            </w:r>
            <w:r w:rsidR="00E96334">
              <w:rPr>
                <w:rFonts w:eastAsia="Times New Roman" w:cs="Arial"/>
                <w:lang w:eastAsia="es-EC"/>
              </w:rPr>
              <w:t xml:space="preserve">epidemics. </w:t>
            </w:r>
          </w:p>
        </w:tc>
        <w:tc>
          <w:tcPr>
            <w:tcW w:w="4394" w:type="dxa"/>
          </w:tcPr>
          <w:p w14:paraId="1899DF66" w14:textId="77777777" w:rsidR="00DA07D7" w:rsidRDefault="00E96334" w:rsidP="009B6C0D">
            <w:pPr>
              <w:spacing w:after="0"/>
              <w:rPr>
                <w:rFonts w:eastAsia="Times New Roman" w:cs="Arial"/>
                <w:lang w:eastAsia="es-EC"/>
              </w:rPr>
            </w:pPr>
            <w:r w:rsidRPr="00E96334">
              <w:rPr>
                <w:rFonts w:eastAsia="Times New Roman" w:cs="Arial"/>
                <w:lang w:eastAsia="es-EC"/>
              </w:rPr>
              <w:t xml:space="preserve">Ensure all TB and HIV Care facilities have business continuity plans or facility emergency protocols.  </w:t>
            </w:r>
          </w:p>
          <w:p w14:paraId="3048F3B6" w14:textId="6D38BAAD" w:rsidR="00FB41EC" w:rsidRPr="00E96334" w:rsidRDefault="00FB41EC" w:rsidP="009B6C0D">
            <w:pPr>
              <w:spacing w:after="0"/>
              <w:rPr>
                <w:rFonts w:eastAsia="Times New Roman" w:cs="Arial"/>
                <w:lang w:eastAsia="es-EC"/>
              </w:rPr>
            </w:pPr>
            <w:r w:rsidRPr="00FB41EC">
              <w:rPr>
                <w:rFonts w:eastAsia="Times New Roman" w:cs="Arial"/>
                <w:lang w:eastAsia="es-EC"/>
              </w:rPr>
              <w:t>Insurance for fixed assets put in place and coverage of medical/accident and life insurance of personnel supporting the grant</w:t>
            </w:r>
          </w:p>
        </w:tc>
        <w:tc>
          <w:tcPr>
            <w:tcW w:w="2239" w:type="dxa"/>
          </w:tcPr>
          <w:p w14:paraId="79BA67DA" w14:textId="140FEDC7" w:rsidR="00DA07D7" w:rsidRPr="00E96334" w:rsidRDefault="00E96334" w:rsidP="009B6C0D">
            <w:pPr>
              <w:spacing w:after="0"/>
              <w:rPr>
                <w:rFonts w:eastAsia="Times New Roman" w:cs="Arial"/>
                <w:lang w:eastAsia="es-EC"/>
              </w:rPr>
            </w:pPr>
            <w:r w:rsidRPr="00E96334">
              <w:rPr>
                <w:rFonts w:eastAsia="Times New Roman" w:cs="Arial"/>
                <w:lang w:eastAsia="es-EC"/>
              </w:rPr>
              <w:t xml:space="preserve">NTP, PR, </w:t>
            </w:r>
          </w:p>
        </w:tc>
      </w:tr>
    </w:tbl>
    <w:p w14:paraId="17E9147F" w14:textId="7B77F4B9" w:rsidR="001F3BE7" w:rsidRPr="004C5D88" w:rsidRDefault="0099505A" w:rsidP="0099505A">
      <w:pPr>
        <w:pStyle w:val="ListParagraph"/>
        <w:spacing w:after="0" w:line="260" w:lineRule="atLeast"/>
        <w:ind w:left="360"/>
      </w:pPr>
      <w:r>
        <w:br w:type="page"/>
      </w:r>
    </w:p>
    <w:p w14:paraId="69E78736" w14:textId="10A67A93" w:rsidR="00CE446A" w:rsidRDefault="00CE446A" w:rsidP="009B6C0D">
      <w:pPr>
        <w:spacing w:after="0" w:line="0" w:lineRule="auto"/>
      </w:pPr>
    </w:p>
    <w:p w14:paraId="5C9A9EAC" w14:textId="16171C73" w:rsidR="0098274C" w:rsidRPr="005305D5" w:rsidRDefault="0003674B" w:rsidP="0003674B">
      <w:pPr>
        <w:pStyle w:val="Heading1"/>
        <w:numPr>
          <w:ilvl w:val="0"/>
          <w:numId w:val="0"/>
        </w:numPr>
        <w:spacing w:before="0"/>
        <w:ind w:left="567" w:hanging="567"/>
      </w:pPr>
      <w:r>
        <w:t xml:space="preserve">Section 4: </w:t>
      </w:r>
      <w:r w:rsidR="0098274C" w:rsidRPr="005305D5">
        <w:t>Co-Financing, Sustainability and Transition</w:t>
      </w:r>
    </w:p>
    <w:p w14:paraId="449DC752" w14:textId="77777777" w:rsidR="00410AD8" w:rsidRDefault="00410AD8" w:rsidP="009B6C0D">
      <w:pPr>
        <w:spacing w:after="0"/>
      </w:pPr>
    </w:p>
    <w:p w14:paraId="2BC4CF3A" w14:textId="34B19D80" w:rsidR="00CF2EAA" w:rsidRDefault="003C1B00" w:rsidP="009B6C0D">
      <w:pPr>
        <w:spacing w:after="0"/>
        <w:jc w:val="both"/>
      </w:pPr>
      <w:r>
        <w:t xml:space="preserve">To respond to the questions below, refer to the </w:t>
      </w:r>
      <w:r w:rsidRPr="00DD3612">
        <w:rPr>
          <w:i/>
        </w:rPr>
        <w:t>Instructions</w:t>
      </w:r>
      <w:r w:rsidR="00F70A6C">
        <w:t>,</w:t>
      </w:r>
      <w:r w:rsidR="00F70A6C" w:rsidRPr="00CD7709">
        <w:t xml:space="preserve"> </w:t>
      </w:r>
      <w:r w:rsidR="00966EBC" w:rsidRPr="00CD7709">
        <w:t>the</w:t>
      </w:r>
      <w:r w:rsidR="00472475">
        <w:t xml:space="preserve"> domestic financing section of the</w:t>
      </w:r>
      <w:r w:rsidR="00966EBC" w:rsidRPr="00CD7709">
        <w:rPr>
          <w:b/>
        </w:rPr>
        <w:t xml:space="preserve"> allocation letter</w:t>
      </w:r>
      <w:bookmarkStart w:id="33" w:name="_Hlk13737743"/>
      <w:r w:rsidR="00F70A6C">
        <w:t xml:space="preserve">, </w:t>
      </w:r>
      <w:bookmarkStart w:id="34" w:name="_Hlk14421843"/>
      <w:r w:rsidR="00187E3E" w:rsidRPr="00CD7709">
        <w:rPr>
          <w:b/>
        </w:rPr>
        <w:t xml:space="preserve">the </w:t>
      </w:r>
      <w:hyperlink r:id="rId17" w:history="1">
        <w:r w:rsidR="00187E3E" w:rsidRPr="00571BEA">
          <w:rPr>
            <w:rStyle w:val="Hyperlink"/>
            <w:rFonts w:cs="Arial"/>
          </w:rPr>
          <w:t>Sustainability, Transition and Co-Financing Guidance Note</w:t>
        </w:r>
      </w:hyperlink>
      <w:r w:rsidR="00187E3E" w:rsidRPr="00CD7709">
        <w:rPr>
          <w:b/>
        </w:rPr>
        <w:t>,</w:t>
      </w:r>
      <w:bookmarkEnd w:id="34"/>
      <w:r w:rsidR="00187E3E">
        <w:rPr>
          <w:b/>
        </w:rPr>
        <w:t xml:space="preserve"> </w:t>
      </w:r>
      <w:r w:rsidR="00F70A6C" w:rsidRPr="00D02225">
        <w:rPr>
          <w:b/>
        </w:rPr>
        <w:t>Funding Landscape Table(s), Programma</w:t>
      </w:r>
      <w:r w:rsidR="00CD7709">
        <w:rPr>
          <w:b/>
        </w:rPr>
        <w:t>tic Gap T</w:t>
      </w:r>
      <w:r w:rsidR="00410AD8" w:rsidRPr="00D02225">
        <w:rPr>
          <w:b/>
        </w:rPr>
        <w:t>ables(s)</w:t>
      </w:r>
      <w:r w:rsidR="00410AD8">
        <w:t xml:space="preserve">, </w:t>
      </w:r>
      <w:r w:rsidR="00410AD8" w:rsidRPr="00CD7709">
        <w:rPr>
          <w:b/>
        </w:rPr>
        <w:t xml:space="preserve">and </w:t>
      </w:r>
      <w:r w:rsidR="003E5DCA">
        <w:rPr>
          <w:b/>
        </w:rPr>
        <w:t>a sustainability</w:t>
      </w:r>
      <w:r w:rsidR="00A912A7">
        <w:rPr>
          <w:b/>
        </w:rPr>
        <w:t xml:space="preserve"> plan</w:t>
      </w:r>
      <w:r w:rsidR="003E5DCA">
        <w:rPr>
          <w:b/>
        </w:rPr>
        <w:t xml:space="preserve"> and/or t</w:t>
      </w:r>
      <w:r w:rsidR="00410AD8" w:rsidRPr="00CD7709">
        <w:rPr>
          <w:b/>
        </w:rPr>
        <w:t>ransi</w:t>
      </w:r>
      <w:r w:rsidR="003E5DCA">
        <w:rPr>
          <w:b/>
        </w:rPr>
        <w:t xml:space="preserve">tion </w:t>
      </w:r>
      <w:r w:rsidR="00A912A7">
        <w:rPr>
          <w:b/>
        </w:rPr>
        <w:t>work-</w:t>
      </w:r>
      <w:r w:rsidR="003E5DCA">
        <w:rPr>
          <w:b/>
        </w:rPr>
        <w:t>p</w:t>
      </w:r>
      <w:r w:rsidR="00410AD8" w:rsidRPr="00CD7709">
        <w:rPr>
          <w:b/>
        </w:rPr>
        <w:t>lan</w:t>
      </w:r>
      <w:r w:rsidR="00341B45">
        <w:t>, if available</w:t>
      </w:r>
      <w:r w:rsidR="00551E26">
        <w:rPr>
          <w:rStyle w:val="FootnoteReference"/>
        </w:rPr>
        <w:footnoteReference w:id="11"/>
      </w:r>
      <w:r w:rsidR="00410AD8">
        <w:t xml:space="preserve">. </w:t>
      </w:r>
    </w:p>
    <w:bookmarkEnd w:id="33"/>
    <w:p w14:paraId="7A0E6229" w14:textId="77777777" w:rsidR="00250AD1" w:rsidRDefault="00250AD1" w:rsidP="009B6C0D">
      <w:pPr>
        <w:spacing w:after="0"/>
      </w:pPr>
    </w:p>
    <w:p w14:paraId="7648BDA5" w14:textId="49FAEF17" w:rsidR="0098274C" w:rsidRPr="005305D5" w:rsidRDefault="0098274C" w:rsidP="00E07C20">
      <w:pPr>
        <w:pStyle w:val="Heading2"/>
        <w:numPr>
          <w:ilvl w:val="1"/>
          <w:numId w:val="26"/>
        </w:numPr>
        <w:shd w:val="clear" w:color="auto" w:fill="D9D9D9" w:themeFill="background1" w:themeFillShade="D9"/>
        <w:spacing w:before="0" w:after="0" w:line="240" w:lineRule="auto"/>
        <w:contextualSpacing/>
      </w:pPr>
      <w:r w:rsidRPr="00C92797">
        <w:rPr>
          <w:shd w:val="clear" w:color="auto" w:fill="D9D9D9" w:themeFill="background1" w:themeFillShade="D9"/>
        </w:rPr>
        <w:t>Co-Financing</w:t>
      </w:r>
    </w:p>
    <w:p w14:paraId="19446AFC" w14:textId="77777777" w:rsidR="00DE1608" w:rsidRPr="0003674B" w:rsidRDefault="00DE1608" w:rsidP="0003674B">
      <w:pPr>
        <w:pStyle w:val="ListParagraph"/>
        <w:spacing w:after="0" w:line="260" w:lineRule="atLeast"/>
        <w:ind w:left="360"/>
        <w:rPr>
          <w:rFonts w:eastAsia="SimSun"/>
          <w:lang w:eastAsia="zh-CN"/>
        </w:rPr>
      </w:pPr>
    </w:p>
    <w:p w14:paraId="230EC1F9" w14:textId="0137F5A3" w:rsidR="0098274C" w:rsidRPr="0003674B" w:rsidRDefault="0098274C" w:rsidP="00E07C20">
      <w:pPr>
        <w:pStyle w:val="ListParagraph"/>
        <w:numPr>
          <w:ilvl w:val="0"/>
          <w:numId w:val="18"/>
        </w:numPr>
        <w:spacing w:after="0" w:line="260" w:lineRule="atLeast"/>
        <w:ind w:left="360"/>
        <w:rPr>
          <w:rFonts w:eastAsia="SimSun"/>
          <w:lang w:eastAsia="zh-CN"/>
        </w:rPr>
      </w:pPr>
      <w:r w:rsidRPr="00D474E6">
        <w:t xml:space="preserve">Have </w:t>
      </w:r>
      <w:r w:rsidR="00F70A6C" w:rsidRPr="000C6718">
        <w:rPr>
          <w:b/>
        </w:rPr>
        <w:t xml:space="preserve">co-financing </w:t>
      </w:r>
      <w:r w:rsidRPr="000C6718">
        <w:rPr>
          <w:b/>
        </w:rPr>
        <w:t>commitments</w:t>
      </w:r>
      <w:r w:rsidRPr="00D474E6">
        <w:t xml:space="preserve"> for the </w:t>
      </w:r>
      <w:r w:rsidR="000027DE" w:rsidRPr="000C6718">
        <w:rPr>
          <w:b/>
        </w:rPr>
        <w:t>current</w:t>
      </w:r>
      <w:r w:rsidRPr="00D474E6">
        <w:t xml:space="preserve"> allocation period been realized?</w:t>
      </w:r>
    </w:p>
    <w:p w14:paraId="55FA5FBF" w14:textId="77777777" w:rsidR="0003674B" w:rsidRPr="00D474E6" w:rsidRDefault="0003674B" w:rsidP="0003674B">
      <w:pPr>
        <w:pStyle w:val="ListParagraph"/>
        <w:spacing w:after="0" w:line="260" w:lineRule="atLeast"/>
        <w:ind w:left="360"/>
        <w:rPr>
          <w:rFonts w:eastAsia="SimSun"/>
          <w:lang w:eastAsia="zh-CN"/>
        </w:rPr>
      </w:pPr>
    </w:p>
    <w:p w14:paraId="08342881" w14:textId="542B433E" w:rsidR="0098274C" w:rsidRDefault="002975A4" w:rsidP="009B6C0D">
      <w:pPr>
        <w:pStyle w:val="ListParagraph"/>
        <w:spacing w:after="0"/>
      </w:pPr>
      <w:sdt>
        <w:sdtPr>
          <w:id w:val="924852934"/>
          <w14:checkbox>
            <w14:checked w14:val="1"/>
            <w14:checkedState w14:val="2612" w14:font="MS Gothic"/>
            <w14:uncheckedState w14:val="2610" w14:font="MS Gothic"/>
          </w14:checkbox>
        </w:sdtPr>
        <w:sdtEndPr/>
        <w:sdtContent>
          <w:r w:rsidR="00B02C16">
            <w:rPr>
              <w:rFonts w:ascii="MS Gothic" w:eastAsia="MS Gothic" w:hAnsi="MS Gothic" w:hint="eastAsia"/>
            </w:rPr>
            <w:t>☒</w:t>
          </w:r>
        </w:sdtContent>
      </w:sdt>
      <w:r w:rsidR="0098274C" w:rsidRPr="005305D5">
        <w:t xml:space="preserve"> Yes         </w:t>
      </w:r>
      <w:sdt>
        <w:sdtPr>
          <w:id w:val="1334948662"/>
          <w14:checkbox>
            <w14:checked w14:val="0"/>
            <w14:checkedState w14:val="2612" w14:font="MS Gothic"/>
            <w14:uncheckedState w14:val="2610" w14:font="MS Gothic"/>
          </w14:checkbox>
        </w:sdtPr>
        <w:sdtEndPr/>
        <w:sdtContent>
          <w:r w:rsidR="0098274C" w:rsidRPr="005305D5">
            <w:rPr>
              <w:rFonts w:ascii="Segoe UI Symbol" w:hAnsi="Segoe UI Symbol" w:cs="Segoe UI Symbol"/>
            </w:rPr>
            <w:t>☐</w:t>
          </w:r>
        </w:sdtContent>
      </w:sdt>
      <w:r w:rsidR="0098274C" w:rsidRPr="005305D5">
        <w:t xml:space="preserve"> No</w:t>
      </w:r>
    </w:p>
    <w:p w14:paraId="7740FA70" w14:textId="77777777" w:rsidR="0003674B" w:rsidRPr="005305D5" w:rsidRDefault="0003674B" w:rsidP="009B6C0D">
      <w:pPr>
        <w:pStyle w:val="ListParagraph"/>
        <w:spacing w:after="0"/>
      </w:pPr>
    </w:p>
    <w:p w14:paraId="022BA27D" w14:textId="115C1E12" w:rsidR="0098274C" w:rsidRDefault="0098274C" w:rsidP="001B52C3">
      <w:pPr>
        <w:spacing w:after="0"/>
        <w:ind w:left="360"/>
      </w:pPr>
      <w:r w:rsidRPr="005305D5">
        <w:t xml:space="preserve">If </w:t>
      </w:r>
      <w:r w:rsidRPr="005305D5">
        <w:rPr>
          <w:b/>
        </w:rPr>
        <w:t>yes</w:t>
      </w:r>
      <w:r w:rsidRPr="005305D5">
        <w:t xml:space="preserve">, attach supporting documentation demonstrating the extent to which </w:t>
      </w:r>
      <w:r w:rsidR="00F70A6C">
        <w:t xml:space="preserve">co-financing </w:t>
      </w:r>
      <w:r w:rsidRPr="005305D5">
        <w:t xml:space="preserve">commitments have been met. </w:t>
      </w:r>
    </w:p>
    <w:p w14:paraId="15FA4559" w14:textId="77777777" w:rsidR="0003674B" w:rsidRPr="005305D5" w:rsidRDefault="0003674B" w:rsidP="001B52C3">
      <w:pPr>
        <w:spacing w:after="0"/>
        <w:ind w:left="360"/>
      </w:pPr>
    </w:p>
    <w:p w14:paraId="66F85316" w14:textId="22889FC3" w:rsidR="0098274C" w:rsidRDefault="0098274C" w:rsidP="001B52C3">
      <w:pPr>
        <w:spacing w:after="0"/>
        <w:ind w:left="360"/>
      </w:pPr>
      <w:r w:rsidRPr="005305D5">
        <w:t xml:space="preserve">If </w:t>
      </w:r>
      <w:r w:rsidRPr="006F0F32">
        <w:rPr>
          <w:b/>
        </w:rPr>
        <w:t>no</w:t>
      </w:r>
      <w:r w:rsidRPr="005305D5">
        <w:t xml:space="preserve">, </w:t>
      </w:r>
      <w:r w:rsidR="00341B45">
        <w:t>explain why</w:t>
      </w:r>
      <w:r w:rsidRPr="005305D5">
        <w:t xml:space="preserve"> and outline the impact o</w:t>
      </w:r>
      <w:r w:rsidR="00BF55BF">
        <w:t>f this situation on the program.</w:t>
      </w:r>
    </w:p>
    <w:p w14:paraId="12E4F25B" w14:textId="77777777" w:rsidR="0003674B" w:rsidRPr="005305D5" w:rsidRDefault="0003674B" w:rsidP="009B6C0D">
      <w:pPr>
        <w:spacing w:after="0"/>
      </w:pPr>
    </w:p>
    <w:tbl>
      <w:tblPr>
        <w:tblStyle w:val="TableGrid"/>
        <w:tblW w:w="0" w:type="auto"/>
        <w:tblLook w:val="04A0" w:firstRow="1" w:lastRow="0" w:firstColumn="1" w:lastColumn="0" w:noHBand="0" w:noVBand="1"/>
      </w:tblPr>
      <w:tblGrid>
        <w:gridCol w:w="10456"/>
      </w:tblGrid>
      <w:tr w:rsidR="0098274C" w:rsidRPr="005305D5" w14:paraId="07DEFA91" w14:textId="77777777" w:rsidTr="00D63E4B">
        <w:tc>
          <w:tcPr>
            <w:tcW w:w="10790" w:type="dxa"/>
          </w:tcPr>
          <w:p w14:paraId="5F9872D1" w14:textId="53B6768A" w:rsidR="0098274C" w:rsidRPr="005305D5" w:rsidRDefault="00DE0328" w:rsidP="009B6C0D">
            <w:pPr>
              <w:spacing w:after="0"/>
            </w:pPr>
            <w:r>
              <w:t>N/A</w:t>
            </w:r>
          </w:p>
          <w:p w14:paraId="7679B77B" w14:textId="77777777" w:rsidR="0098274C" w:rsidRPr="005305D5" w:rsidRDefault="0098274C" w:rsidP="009B6C0D">
            <w:pPr>
              <w:spacing w:after="0"/>
            </w:pPr>
          </w:p>
          <w:p w14:paraId="3680D7AE" w14:textId="77777777" w:rsidR="0098274C" w:rsidRPr="005305D5" w:rsidRDefault="0098274C" w:rsidP="009B6C0D">
            <w:pPr>
              <w:spacing w:after="0"/>
            </w:pPr>
          </w:p>
        </w:tc>
      </w:tr>
    </w:tbl>
    <w:p w14:paraId="6EB69FC6" w14:textId="4344703D" w:rsidR="0003674B" w:rsidRDefault="0003674B" w:rsidP="00BF55BF">
      <w:pPr>
        <w:spacing w:after="0"/>
        <w:rPr>
          <w:lang w:eastAsia="zh-CN"/>
        </w:rPr>
      </w:pPr>
    </w:p>
    <w:p w14:paraId="60AFADE4" w14:textId="4FF12C02" w:rsidR="0098274C" w:rsidRPr="0003674B" w:rsidRDefault="477BDD52" w:rsidP="00E07C20">
      <w:pPr>
        <w:pStyle w:val="ListParagraph"/>
        <w:numPr>
          <w:ilvl w:val="0"/>
          <w:numId w:val="18"/>
        </w:numPr>
        <w:spacing w:after="0" w:line="260" w:lineRule="atLeast"/>
        <w:ind w:left="360"/>
        <w:rPr>
          <w:rFonts w:eastAsia="SimSun"/>
          <w:lang w:eastAsia="zh-CN"/>
        </w:rPr>
      </w:pPr>
      <w:r w:rsidRPr="00D474E6">
        <w:t xml:space="preserve">Do </w:t>
      </w:r>
      <w:r w:rsidRPr="000C6718">
        <w:rPr>
          <w:b/>
        </w:rPr>
        <w:t>co-financing commitments</w:t>
      </w:r>
      <w:r w:rsidRPr="00D474E6">
        <w:t xml:space="preserve"> for the </w:t>
      </w:r>
      <w:r w:rsidR="009B2486" w:rsidRPr="000C6718">
        <w:rPr>
          <w:b/>
        </w:rPr>
        <w:t>next</w:t>
      </w:r>
      <w:r w:rsidRPr="00D474E6">
        <w:t xml:space="preserve"> allocation period meet minimum requirements to fully access the co-financing incentive? </w:t>
      </w:r>
    </w:p>
    <w:p w14:paraId="72322017" w14:textId="77777777" w:rsidR="0003674B" w:rsidRPr="00D474E6" w:rsidRDefault="0003674B" w:rsidP="0003674B">
      <w:pPr>
        <w:pStyle w:val="ListParagraph"/>
        <w:spacing w:after="0" w:line="260" w:lineRule="atLeast"/>
        <w:ind w:left="360"/>
        <w:rPr>
          <w:rFonts w:eastAsia="SimSun"/>
          <w:lang w:eastAsia="zh-CN"/>
        </w:rPr>
      </w:pPr>
    </w:p>
    <w:p w14:paraId="4EAEE9E1" w14:textId="3DF53B94" w:rsidR="0098274C" w:rsidRDefault="002975A4" w:rsidP="009B6C0D">
      <w:pPr>
        <w:pStyle w:val="ListParagraph"/>
        <w:spacing w:after="0"/>
      </w:pPr>
      <w:sdt>
        <w:sdtPr>
          <w:id w:val="-1936279169"/>
          <w14:checkbox>
            <w14:checked w14:val="1"/>
            <w14:checkedState w14:val="2612" w14:font="MS Gothic"/>
            <w14:uncheckedState w14:val="2610" w14:font="MS Gothic"/>
          </w14:checkbox>
        </w:sdtPr>
        <w:sdtEndPr/>
        <w:sdtContent>
          <w:r w:rsidR="00B02C16">
            <w:rPr>
              <w:rFonts w:ascii="MS Gothic" w:eastAsia="MS Gothic" w:hAnsi="MS Gothic" w:hint="eastAsia"/>
            </w:rPr>
            <w:t>☒</w:t>
          </w:r>
        </w:sdtContent>
      </w:sdt>
      <w:r w:rsidR="0098274C" w:rsidRPr="005305D5">
        <w:t xml:space="preserve"> Yes         </w:t>
      </w:r>
      <w:sdt>
        <w:sdtPr>
          <w:id w:val="-1870989213"/>
          <w14:checkbox>
            <w14:checked w14:val="0"/>
            <w14:checkedState w14:val="2612" w14:font="MS Gothic"/>
            <w14:uncheckedState w14:val="2610" w14:font="MS Gothic"/>
          </w14:checkbox>
        </w:sdtPr>
        <w:sdtEndPr/>
        <w:sdtContent>
          <w:r w:rsidR="0098274C" w:rsidRPr="005305D5">
            <w:rPr>
              <w:rFonts w:ascii="Segoe UI Symbol" w:hAnsi="Segoe UI Symbol" w:cs="Segoe UI Symbol"/>
            </w:rPr>
            <w:t>☐</w:t>
          </w:r>
        </w:sdtContent>
      </w:sdt>
      <w:r w:rsidR="0098274C" w:rsidRPr="005305D5">
        <w:t xml:space="preserve"> No</w:t>
      </w:r>
    </w:p>
    <w:p w14:paraId="6AD21767" w14:textId="77777777" w:rsidR="0003674B" w:rsidRPr="005305D5" w:rsidRDefault="0003674B" w:rsidP="009B6C0D">
      <w:pPr>
        <w:pStyle w:val="ListParagraph"/>
        <w:spacing w:after="0"/>
      </w:pPr>
    </w:p>
    <w:p w14:paraId="27324351" w14:textId="511FF96A" w:rsidR="0098274C" w:rsidRDefault="0098274C" w:rsidP="001B52C3">
      <w:pPr>
        <w:spacing w:after="0"/>
        <w:ind w:left="360"/>
      </w:pPr>
      <w:r w:rsidRPr="005305D5">
        <w:t xml:space="preserve">If details on commitments are available, attach supporting documentation demonstrating the extent to which </w:t>
      </w:r>
      <w:r w:rsidR="00F70A6C">
        <w:t>co-financing</w:t>
      </w:r>
      <w:r w:rsidR="00F70A6C" w:rsidRPr="005305D5">
        <w:t xml:space="preserve"> </w:t>
      </w:r>
      <w:r w:rsidRPr="005305D5">
        <w:t xml:space="preserve">commitments have been made. </w:t>
      </w:r>
    </w:p>
    <w:p w14:paraId="52B04919" w14:textId="77777777" w:rsidR="0003674B" w:rsidRPr="005305D5" w:rsidRDefault="0003674B" w:rsidP="001B52C3">
      <w:pPr>
        <w:spacing w:after="0"/>
        <w:ind w:left="360"/>
      </w:pPr>
    </w:p>
    <w:p w14:paraId="03903574" w14:textId="6F1C664A" w:rsidR="0098274C" w:rsidRDefault="0098274C" w:rsidP="001B52C3">
      <w:pPr>
        <w:spacing w:after="0"/>
        <w:ind w:left="360"/>
        <w:rPr>
          <w:rFonts w:eastAsia="Times New Roman"/>
        </w:rPr>
      </w:pPr>
      <w:r w:rsidRPr="005305D5">
        <w:t>If co-financing commitments do not meet minimum requirements, explain why</w:t>
      </w:r>
      <w:r w:rsidRPr="005305D5">
        <w:rPr>
          <w:rFonts w:eastAsia="Times New Roman"/>
        </w:rPr>
        <w:t>.</w:t>
      </w:r>
    </w:p>
    <w:p w14:paraId="2F8D0C5C" w14:textId="77777777" w:rsidR="0003674B" w:rsidRPr="005305D5" w:rsidRDefault="0003674B" w:rsidP="009B6C0D">
      <w:pPr>
        <w:spacing w:after="0"/>
        <w:rPr>
          <w:rFonts w:eastAsia="Times New Roman"/>
        </w:rPr>
      </w:pPr>
    </w:p>
    <w:tbl>
      <w:tblPr>
        <w:tblStyle w:val="TableGrid"/>
        <w:tblW w:w="0" w:type="auto"/>
        <w:tblLook w:val="04A0" w:firstRow="1" w:lastRow="0" w:firstColumn="1" w:lastColumn="0" w:noHBand="0" w:noVBand="1"/>
      </w:tblPr>
      <w:tblGrid>
        <w:gridCol w:w="10456"/>
      </w:tblGrid>
      <w:tr w:rsidR="0098274C" w:rsidRPr="005305D5" w14:paraId="3DA5C604" w14:textId="77777777" w:rsidTr="00D63E4B">
        <w:tc>
          <w:tcPr>
            <w:tcW w:w="10790" w:type="dxa"/>
          </w:tcPr>
          <w:p w14:paraId="4E5F5A10" w14:textId="0D5506C6" w:rsidR="0098274C" w:rsidRPr="005305D5" w:rsidRDefault="00DE0328" w:rsidP="009B6C0D">
            <w:pPr>
              <w:spacing w:after="0"/>
            </w:pPr>
            <w:r>
              <w:t>N/A</w:t>
            </w:r>
          </w:p>
          <w:p w14:paraId="3B0EF71F" w14:textId="77777777" w:rsidR="0098274C" w:rsidRPr="005305D5" w:rsidRDefault="0098274C" w:rsidP="009B6C0D">
            <w:pPr>
              <w:spacing w:after="0"/>
            </w:pPr>
          </w:p>
          <w:p w14:paraId="482B3BE6" w14:textId="77777777" w:rsidR="0098274C" w:rsidRPr="005305D5" w:rsidRDefault="0098274C" w:rsidP="009B6C0D">
            <w:pPr>
              <w:spacing w:after="0"/>
            </w:pPr>
          </w:p>
        </w:tc>
      </w:tr>
    </w:tbl>
    <w:p w14:paraId="2F215546" w14:textId="3A267F71" w:rsidR="0003674B" w:rsidRDefault="0003674B" w:rsidP="00BF55BF">
      <w:pPr>
        <w:spacing w:after="0"/>
      </w:pPr>
    </w:p>
    <w:p w14:paraId="6EFF32F9" w14:textId="0E7105B5" w:rsidR="0098274C" w:rsidRPr="00D474E6" w:rsidRDefault="006D0956" w:rsidP="00E07C20">
      <w:pPr>
        <w:pStyle w:val="ListParagraph"/>
        <w:numPr>
          <w:ilvl w:val="0"/>
          <w:numId w:val="18"/>
        </w:numPr>
        <w:spacing w:after="0" w:line="260" w:lineRule="atLeast"/>
        <w:ind w:left="360"/>
        <w:rPr>
          <w:b/>
        </w:rPr>
      </w:pPr>
      <w:r>
        <w:t>Summarize</w:t>
      </w:r>
      <w:r w:rsidR="0098274C" w:rsidRPr="00D474E6">
        <w:t xml:space="preserve"> the </w:t>
      </w:r>
      <w:r w:rsidR="0098274C" w:rsidRPr="001B4CC6">
        <w:rPr>
          <w:b/>
        </w:rPr>
        <w:t>programmatic areas</w:t>
      </w:r>
      <w:r w:rsidR="0098274C" w:rsidRPr="00D474E6">
        <w:t xml:space="preserve"> to be supported by domestic co-financing in the </w:t>
      </w:r>
      <w:r w:rsidR="009B2486">
        <w:t>next</w:t>
      </w:r>
      <w:r w:rsidR="0098274C" w:rsidRPr="00D474E6">
        <w:t xml:space="preserve"> </w:t>
      </w:r>
      <w:r w:rsidR="001B4CC6">
        <w:t>allocation period</w:t>
      </w:r>
      <w:r w:rsidR="0098274C" w:rsidRPr="00D474E6">
        <w:t>. In particular:</w:t>
      </w:r>
    </w:p>
    <w:p w14:paraId="147CF3CF" w14:textId="73928171" w:rsidR="004F1255" w:rsidRDefault="477BDD52" w:rsidP="00E07C20">
      <w:pPr>
        <w:pStyle w:val="ListParagraph"/>
        <w:numPr>
          <w:ilvl w:val="2"/>
          <w:numId w:val="18"/>
        </w:numPr>
        <w:spacing w:after="0" w:line="260" w:lineRule="atLeast"/>
        <w:ind w:left="900"/>
      </w:pPr>
      <w:r>
        <w:t xml:space="preserve">The financing of key program costs of national disease plans and/or health </w:t>
      </w:r>
      <w:r w:rsidR="00DE0328">
        <w:t>systems.</w:t>
      </w:r>
      <w:r>
        <w:t xml:space="preserve"> </w:t>
      </w:r>
    </w:p>
    <w:p w14:paraId="1CAD26BE" w14:textId="7611D161" w:rsidR="000C4145" w:rsidRPr="000C4145" w:rsidRDefault="477BDD52" w:rsidP="00E07C20">
      <w:pPr>
        <w:pStyle w:val="ListParagraph"/>
        <w:numPr>
          <w:ilvl w:val="2"/>
          <w:numId w:val="18"/>
        </w:numPr>
        <w:spacing w:after="0" w:line="260" w:lineRule="atLeast"/>
        <w:ind w:left="900"/>
      </w:pPr>
      <w:r>
        <w:t xml:space="preserve">The planned uptake of interventions </w:t>
      </w:r>
      <w:r w:rsidR="00131851">
        <w:t>currently</w:t>
      </w:r>
      <w:r>
        <w:t xml:space="preserve"> funded by the Global Fund.</w:t>
      </w:r>
    </w:p>
    <w:p w14:paraId="6A7B0610" w14:textId="77777777" w:rsidR="0015388D" w:rsidRPr="005305D5" w:rsidRDefault="0015388D" w:rsidP="009B6C0D">
      <w:pPr>
        <w:pStyle w:val="ListParagraph"/>
        <w:spacing w:after="0" w:line="260" w:lineRule="atLeast"/>
        <w:ind w:left="990"/>
      </w:pPr>
    </w:p>
    <w:tbl>
      <w:tblPr>
        <w:tblStyle w:val="TableGrid"/>
        <w:tblW w:w="0" w:type="auto"/>
        <w:tblLook w:val="04A0" w:firstRow="1" w:lastRow="0" w:firstColumn="1" w:lastColumn="0" w:noHBand="0" w:noVBand="1"/>
      </w:tblPr>
      <w:tblGrid>
        <w:gridCol w:w="10456"/>
      </w:tblGrid>
      <w:tr w:rsidR="0098274C" w:rsidRPr="005305D5" w14:paraId="55932626" w14:textId="77777777" w:rsidTr="5011C524">
        <w:tc>
          <w:tcPr>
            <w:tcW w:w="10790" w:type="dxa"/>
          </w:tcPr>
          <w:p w14:paraId="329093A3" w14:textId="4F6BED60" w:rsidR="003A12AD" w:rsidRDefault="003A12AD" w:rsidP="00DE0328">
            <w:pPr>
              <w:spacing w:after="0"/>
            </w:pPr>
            <w:r>
              <w:t xml:space="preserve">Domestic investment </w:t>
            </w:r>
            <w:r w:rsidRPr="002A378C">
              <w:t>for a</w:t>
            </w:r>
            <w:r w:rsidR="00E60C81" w:rsidRPr="002A378C">
              <w:t xml:space="preserve">ctive </w:t>
            </w:r>
            <w:r w:rsidRPr="002A378C">
              <w:rPr>
                <w:b/>
                <w:bCs/>
              </w:rPr>
              <w:t>c</w:t>
            </w:r>
            <w:r w:rsidR="00E60C81" w:rsidRPr="002A378C">
              <w:rPr>
                <w:b/>
                <w:bCs/>
              </w:rPr>
              <w:t xml:space="preserve">ase </w:t>
            </w:r>
            <w:r w:rsidRPr="002A378C">
              <w:rPr>
                <w:b/>
                <w:bCs/>
              </w:rPr>
              <w:t>f</w:t>
            </w:r>
            <w:r w:rsidR="00E60C81" w:rsidRPr="002A378C">
              <w:rPr>
                <w:b/>
                <w:bCs/>
              </w:rPr>
              <w:t xml:space="preserve">inding </w:t>
            </w:r>
            <w:r>
              <w:t xml:space="preserve">is increasing, whereby grant funds (primarily from TGF) have been leveraged by DOH-NTP allocations to the DOH regional offices and LGU resources to conduct active case finding among poor communities nationwide. The grant is also leverage with the Bureau of Corrections (BUCOR) and Bureau of Jails Management and Penology (BUCOR) to institutional TB case finding in jails and prisons nationwide. The grant has also been leveraged for TB case finding and preventive therapy in all HIV hubs nationwide, through expansion </w:t>
            </w:r>
            <w:r w:rsidR="00E862D6">
              <w:t xml:space="preserve">of </w:t>
            </w:r>
            <w:r>
              <w:t xml:space="preserve">TB-HIV Collaboration. </w:t>
            </w:r>
          </w:p>
          <w:p w14:paraId="0529CB7F" w14:textId="0CD3C09A" w:rsidR="00E60C81" w:rsidRDefault="00E60C81" w:rsidP="00DE0328">
            <w:pPr>
              <w:spacing w:after="0"/>
            </w:pPr>
            <w:r>
              <w:t xml:space="preserve">  </w:t>
            </w:r>
          </w:p>
          <w:p w14:paraId="45F5CBE9" w14:textId="4BAFD2DA" w:rsidR="00E60C81" w:rsidRDefault="00E60C81" w:rsidP="00DE0328">
            <w:pPr>
              <w:spacing w:after="0"/>
            </w:pPr>
            <w:r>
              <w:t xml:space="preserve">TB </w:t>
            </w:r>
            <w:r w:rsidR="003A12AD" w:rsidRPr="002A378C">
              <w:rPr>
                <w:b/>
                <w:bCs/>
              </w:rPr>
              <w:t xml:space="preserve">case </w:t>
            </w:r>
            <w:r w:rsidR="00DE0328" w:rsidRPr="002A378C">
              <w:rPr>
                <w:b/>
                <w:bCs/>
              </w:rPr>
              <w:t>detectio</w:t>
            </w:r>
            <w:r w:rsidR="002A378C" w:rsidRPr="002A378C">
              <w:rPr>
                <w:b/>
                <w:bCs/>
              </w:rPr>
              <w:t>n</w:t>
            </w:r>
            <w:r w:rsidR="002A378C">
              <w:t xml:space="preserve"> through DSSM is free in all public facilities. While </w:t>
            </w:r>
            <w:r w:rsidR="00E02815">
              <w:t>uptake</w:t>
            </w:r>
            <w:r w:rsidR="002A378C">
              <w:t xml:space="preserve"> is low, </w:t>
            </w:r>
            <w:r w:rsidR="009769DF">
              <w:t xml:space="preserve">reforms in the Philhealth benefit package related to UHC aims to make CxR a primary benefit for all members (under the “Konsulta” package). </w:t>
            </w:r>
            <w:r w:rsidR="002A378C">
              <w:t xml:space="preserve">As the country moves to using </w:t>
            </w:r>
            <w:r w:rsidR="005C7854">
              <w:t xml:space="preserve">TB </w:t>
            </w:r>
            <w:r w:rsidR="00E02815">
              <w:t>molecular RDT</w:t>
            </w:r>
            <w:r w:rsidR="002A378C">
              <w:t xml:space="preserve"> as primary diagnostic tool for TB, </w:t>
            </w:r>
            <w:r>
              <w:t>DOH</w:t>
            </w:r>
            <w:r w:rsidR="002A378C">
              <w:t>-NTP</w:t>
            </w:r>
            <w:r>
              <w:t xml:space="preserve"> will </w:t>
            </w:r>
            <w:r w:rsidR="00DE0328">
              <w:t>pro</w:t>
            </w:r>
            <w:r w:rsidR="00201E26">
              <w:t>cur</w:t>
            </w:r>
            <w:r w:rsidR="00DE0328">
              <w:t xml:space="preserve">e </w:t>
            </w:r>
            <w:r w:rsidR="002A378C">
              <w:t xml:space="preserve">at least </w:t>
            </w:r>
            <w:r w:rsidR="00DE0328">
              <w:t xml:space="preserve">1.5 million </w:t>
            </w:r>
            <w:r w:rsidR="00201E26">
              <w:t xml:space="preserve">Xpert </w:t>
            </w:r>
            <w:r w:rsidR="00DE0328">
              <w:t xml:space="preserve">MTB/Rif </w:t>
            </w:r>
            <w:r w:rsidR="00201E26">
              <w:t>cartridges</w:t>
            </w:r>
            <w:r>
              <w:t xml:space="preserve"> between 2021-2023</w:t>
            </w:r>
            <w:r w:rsidR="002A378C">
              <w:t xml:space="preserve">. In 2020, DOH </w:t>
            </w:r>
            <w:r w:rsidR="00643710">
              <w:t xml:space="preserve">approved </w:t>
            </w:r>
            <w:r w:rsidR="002A378C">
              <w:t>procure</w:t>
            </w:r>
            <w:r w:rsidR="00643710">
              <w:t>ment of 191</w:t>
            </w:r>
            <w:r w:rsidR="002A378C">
              <w:t xml:space="preserve"> XPert MTB/Rif machines. </w:t>
            </w:r>
          </w:p>
          <w:p w14:paraId="6B140D3C" w14:textId="77777777" w:rsidR="00E60C81" w:rsidRDefault="00E60C81" w:rsidP="00DE0328">
            <w:pPr>
              <w:spacing w:after="0"/>
            </w:pPr>
          </w:p>
          <w:p w14:paraId="69F80805" w14:textId="3338CFDC" w:rsidR="00643710" w:rsidRDefault="00643710" w:rsidP="00DE0328">
            <w:pPr>
              <w:spacing w:after="0"/>
            </w:pPr>
            <w:r>
              <w:t xml:space="preserve">For TB treatment, all medicines to manage DS TB cases in adults and children are funded by </w:t>
            </w:r>
            <w:r w:rsidR="00DE0328">
              <w:t>DOH</w:t>
            </w:r>
            <w:r>
              <w:t xml:space="preserve"> and LGUs (usually for pediatric formulations and TB medicines for adults during stock-outs). </w:t>
            </w:r>
            <w:r w:rsidR="00DE0328">
              <w:t xml:space="preserve"> </w:t>
            </w:r>
            <w:r>
              <w:t xml:space="preserve">While MDR TB treatment is currently almost fully covered by the AccessTB project, DOH has committed to </w:t>
            </w:r>
            <w:r w:rsidR="00DE0328">
              <w:t xml:space="preserve">procure SLD </w:t>
            </w:r>
            <w:r>
              <w:t xml:space="preserve">and ancillary medicines </w:t>
            </w:r>
            <w:r w:rsidR="00DE0328">
              <w:t>for MDR TB patients, reflecting increasing share to target</w:t>
            </w:r>
            <w:r>
              <w:t xml:space="preserve"> </w:t>
            </w:r>
            <w:r w:rsidR="00DE0328">
              <w:t>1003 patients in 2021 (</w:t>
            </w:r>
            <w:r w:rsidR="00DE0328" w:rsidRPr="00274301">
              <w:t>12%</w:t>
            </w:r>
            <w:r w:rsidR="00DE0328">
              <w:t>), 1721 patients in 2022 (</w:t>
            </w:r>
            <w:r w:rsidR="00DE0328" w:rsidRPr="00274301">
              <w:t>17%</w:t>
            </w:r>
            <w:r w:rsidR="00DE0328">
              <w:t>) and 2448 patients in 20203 (</w:t>
            </w:r>
            <w:r w:rsidR="00DE0328" w:rsidRPr="00274301">
              <w:t>22%</w:t>
            </w:r>
            <w:r w:rsidR="00DE0328">
              <w:t>).</w:t>
            </w:r>
            <w:r w:rsidR="009769DF">
              <w:t xml:space="preserve"> Specific for LGUs, a recent policy change in government budgeting (i.e., Mandanas ruling) will increase the fiscal space of LGUs by up to 30% which will be an opportunity to increase allocation for TB-related commodities.</w:t>
            </w:r>
          </w:p>
          <w:p w14:paraId="4329F9E0" w14:textId="77777777" w:rsidR="00643710" w:rsidRDefault="00643710" w:rsidP="00DE0328">
            <w:pPr>
              <w:spacing w:after="0"/>
            </w:pPr>
          </w:p>
          <w:p w14:paraId="6BF995EF" w14:textId="5F2884BB" w:rsidR="00DB3E5B" w:rsidRDefault="00DB3E5B" w:rsidP="00DB3E5B">
            <w:pPr>
              <w:spacing w:after="0"/>
            </w:pPr>
            <w:r>
              <w:t xml:space="preserve">For management of </w:t>
            </w:r>
            <w:r w:rsidR="00643710">
              <w:t>LTBI, INH therapy is free</w:t>
            </w:r>
            <w:r>
              <w:t xml:space="preserve"> for PLHIV and children under 5. Beginning 2020, </w:t>
            </w:r>
            <w:r w:rsidR="009769DF">
              <w:t>short term</w:t>
            </w:r>
            <w:r>
              <w:t xml:space="preserve"> TPT </w:t>
            </w:r>
            <w:r w:rsidR="009769DF">
              <w:t xml:space="preserve">regimen </w:t>
            </w:r>
            <w:r>
              <w:t xml:space="preserve">will be introduced. Part of the NTP plan for 2021 budget planning is to include procurement of innovative TPT at limited scale until evidence is established and local policies have been passed to allow full adoption of innovative TPT.  </w:t>
            </w:r>
          </w:p>
          <w:p w14:paraId="11F3563B" w14:textId="77777777" w:rsidR="00B21C86" w:rsidRDefault="00B21C86" w:rsidP="00DE0328">
            <w:pPr>
              <w:spacing w:after="0"/>
            </w:pPr>
          </w:p>
          <w:p w14:paraId="3CA09568" w14:textId="29861179" w:rsidR="00B21C86" w:rsidRDefault="00B21C86" w:rsidP="00D74DA7">
            <w:pPr>
              <w:spacing w:after="0"/>
              <w:rPr>
                <w:rFonts w:cs="Arial"/>
                <w:color w:val="010101"/>
                <w:shd w:val="clear" w:color="auto" w:fill="FFFFFF"/>
              </w:rPr>
            </w:pPr>
            <w:r>
              <w:rPr>
                <w:rFonts w:cs="Arial"/>
                <w:color w:val="010101"/>
                <w:shd w:val="clear" w:color="auto" w:fill="FFFFFF"/>
              </w:rPr>
              <w:t>Based on the National Expenditure Program for 2020, the Department of Budget Management (DBM) has earmarked P7 billion for the HRH deployment program under the DOH Miscellaneous Personnel Benefits Fund. DBM has authorized the creation of 26,035 </w:t>
            </w:r>
            <w:r>
              <w:rPr>
                <w:rStyle w:val="ilad"/>
                <w:rFonts w:cs="Arial"/>
                <w:shd w:val="clear" w:color="auto" w:fill="FFFFFF"/>
              </w:rPr>
              <w:t>contractual</w:t>
            </w:r>
            <w:r>
              <w:rPr>
                <w:rFonts w:cs="Arial"/>
                <w:color w:val="010101"/>
                <w:shd w:val="clear" w:color="auto" w:fill="FFFFFF"/>
              </w:rPr>
              <w:t> positions under the HRH program. Contractual</w:t>
            </w:r>
            <w:r w:rsidR="00DB3E5B">
              <w:rPr>
                <w:rFonts w:cs="Arial"/>
                <w:color w:val="010101"/>
                <w:shd w:val="clear" w:color="auto" w:fill="FFFFFF"/>
              </w:rPr>
              <w:t xml:space="preserve"> </w:t>
            </w:r>
            <w:r>
              <w:rPr>
                <w:rFonts w:cs="Arial"/>
                <w:color w:val="010101"/>
                <w:shd w:val="clear" w:color="auto" w:fill="FFFFFF"/>
              </w:rPr>
              <w:t>positions enjoy employer-employee relationship and are </w:t>
            </w:r>
            <w:r>
              <w:rPr>
                <w:rStyle w:val="ilad"/>
                <w:rFonts w:cs="Arial"/>
                <w:shd w:val="clear" w:color="auto" w:fill="FFFFFF"/>
              </w:rPr>
              <w:t>covered</w:t>
            </w:r>
            <w:r>
              <w:rPr>
                <w:rFonts w:cs="Arial"/>
                <w:color w:val="010101"/>
                <w:shd w:val="clear" w:color="auto" w:fill="FFFFFF"/>
              </w:rPr>
              <w:t> by civil service rules and regulations.</w:t>
            </w:r>
            <w:r w:rsidR="00DB3E5B">
              <w:rPr>
                <w:rFonts w:cs="Arial"/>
                <w:color w:val="010101"/>
                <w:shd w:val="clear" w:color="auto" w:fill="FFFFFF"/>
              </w:rPr>
              <w:t xml:space="preserve"> </w:t>
            </w:r>
          </w:p>
          <w:p w14:paraId="3A3DD65F" w14:textId="3794FDEC" w:rsidR="00B21C86" w:rsidRDefault="00B21C86" w:rsidP="00D74DA7">
            <w:pPr>
              <w:spacing w:after="0"/>
            </w:pPr>
          </w:p>
          <w:p w14:paraId="69DE1B67" w14:textId="6FD2CB8F" w:rsidR="00DB3E5B" w:rsidRDefault="00DB3E5B" w:rsidP="00D74DA7">
            <w:pPr>
              <w:spacing w:after="0"/>
            </w:pPr>
            <w:r>
              <w:t xml:space="preserve">The Department of Labor and Employment – Occupational Safety and Health </w:t>
            </w:r>
            <w:r w:rsidR="00D61ABD">
              <w:t xml:space="preserve">Center </w:t>
            </w:r>
            <w:r>
              <w:t xml:space="preserve">has invested in an online platform for workplaces to annually submit medical reports that will include TB Data. This will be </w:t>
            </w:r>
            <w:r w:rsidR="00480D8A">
              <w:t xml:space="preserve">linked to support compliance to establishment of TB in the Workplace Programs and CxR reporting among the private health care provider network. </w:t>
            </w:r>
          </w:p>
          <w:p w14:paraId="6F4C1A20" w14:textId="51BCED8F" w:rsidR="00B21C86" w:rsidRPr="005305D5" w:rsidRDefault="00B21C86" w:rsidP="00DB3E5B">
            <w:pPr>
              <w:spacing w:after="0"/>
            </w:pPr>
          </w:p>
        </w:tc>
      </w:tr>
    </w:tbl>
    <w:p w14:paraId="0956C7F5" w14:textId="62FE5847" w:rsidR="0003674B" w:rsidRDefault="0003674B" w:rsidP="009B6C0D">
      <w:pPr>
        <w:spacing w:after="0"/>
      </w:pPr>
    </w:p>
    <w:p w14:paraId="17E8BD38" w14:textId="7C34AA23" w:rsidR="0018557F" w:rsidRPr="0003674B" w:rsidRDefault="0018557F" w:rsidP="00E07C20">
      <w:pPr>
        <w:pStyle w:val="ListParagraph"/>
        <w:numPr>
          <w:ilvl w:val="0"/>
          <w:numId w:val="18"/>
        </w:numPr>
        <w:spacing w:after="0"/>
        <w:ind w:left="360"/>
      </w:pPr>
      <w:r w:rsidRPr="5011C524">
        <w:t>S</w:t>
      </w:r>
      <w:r w:rsidRPr="0018557F">
        <w:rPr>
          <w:rFonts w:eastAsia="Arial" w:cs="Arial"/>
        </w:rPr>
        <w:t xml:space="preserve">pecify how co-financing commitments will be </w:t>
      </w:r>
      <w:r w:rsidRPr="001B4CC6">
        <w:rPr>
          <w:rFonts w:eastAsia="Arial" w:cs="Arial"/>
          <w:b/>
        </w:rPr>
        <w:t>tracked and reported</w:t>
      </w:r>
      <w:r w:rsidRPr="0018557F">
        <w:rPr>
          <w:rFonts w:eastAsia="Arial" w:cs="Arial"/>
        </w:rPr>
        <w:t xml:space="preserve">. If public financial management systems and/or expenditure tracking mechanisms require strengthening and/or institutionalization, indicate how this funding request will address these needs. </w:t>
      </w:r>
    </w:p>
    <w:p w14:paraId="0B6FE9EB" w14:textId="77777777" w:rsidR="0003674B" w:rsidRPr="0018557F" w:rsidRDefault="0003674B" w:rsidP="0003674B">
      <w:pPr>
        <w:pStyle w:val="ListParagraph"/>
        <w:spacing w:after="0"/>
        <w:ind w:left="360"/>
      </w:pPr>
    </w:p>
    <w:tbl>
      <w:tblPr>
        <w:tblStyle w:val="TableGrid"/>
        <w:tblW w:w="0" w:type="auto"/>
        <w:tblLayout w:type="fixed"/>
        <w:tblLook w:val="04A0" w:firstRow="1" w:lastRow="0" w:firstColumn="1" w:lastColumn="0" w:noHBand="0" w:noVBand="1"/>
      </w:tblPr>
      <w:tblGrid>
        <w:gridCol w:w="10466"/>
      </w:tblGrid>
      <w:tr w:rsidR="5011C524" w14:paraId="6BAE677A" w14:textId="77777777" w:rsidTr="5011C524">
        <w:tc>
          <w:tcPr>
            <w:tcW w:w="10466" w:type="dxa"/>
          </w:tcPr>
          <w:p w14:paraId="5482F7F7" w14:textId="11C0446E" w:rsidR="00D74DA7" w:rsidRDefault="00D74DA7" w:rsidP="009B6C0D">
            <w:pPr>
              <w:spacing w:after="0"/>
              <w:rPr>
                <w:rFonts w:eastAsia="Arial" w:cs="Arial"/>
                <w:lang w:val="en-GB"/>
              </w:rPr>
            </w:pPr>
            <w:r>
              <w:rPr>
                <w:rFonts w:eastAsia="Arial" w:cs="Arial"/>
                <w:lang w:val="en-GB"/>
              </w:rPr>
              <w:t xml:space="preserve">USAID/Protech Health is currently working with DOH and PhilHealth to establish better mechanisms for financial planning and expenditure tracking. </w:t>
            </w:r>
          </w:p>
          <w:p w14:paraId="78E9E5A2" w14:textId="77777777" w:rsidR="00D74DA7" w:rsidRDefault="00D74DA7" w:rsidP="009B6C0D">
            <w:pPr>
              <w:spacing w:after="0"/>
              <w:rPr>
                <w:rFonts w:eastAsia="Arial" w:cs="Arial"/>
                <w:lang w:val="en-GB"/>
              </w:rPr>
            </w:pPr>
          </w:p>
          <w:p w14:paraId="779C8D9C" w14:textId="6CBED482" w:rsidR="005926DE" w:rsidRDefault="00D74DA7" w:rsidP="009B6C0D">
            <w:pPr>
              <w:spacing w:after="0"/>
              <w:rPr>
                <w:rFonts w:eastAsia="Arial" w:cs="Arial"/>
                <w:lang w:val="en-GB"/>
              </w:rPr>
            </w:pPr>
            <w:r>
              <w:rPr>
                <w:rFonts w:eastAsia="Arial" w:cs="Arial"/>
                <w:lang w:val="en-GB"/>
              </w:rPr>
              <w:t xml:space="preserve">At the DOH-NTP level, NTP-PMO will be tracking expenditure </w:t>
            </w:r>
            <w:r w:rsidR="005926DE">
              <w:rPr>
                <w:rFonts w:eastAsia="Arial" w:cs="Arial"/>
                <w:lang w:val="en-GB"/>
              </w:rPr>
              <w:t xml:space="preserve">of NTP allocations to DOH regional offices and will be shared semi-annually as part of the NTP National Consultative Sessions. </w:t>
            </w:r>
          </w:p>
          <w:p w14:paraId="4461BDB3" w14:textId="77777777" w:rsidR="005926DE" w:rsidRDefault="005926DE" w:rsidP="009B6C0D">
            <w:pPr>
              <w:spacing w:after="0"/>
              <w:rPr>
                <w:rFonts w:eastAsia="Arial" w:cs="Arial"/>
                <w:lang w:val="en-GB"/>
              </w:rPr>
            </w:pPr>
          </w:p>
          <w:p w14:paraId="23E38C8D" w14:textId="47C69252" w:rsidR="5011C524" w:rsidRPr="00D74DA7" w:rsidRDefault="005926DE" w:rsidP="009B6C0D">
            <w:pPr>
              <w:spacing w:after="0"/>
              <w:rPr>
                <w:rFonts w:eastAsia="Arial" w:cs="Arial"/>
                <w:lang w:val="en-GB"/>
              </w:rPr>
            </w:pPr>
            <w:r>
              <w:rPr>
                <w:rFonts w:eastAsia="Arial" w:cs="Arial"/>
                <w:lang w:val="en-GB"/>
              </w:rPr>
              <w:t xml:space="preserve">At the level of the grant, PBSP will </w:t>
            </w:r>
            <w:r w:rsidR="00E96334">
              <w:rPr>
                <w:rFonts w:eastAsia="Arial" w:cs="Arial"/>
                <w:lang w:val="en-GB"/>
              </w:rPr>
              <w:t xml:space="preserve">routinely track </w:t>
            </w:r>
            <w:r>
              <w:rPr>
                <w:rFonts w:eastAsia="Arial" w:cs="Arial"/>
                <w:lang w:val="en-GB"/>
              </w:rPr>
              <w:t xml:space="preserve">co-financing commitments </w:t>
            </w:r>
            <w:r w:rsidR="00E96334">
              <w:rPr>
                <w:rFonts w:eastAsia="Arial" w:cs="Arial"/>
                <w:lang w:val="en-GB"/>
              </w:rPr>
              <w:t xml:space="preserve">and will be reported as part of the PUDR. However, official supporting documents showing co-financing will be provided after official release of DOH audited financial reports or similar document.   </w:t>
            </w:r>
          </w:p>
          <w:p w14:paraId="26725E03" w14:textId="275D541A" w:rsidR="5011C524" w:rsidRDefault="5011C524" w:rsidP="009B6C0D">
            <w:pPr>
              <w:spacing w:after="0"/>
              <w:rPr>
                <w:rFonts w:eastAsia="Arial" w:cs="Arial"/>
                <w:lang w:val="en-GB"/>
              </w:rPr>
            </w:pPr>
          </w:p>
        </w:tc>
      </w:tr>
    </w:tbl>
    <w:p w14:paraId="3B356966" w14:textId="0E89ED98" w:rsidR="00672B5C" w:rsidRPr="00BF55BF" w:rsidRDefault="00672B5C" w:rsidP="00BF55BF">
      <w:pPr>
        <w:spacing w:after="0" w:line="0" w:lineRule="auto"/>
      </w:pPr>
    </w:p>
    <w:p w14:paraId="5F32000B" w14:textId="77777777" w:rsidR="001B52C3" w:rsidRDefault="001B52C3">
      <w:pPr>
        <w:spacing w:after="160" w:line="0" w:lineRule="auto"/>
        <w:rPr>
          <w:rFonts w:eastAsiaTheme="majorEastAsia" w:cs="Arial"/>
          <w:b/>
          <w:bCs/>
          <w:noProof/>
        </w:rPr>
      </w:pPr>
      <w:r>
        <w:br w:type="page"/>
      </w:r>
    </w:p>
    <w:p w14:paraId="5EE78B8F" w14:textId="61D26322" w:rsidR="0098274C" w:rsidRPr="005305D5" w:rsidRDefault="0098274C" w:rsidP="00E07C20">
      <w:pPr>
        <w:pStyle w:val="Heading2"/>
        <w:numPr>
          <w:ilvl w:val="1"/>
          <w:numId w:val="26"/>
        </w:numPr>
        <w:shd w:val="clear" w:color="auto" w:fill="D9D9D9" w:themeFill="background1" w:themeFillShade="D9"/>
        <w:spacing w:before="0" w:after="0" w:line="240" w:lineRule="auto"/>
        <w:contextualSpacing/>
      </w:pPr>
      <w:r w:rsidRPr="005305D5">
        <w:lastRenderedPageBreak/>
        <w:t>Sustainability and Transition</w:t>
      </w:r>
    </w:p>
    <w:p w14:paraId="7F1D36E4" w14:textId="129BB5E4" w:rsidR="00D06C7F" w:rsidRDefault="00D06C7F" w:rsidP="00D06C7F">
      <w:pPr>
        <w:spacing w:after="0" w:line="260" w:lineRule="atLeast"/>
      </w:pPr>
    </w:p>
    <w:p w14:paraId="71E0730C" w14:textId="264B563C" w:rsidR="0006089C" w:rsidRDefault="00C7401B" w:rsidP="00E07C20">
      <w:pPr>
        <w:pStyle w:val="ListParagraph"/>
        <w:numPr>
          <w:ilvl w:val="0"/>
          <w:numId w:val="19"/>
        </w:numPr>
        <w:spacing w:after="0" w:line="260" w:lineRule="atLeast"/>
      </w:pPr>
      <w:bookmarkStart w:id="35" w:name="_Hlk15383591"/>
      <w:r>
        <w:t xml:space="preserve">Based on the analysis in the </w:t>
      </w:r>
      <w:r w:rsidRPr="00C7401B">
        <w:rPr>
          <w:b/>
        </w:rPr>
        <w:t>Funding Landscape T</w:t>
      </w:r>
      <w:r w:rsidR="00F70A6C" w:rsidRPr="00C7401B">
        <w:rPr>
          <w:b/>
        </w:rPr>
        <w:t>able(s)</w:t>
      </w:r>
      <w:r w:rsidR="00F70A6C" w:rsidRPr="00D474E6">
        <w:t xml:space="preserve">, </w:t>
      </w:r>
      <w:r w:rsidR="007543E4" w:rsidRPr="00D474E6">
        <w:t>describe the</w:t>
      </w:r>
      <w:r w:rsidR="00C21AC9" w:rsidRPr="00D474E6">
        <w:t xml:space="preserve"> funding need and </w:t>
      </w:r>
      <w:r w:rsidR="007543E4" w:rsidRPr="00D474E6">
        <w:t xml:space="preserve">anticipated </w:t>
      </w:r>
      <w:r w:rsidR="0098274C" w:rsidRPr="00D474E6">
        <w:t>funding</w:t>
      </w:r>
      <w:r w:rsidR="00C21AC9" w:rsidRPr="00D474E6">
        <w:t>,</w:t>
      </w:r>
      <w:r w:rsidR="0098274C" w:rsidRPr="00D474E6">
        <w:t xml:space="preserve"> </w:t>
      </w:r>
      <w:r w:rsidR="007543E4" w:rsidRPr="00D474E6">
        <w:t>highlighting</w:t>
      </w:r>
      <w:r w:rsidR="0098274C" w:rsidRPr="00D474E6">
        <w:t xml:space="preserve"> gaps for major program areas in the </w:t>
      </w:r>
      <w:r w:rsidR="00706746">
        <w:t>next</w:t>
      </w:r>
      <w:r w:rsidR="0098274C" w:rsidRPr="00D474E6">
        <w:t xml:space="preserve"> allocation period. </w:t>
      </w:r>
    </w:p>
    <w:p w14:paraId="6987D937" w14:textId="77777777" w:rsidR="0003674B" w:rsidRDefault="0003674B" w:rsidP="0003674B">
      <w:pPr>
        <w:pStyle w:val="ListParagraph"/>
        <w:spacing w:after="0" w:line="260" w:lineRule="atLeast"/>
        <w:ind w:left="360"/>
      </w:pPr>
    </w:p>
    <w:p w14:paraId="73E1E4C2" w14:textId="0F98DD45" w:rsidR="000C4145" w:rsidRPr="000C4145" w:rsidRDefault="0098274C" w:rsidP="009B6C0D">
      <w:pPr>
        <w:pStyle w:val="ListParagraph"/>
        <w:spacing w:after="0" w:line="260" w:lineRule="atLeast"/>
        <w:ind w:left="360"/>
      </w:pPr>
      <w:r w:rsidRPr="00D474E6">
        <w:t>Also</w:t>
      </w:r>
      <w:r w:rsidR="00F42618">
        <w:t>,</w:t>
      </w:r>
      <w:r w:rsidRPr="00D474E6">
        <w:t xml:space="preserve"> describe how</w:t>
      </w:r>
      <w:r w:rsidR="006D0956">
        <w:t xml:space="preserve"> </w:t>
      </w:r>
      <w:r w:rsidR="005147D1" w:rsidRPr="00187E3E">
        <w:t>(</w:t>
      </w:r>
      <w:r w:rsidR="007543E4" w:rsidRPr="00187E3E">
        <w:t xml:space="preserve">i) </w:t>
      </w:r>
      <w:r w:rsidRPr="00D474E6">
        <w:t xml:space="preserve">national authorities will work to secure additional funding or new sources of </w:t>
      </w:r>
      <w:r w:rsidR="00F42618">
        <w:t>funding,</w:t>
      </w:r>
      <w:r w:rsidR="00F42618" w:rsidRPr="00D474E6">
        <w:t xml:space="preserve"> </w:t>
      </w:r>
      <w:r w:rsidR="00556795" w:rsidRPr="00D474E6">
        <w:t>and</w:t>
      </w:r>
      <w:r w:rsidR="005147D1">
        <w:t>/or</w:t>
      </w:r>
      <w:r w:rsidR="00C21AC9" w:rsidRPr="00D474E6">
        <w:t xml:space="preserve"> </w:t>
      </w:r>
      <w:r w:rsidR="005147D1" w:rsidRPr="00187E3E">
        <w:t>(</w:t>
      </w:r>
      <w:r w:rsidR="007543E4" w:rsidRPr="00187E3E">
        <w:t>ii)</w:t>
      </w:r>
      <w:r w:rsidR="007543E4" w:rsidRPr="00D474E6">
        <w:t xml:space="preserve"> </w:t>
      </w:r>
      <w:r w:rsidR="00C21AC9" w:rsidRPr="00D474E6">
        <w:t>pursue efficiencies</w:t>
      </w:r>
      <w:r w:rsidRPr="00D474E6">
        <w:t xml:space="preserve"> to ensure </w:t>
      </w:r>
      <w:r w:rsidR="005926DE" w:rsidRPr="00D474E6">
        <w:t>enough</w:t>
      </w:r>
      <w:r w:rsidRPr="00D474E6">
        <w:t xml:space="preserve"> support for key interventions, particularly those currently </w:t>
      </w:r>
      <w:r w:rsidR="006D0956">
        <w:t>funded</w:t>
      </w:r>
      <w:r w:rsidR="006D0956" w:rsidRPr="00D474E6">
        <w:t xml:space="preserve"> </w:t>
      </w:r>
      <w:r w:rsidRPr="00D474E6">
        <w:t>by</w:t>
      </w:r>
      <w:r w:rsidR="00C21AC9" w:rsidRPr="00D474E6">
        <w:t xml:space="preserve"> the Global Fund.</w:t>
      </w:r>
    </w:p>
    <w:p w14:paraId="15A831D5" w14:textId="77777777" w:rsidR="003122A9" w:rsidRPr="00D474E6" w:rsidRDefault="003122A9" w:rsidP="009B6C0D">
      <w:pPr>
        <w:pStyle w:val="ListParagraph"/>
        <w:spacing w:after="0" w:line="260" w:lineRule="atLeast"/>
        <w:ind w:left="360"/>
      </w:pPr>
    </w:p>
    <w:tbl>
      <w:tblPr>
        <w:tblStyle w:val="TableGrid"/>
        <w:tblW w:w="0" w:type="auto"/>
        <w:tblLook w:val="04A0" w:firstRow="1" w:lastRow="0" w:firstColumn="1" w:lastColumn="0" w:noHBand="0" w:noVBand="1"/>
      </w:tblPr>
      <w:tblGrid>
        <w:gridCol w:w="10456"/>
      </w:tblGrid>
      <w:tr w:rsidR="0098274C" w:rsidRPr="005305D5" w14:paraId="0315BC21" w14:textId="77777777" w:rsidTr="00221BD7">
        <w:tc>
          <w:tcPr>
            <w:tcW w:w="10456" w:type="dxa"/>
          </w:tcPr>
          <w:p w14:paraId="54D4632A" w14:textId="77777777" w:rsidR="00C163FA" w:rsidRDefault="00C163FA" w:rsidP="009B6C0D">
            <w:pPr>
              <w:spacing w:after="0"/>
              <w:rPr>
                <w:color w:val="FF0000"/>
              </w:rPr>
            </w:pPr>
          </w:p>
          <w:p w14:paraId="487E47DB" w14:textId="77777777" w:rsidR="009769DF" w:rsidRPr="009769DF" w:rsidRDefault="009769DF" w:rsidP="009769DF">
            <w:pPr>
              <w:spacing w:after="0"/>
            </w:pPr>
            <w:r w:rsidRPr="009769DF">
              <w:t>The total funding requirement of the updated PhilSTEP 2021-2023 is USD 1.1B.  The major cost driver are pharmaceutical and non-pharmaceutical commodities which constitutes 83% of the requirement.  This includes CxR, cartridges, FLD, SLD, and TPT regimens.</w:t>
            </w:r>
          </w:p>
          <w:p w14:paraId="2F9777BF" w14:textId="77777777" w:rsidR="009769DF" w:rsidRPr="009769DF" w:rsidRDefault="009769DF" w:rsidP="009769DF">
            <w:pPr>
              <w:spacing w:after="0"/>
            </w:pPr>
          </w:p>
          <w:p w14:paraId="60D9B666" w14:textId="7077D436" w:rsidR="009769DF" w:rsidRPr="009769DF" w:rsidRDefault="009769DF" w:rsidP="009769DF">
            <w:pPr>
              <w:spacing w:after="0"/>
            </w:pPr>
            <w:r w:rsidRPr="009769DF">
              <w:t>Multiyear commitments were obtained from DOH as well as USAID.  The GF share reflected here is based on current Funding Request proposal, reflected here jointly with USAID as FAPS.  LGU and Philhealth share were estimated using a 10% annual increase in LGU budget (mainly on HRH cost and 10% of annual FLD cost) and a 5-percentage point annual increase in percentage of patients supported by Philhealth reimbursements (from baseline of 10% in 2018).  In addition, 25% of cartridge cost was attributed to LGU commitment for years 2022-2023 based on reforms in government budgeting that will increase LGU budget allocation (i.e., Mandanas ruling) and CxR cost for health facility screening was attributed to Philhealth beginning 4</w:t>
            </w:r>
            <w:r w:rsidRPr="009769DF">
              <w:rPr>
                <w:vertAlign w:val="superscript"/>
              </w:rPr>
              <w:t>th</w:t>
            </w:r>
            <w:r w:rsidRPr="009769DF">
              <w:t xml:space="preserve"> quarter of 2020 based on implementation of the revised Philhealth “Konsulta” package as initial reform related to the UHC.  Considering all these, the funding gap is 5</w:t>
            </w:r>
            <w:r w:rsidR="00ED6E10">
              <w:t>2</w:t>
            </w:r>
            <w:r w:rsidRPr="009769DF">
              <w:t>% (</w:t>
            </w:r>
            <w:r w:rsidR="00ED6E10">
              <w:t>597</w:t>
            </w:r>
            <w:r w:rsidRPr="009769DF">
              <w:t xml:space="preserve"> million USD).</w:t>
            </w:r>
          </w:p>
          <w:p w14:paraId="1B3742FF" w14:textId="77777777" w:rsidR="009769DF" w:rsidRDefault="009769DF" w:rsidP="009769DF">
            <w:pPr>
              <w:spacing w:after="0"/>
              <w:rPr>
                <w:color w:val="FF0000"/>
              </w:rPr>
            </w:pPr>
          </w:p>
          <w:tbl>
            <w:tblPr>
              <w:tblStyle w:val="ListTable4-Accent4"/>
              <w:tblW w:w="9722" w:type="dxa"/>
              <w:tblLook w:val="0600" w:firstRow="0" w:lastRow="0" w:firstColumn="0" w:lastColumn="0" w:noHBand="1" w:noVBand="1"/>
            </w:tblPr>
            <w:tblGrid>
              <w:gridCol w:w="2846"/>
              <w:gridCol w:w="1375"/>
              <w:gridCol w:w="1375"/>
              <w:gridCol w:w="1375"/>
              <w:gridCol w:w="1375"/>
              <w:gridCol w:w="1376"/>
            </w:tblGrid>
            <w:tr w:rsidR="009769DF" w:rsidRPr="00A408A8" w14:paraId="1F51EEC9" w14:textId="77777777" w:rsidTr="00FA285D">
              <w:trPr>
                <w:trHeight w:val="608"/>
              </w:trPr>
              <w:tc>
                <w:tcPr>
                  <w:tcW w:w="2846" w:type="dxa"/>
                  <w:hideMark/>
                </w:tcPr>
                <w:p w14:paraId="3211DF3E" w14:textId="363A2BA0" w:rsidR="009769DF" w:rsidRPr="00FA285D" w:rsidRDefault="00FA285D" w:rsidP="009769DF">
                  <w:pPr>
                    <w:spacing w:after="0"/>
                    <w:jc w:val="center"/>
                    <w:rPr>
                      <w:b/>
                      <w:bCs/>
                      <w:color w:val="002A55" w:themeColor="accent5" w:themeShade="80"/>
                    </w:rPr>
                  </w:pPr>
                  <w:r>
                    <w:rPr>
                      <w:b/>
                      <w:bCs/>
                      <w:color w:val="002A55" w:themeColor="accent5" w:themeShade="80"/>
                    </w:rPr>
                    <w:t xml:space="preserve">Updated </w:t>
                  </w:r>
                  <w:r w:rsidR="009769DF" w:rsidRPr="00FA285D">
                    <w:rPr>
                      <w:b/>
                      <w:bCs/>
                      <w:color w:val="002A55" w:themeColor="accent5" w:themeShade="80"/>
                    </w:rPr>
                    <w:t>PhilSTEP1</w:t>
                  </w:r>
                </w:p>
                <w:p w14:paraId="4C2CF631" w14:textId="77777777" w:rsidR="009769DF" w:rsidRPr="00FA285D" w:rsidRDefault="009769DF" w:rsidP="009769DF">
                  <w:pPr>
                    <w:spacing w:after="0"/>
                    <w:jc w:val="center"/>
                    <w:rPr>
                      <w:b/>
                      <w:bCs/>
                      <w:color w:val="FF0000"/>
                    </w:rPr>
                  </w:pPr>
                  <w:r w:rsidRPr="00FA285D">
                    <w:rPr>
                      <w:b/>
                      <w:bCs/>
                      <w:color w:val="FF0000"/>
                    </w:rPr>
                    <w:t>(in USD million)</w:t>
                  </w:r>
                </w:p>
                <w:p w14:paraId="72AE269C" w14:textId="45C25B14" w:rsidR="00FA285D" w:rsidRPr="00FA285D" w:rsidRDefault="00FA285D" w:rsidP="009769DF">
                  <w:pPr>
                    <w:spacing w:after="0"/>
                    <w:jc w:val="center"/>
                    <w:rPr>
                      <w:b/>
                      <w:bCs/>
                      <w:color w:val="002A55" w:themeColor="accent5" w:themeShade="80"/>
                    </w:rPr>
                  </w:pPr>
                </w:p>
              </w:tc>
              <w:tc>
                <w:tcPr>
                  <w:tcW w:w="1375" w:type="dxa"/>
                  <w:hideMark/>
                </w:tcPr>
                <w:p w14:paraId="1E0C2DC1" w14:textId="77777777" w:rsidR="009769DF" w:rsidRPr="00FA285D" w:rsidRDefault="009769DF" w:rsidP="009769DF">
                  <w:pPr>
                    <w:spacing w:after="0"/>
                    <w:jc w:val="center"/>
                    <w:rPr>
                      <w:b/>
                      <w:bCs/>
                      <w:color w:val="002A55" w:themeColor="accent5" w:themeShade="80"/>
                    </w:rPr>
                  </w:pPr>
                  <w:r w:rsidRPr="00FA285D">
                    <w:rPr>
                      <w:b/>
                      <w:bCs/>
                      <w:color w:val="002A55" w:themeColor="accent5" w:themeShade="80"/>
                    </w:rPr>
                    <w:t>2020</w:t>
                  </w:r>
                </w:p>
              </w:tc>
              <w:tc>
                <w:tcPr>
                  <w:tcW w:w="1375" w:type="dxa"/>
                  <w:hideMark/>
                </w:tcPr>
                <w:p w14:paraId="5443FAFC" w14:textId="77777777" w:rsidR="009769DF" w:rsidRPr="00FA285D" w:rsidRDefault="009769DF" w:rsidP="009769DF">
                  <w:pPr>
                    <w:spacing w:after="0"/>
                    <w:jc w:val="center"/>
                    <w:rPr>
                      <w:b/>
                      <w:bCs/>
                      <w:color w:val="002A55" w:themeColor="accent5" w:themeShade="80"/>
                    </w:rPr>
                  </w:pPr>
                  <w:r w:rsidRPr="00FA285D">
                    <w:rPr>
                      <w:b/>
                      <w:bCs/>
                      <w:color w:val="002A55" w:themeColor="accent5" w:themeShade="80"/>
                    </w:rPr>
                    <w:t>2021</w:t>
                  </w:r>
                </w:p>
              </w:tc>
              <w:tc>
                <w:tcPr>
                  <w:tcW w:w="1375" w:type="dxa"/>
                  <w:hideMark/>
                </w:tcPr>
                <w:p w14:paraId="4F008663" w14:textId="77777777" w:rsidR="009769DF" w:rsidRPr="00FA285D" w:rsidRDefault="009769DF" w:rsidP="009769DF">
                  <w:pPr>
                    <w:spacing w:after="0"/>
                    <w:jc w:val="center"/>
                    <w:rPr>
                      <w:b/>
                      <w:bCs/>
                      <w:color w:val="002A55" w:themeColor="accent5" w:themeShade="80"/>
                    </w:rPr>
                  </w:pPr>
                  <w:r w:rsidRPr="00FA285D">
                    <w:rPr>
                      <w:b/>
                      <w:bCs/>
                      <w:color w:val="002A55" w:themeColor="accent5" w:themeShade="80"/>
                    </w:rPr>
                    <w:t>2022</w:t>
                  </w:r>
                </w:p>
              </w:tc>
              <w:tc>
                <w:tcPr>
                  <w:tcW w:w="1375" w:type="dxa"/>
                  <w:hideMark/>
                </w:tcPr>
                <w:p w14:paraId="623072EF" w14:textId="77777777" w:rsidR="009769DF" w:rsidRPr="00FA285D" w:rsidRDefault="009769DF" w:rsidP="009769DF">
                  <w:pPr>
                    <w:spacing w:after="0"/>
                    <w:jc w:val="center"/>
                    <w:rPr>
                      <w:b/>
                      <w:bCs/>
                      <w:color w:val="002A55" w:themeColor="accent5" w:themeShade="80"/>
                    </w:rPr>
                  </w:pPr>
                  <w:r w:rsidRPr="00FA285D">
                    <w:rPr>
                      <w:b/>
                      <w:bCs/>
                      <w:color w:val="002A55" w:themeColor="accent5" w:themeShade="80"/>
                    </w:rPr>
                    <w:t>2023</w:t>
                  </w:r>
                </w:p>
              </w:tc>
              <w:tc>
                <w:tcPr>
                  <w:tcW w:w="1376" w:type="dxa"/>
                  <w:hideMark/>
                </w:tcPr>
                <w:p w14:paraId="77B61509" w14:textId="141F162D" w:rsidR="009769DF" w:rsidRPr="00FA285D" w:rsidRDefault="009769DF" w:rsidP="009769DF">
                  <w:pPr>
                    <w:spacing w:after="0"/>
                    <w:jc w:val="center"/>
                    <w:rPr>
                      <w:b/>
                      <w:bCs/>
                      <w:color w:val="002A55" w:themeColor="accent5" w:themeShade="80"/>
                    </w:rPr>
                  </w:pPr>
                  <w:r w:rsidRPr="00FA285D">
                    <w:rPr>
                      <w:b/>
                      <w:bCs/>
                      <w:color w:val="002A55" w:themeColor="accent5" w:themeShade="80"/>
                    </w:rPr>
                    <w:t>T</w:t>
                  </w:r>
                  <w:r w:rsidR="00FA285D">
                    <w:rPr>
                      <w:b/>
                      <w:bCs/>
                      <w:color w:val="002A55" w:themeColor="accent5" w:themeShade="80"/>
                    </w:rPr>
                    <w:t>OTAL</w:t>
                  </w:r>
                </w:p>
              </w:tc>
            </w:tr>
            <w:tr w:rsidR="009769DF" w:rsidRPr="00A408A8" w14:paraId="1648C0C3" w14:textId="77777777" w:rsidTr="00FA285D">
              <w:trPr>
                <w:trHeight w:val="608"/>
              </w:trPr>
              <w:tc>
                <w:tcPr>
                  <w:tcW w:w="2846" w:type="dxa"/>
                  <w:hideMark/>
                </w:tcPr>
                <w:p w14:paraId="254259E1" w14:textId="7FA409EA" w:rsidR="009769DF" w:rsidRPr="00FA285D" w:rsidRDefault="009769DF" w:rsidP="009769DF">
                  <w:pPr>
                    <w:spacing w:after="0"/>
                    <w:jc w:val="right"/>
                    <w:rPr>
                      <w:b/>
                      <w:bCs/>
                      <w:color w:val="002A55" w:themeColor="accent5" w:themeShade="80"/>
                    </w:rPr>
                  </w:pPr>
                  <w:r w:rsidRPr="00FA285D">
                    <w:rPr>
                      <w:b/>
                      <w:bCs/>
                      <w:color w:val="002A55" w:themeColor="accent5" w:themeShade="80"/>
                    </w:rPr>
                    <w:t xml:space="preserve">National Government </w:t>
                  </w:r>
                </w:p>
              </w:tc>
              <w:tc>
                <w:tcPr>
                  <w:tcW w:w="1375" w:type="dxa"/>
                  <w:hideMark/>
                </w:tcPr>
                <w:p w14:paraId="7D7EE3CD" w14:textId="5BB9D83A" w:rsidR="009769DF" w:rsidRPr="009769DF" w:rsidRDefault="009769DF" w:rsidP="009769DF">
                  <w:pPr>
                    <w:spacing w:after="0"/>
                    <w:jc w:val="center"/>
                  </w:pPr>
                  <w:r w:rsidRPr="009769DF">
                    <w:t>18</w:t>
                  </w:r>
                </w:p>
              </w:tc>
              <w:tc>
                <w:tcPr>
                  <w:tcW w:w="1375" w:type="dxa"/>
                  <w:shd w:val="clear" w:color="auto" w:fill="BBDCFF" w:themeFill="accent5" w:themeFillTint="33"/>
                  <w:hideMark/>
                </w:tcPr>
                <w:p w14:paraId="07F6323A" w14:textId="060114E6" w:rsidR="009769DF" w:rsidRPr="009769DF" w:rsidRDefault="009769DF" w:rsidP="009769DF">
                  <w:pPr>
                    <w:spacing w:after="0"/>
                    <w:jc w:val="center"/>
                  </w:pPr>
                  <w:r w:rsidRPr="009769DF">
                    <w:t>27</w:t>
                  </w:r>
                </w:p>
              </w:tc>
              <w:tc>
                <w:tcPr>
                  <w:tcW w:w="1375" w:type="dxa"/>
                  <w:shd w:val="clear" w:color="auto" w:fill="BBDCFF" w:themeFill="accent5" w:themeFillTint="33"/>
                  <w:hideMark/>
                </w:tcPr>
                <w:p w14:paraId="0AF18D33" w14:textId="6912C461" w:rsidR="009769DF" w:rsidRPr="009769DF" w:rsidRDefault="009769DF" w:rsidP="009769DF">
                  <w:pPr>
                    <w:spacing w:after="0"/>
                    <w:jc w:val="center"/>
                  </w:pPr>
                  <w:r w:rsidRPr="009769DF">
                    <w:t>32</w:t>
                  </w:r>
                </w:p>
              </w:tc>
              <w:tc>
                <w:tcPr>
                  <w:tcW w:w="1375" w:type="dxa"/>
                  <w:shd w:val="clear" w:color="auto" w:fill="BBDCFF" w:themeFill="accent5" w:themeFillTint="33"/>
                  <w:hideMark/>
                </w:tcPr>
                <w:p w14:paraId="6FC2A4DB" w14:textId="1EBC828E" w:rsidR="009769DF" w:rsidRPr="009769DF" w:rsidRDefault="009769DF" w:rsidP="009769DF">
                  <w:pPr>
                    <w:spacing w:after="0"/>
                    <w:jc w:val="center"/>
                  </w:pPr>
                  <w:r w:rsidRPr="009769DF">
                    <w:t>37</w:t>
                  </w:r>
                </w:p>
              </w:tc>
              <w:tc>
                <w:tcPr>
                  <w:tcW w:w="1376" w:type="dxa"/>
                  <w:hideMark/>
                </w:tcPr>
                <w:p w14:paraId="193B62C4" w14:textId="512C0FE0" w:rsidR="009769DF" w:rsidRPr="00FA285D" w:rsidRDefault="009769DF" w:rsidP="009769DF">
                  <w:pPr>
                    <w:spacing w:after="0"/>
                    <w:jc w:val="center"/>
                    <w:rPr>
                      <w:b/>
                      <w:bCs/>
                    </w:rPr>
                  </w:pPr>
                  <w:r w:rsidRPr="00FA285D">
                    <w:rPr>
                      <w:b/>
                      <w:bCs/>
                    </w:rPr>
                    <w:t>113</w:t>
                  </w:r>
                </w:p>
              </w:tc>
            </w:tr>
            <w:tr w:rsidR="009769DF" w:rsidRPr="00A408A8" w14:paraId="2B207FDE" w14:textId="77777777" w:rsidTr="00FA285D">
              <w:trPr>
                <w:trHeight w:val="608"/>
              </w:trPr>
              <w:tc>
                <w:tcPr>
                  <w:tcW w:w="2846" w:type="dxa"/>
                  <w:hideMark/>
                </w:tcPr>
                <w:p w14:paraId="0017BE3A" w14:textId="77777777" w:rsidR="009769DF" w:rsidRPr="00FA285D" w:rsidRDefault="009769DF" w:rsidP="009769DF">
                  <w:pPr>
                    <w:spacing w:after="0"/>
                    <w:jc w:val="right"/>
                    <w:rPr>
                      <w:b/>
                      <w:bCs/>
                      <w:color w:val="002A55" w:themeColor="accent5" w:themeShade="80"/>
                    </w:rPr>
                  </w:pPr>
                  <w:r w:rsidRPr="00FA285D">
                    <w:rPr>
                      <w:b/>
                      <w:bCs/>
                      <w:color w:val="002A55" w:themeColor="accent5" w:themeShade="80"/>
                    </w:rPr>
                    <w:t>Foreign Assisted Projects</w:t>
                  </w:r>
                </w:p>
              </w:tc>
              <w:tc>
                <w:tcPr>
                  <w:tcW w:w="1375" w:type="dxa"/>
                  <w:hideMark/>
                </w:tcPr>
                <w:p w14:paraId="29E97231" w14:textId="53FA2495" w:rsidR="009769DF" w:rsidRPr="009769DF" w:rsidRDefault="009769DF" w:rsidP="009769DF">
                  <w:pPr>
                    <w:spacing w:after="0"/>
                    <w:jc w:val="center"/>
                  </w:pPr>
                  <w:r w:rsidRPr="009769DF">
                    <w:t>24</w:t>
                  </w:r>
                </w:p>
              </w:tc>
              <w:tc>
                <w:tcPr>
                  <w:tcW w:w="1375" w:type="dxa"/>
                  <w:shd w:val="clear" w:color="auto" w:fill="BBDCFF" w:themeFill="accent5" w:themeFillTint="33"/>
                  <w:hideMark/>
                </w:tcPr>
                <w:p w14:paraId="7BCE8157" w14:textId="2687E571" w:rsidR="009769DF" w:rsidRPr="009769DF" w:rsidRDefault="009769DF" w:rsidP="009769DF">
                  <w:pPr>
                    <w:spacing w:after="0"/>
                    <w:jc w:val="center"/>
                  </w:pPr>
                  <w:r w:rsidRPr="009769DF">
                    <w:t>29</w:t>
                  </w:r>
                </w:p>
              </w:tc>
              <w:tc>
                <w:tcPr>
                  <w:tcW w:w="1375" w:type="dxa"/>
                  <w:shd w:val="clear" w:color="auto" w:fill="BBDCFF" w:themeFill="accent5" w:themeFillTint="33"/>
                  <w:hideMark/>
                </w:tcPr>
                <w:p w14:paraId="3C44CF48" w14:textId="4DAB9193" w:rsidR="009769DF" w:rsidRPr="009769DF" w:rsidRDefault="009769DF" w:rsidP="009769DF">
                  <w:pPr>
                    <w:spacing w:after="0"/>
                    <w:jc w:val="center"/>
                  </w:pPr>
                  <w:r w:rsidRPr="009769DF">
                    <w:t>29</w:t>
                  </w:r>
                </w:p>
              </w:tc>
              <w:tc>
                <w:tcPr>
                  <w:tcW w:w="1375" w:type="dxa"/>
                  <w:shd w:val="clear" w:color="auto" w:fill="BBDCFF" w:themeFill="accent5" w:themeFillTint="33"/>
                  <w:hideMark/>
                </w:tcPr>
                <w:p w14:paraId="36D0CD8E" w14:textId="76C78AC4" w:rsidR="009769DF" w:rsidRPr="009769DF" w:rsidRDefault="009769DF" w:rsidP="009769DF">
                  <w:pPr>
                    <w:spacing w:after="0"/>
                    <w:jc w:val="center"/>
                  </w:pPr>
                  <w:r w:rsidRPr="009769DF">
                    <w:t>31</w:t>
                  </w:r>
                </w:p>
              </w:tc>
              <w:tc>
                <w:tcPr>
                  <w:tcW w:w="1376" w:type="dxa"/>
                  <w:hideMark/>
                </w:tcPr>
                <w:p w14:paraId="036A969C" w14:textId="49B2EC5C" w:rsidR="009769DF" w:rsidRPr="00FA285D" w:rsidRDefault="009769DF" w:rsidP="009769DF">
                  <w:pPr>
                    <w:spacing w:after="0"/>
                    <w:jc w:val="center"/>
                    <w:rPr>
                      <w:b/>
                      <w:bCs/>
                    </w:rPr>
                  </w:pPr>
                  <w:r w:rsidRPr="00FA285D">
                    <w:rPr>
                      <w:b/>
                      <w:bCs/>
                    </w:rPr>
                    <w:t>113</w:t>
                  </w:r>
                </w:p>
              </w:tc>
            </w:tr>
            <w:tr w:rsidR="009769DF" w:rsidRPr="00A408A8" w14:paraId="0EC5134A" w14:textId="77777777" w:rsidTr="00FA285D">
              <w:trPr>
                <w:trHeight w:val="608"/>
              </w:trPr>
              <w:tc>
                <w:tcPr>
                  <w:tcW w:w="2846" w:type="dxa"/>
                  <w:hideMark/>
                </w:tcPr>
                <w:p w14:paraId="18D62D09" w14:textId="77777777" w:rsidR="009769DF" w:rsidRPr="00FA285D" w:rsidRDefault="009769DF" w:rsidP="009769DF">
                  <w:pPr>
                    <w:spacing w:after="0"/>
                    <w:jc w:val="right"/>
                    <w:rPr>
                      <w:b/>
                      <w:bCs/>
                      <w:color w:val="002A55" w:themeColor="accent5" w:themeShade="80"/>
                    </w:rPr>
                  </w:pPr>
                  <w:r w:rsidRPr="00FA285D">
                    <w:rPr>
                      <w:b/>
                      <w:bCs/>
                      <w:color w:val="002A55" w:themeColor="accent5" w:themeShade="80"/>
                    </w:rPr>
                    <w:t>Local Government Unit</w:t>
                  </w:r>
                </w:p>
              </w:tc>
              <w:tc>
                <w:tcPr>
                  <w:tcW w:w="1375" w:type="dxa"/>
                  <w:hideMark/>
                </w:tcPr>
                <w:p w14:paraId="6B8A6D63" w14:textId="7325EE11" w:rsidR="009769DF" w:rsidRPr="009769DF" w:rsidRDefault="009769DF" w:rsidP="009769DF">
                  <w:pPr>
                    <w:spacing w:after="0"/>
                    <w:jc w:val="center"/>
                  </w:pPr>
                  <w:r w:rsidRPr="009769DF">
                    <w:t>7</w:t>
                  </w:r>
                </w:p>
              </w:tc>
              <w:tc>
                <w:tcPr>
                  <w:tcW w:w="1375" w:type="dxa"/>
                  <w:shd w:val="clear" w:color="auto" w:fill="BBDCFF" w:themeFill="accent5" w:themeFillTint="33"/>
                  <w:hideMark/>
                </w:tcPr>
                <w:p w14:paraId="389354DE" w14:textId="398E5A6B" w:rsidR="009769DF" w:rsidRPr="009769DF" w:rsidRDefault="009769DF" w:rsidP="009769DF">
                  <w:pPr>
                    <w:spacing w:after="0"/>
                    <w:jc w:val="center"/>
                  </w:pPr>
                  <w:r w:rsidRPr="009769DF">
                    <w:t>7</w:t>
                  </w:r>
                </w:p>
              </w:tc>
              <w:tc>
                <w:tcPr>
                  <w:tcW w:w="1375" w:type="dxa"/>
                  <w:shd w:val="clear" w:color="auto" w:fill="BBDCFF" w:themeFill="accent5" w:themeFillTint="33"/>
                  <w:hideMark/>
                </w:tcPr>
                <w:p w14:paraId="072BA3B1" w14:textId="2B9450DF" w:rsidR="009769DF" w:rsidRPr="009769DF" w:rsidRDefault="009769DF" w:rsidP="009769DF">
                  <w:pPr>
                    <w:spacing w:after="0"/>
                    <w:jc w:val="center"/>
                  </w:pPr>
                  <w:r w:rsidRPr="009769DF">
                    <w:t>9</w:t>
                  </w:r>
                </w:p>
              </w:tc>
              <w:tc>
                <w:tcPr>
                  <w:tcW w:w="1375" w:type="dxa"/>
                  <w:shd w:val="clear" w:color="auto" w:fill="BBDCFF" w:themeFill="accent5" w:themeFillTint="33"/>
                  <w:hideMark/>
                </w:tcPr>
                <w:p w14:paraId="30336504" w14:textId="3CB4421B" w:rsidR="009769DF" w:rsidRPr="009769DF" w:rsidRDefault="009769DF" w:rsidP="009769DF">
                  <w:pPr>
                    <w:spacing w:after="0"/>
                    <w:jc w:val="center"/>
                  </w:pPr>
                  <w:r w:rsidRPr="009769DF">
                    <w:t>10</w:t>
                  </w:r>
                </w:p>
              </w:tc>
              <w:tc>
                <w:tcPr>
                  <w:tcW w:w="1376" w:type="dxa"/>
                  <w:hideMark/>
                </w:tcPr>
                <w:p w14:paraId="3EB70845" w14:textId="6C388F9E" w:rsidR="009769DF" w:rsidRPr="00FA285D" w:rsidRDefault="009769DF" w:rsidP="009769DF">
                  <w:pPr>
                    <w:spacing w:after="0"/>
                    <w:jc w:val="center"/>
                    <w:rPr>
                      <w:b/>
                      <w:bCs/>
                    </w:rPr>
                  </w:pPr>
                  <w:r w:rsidRPr="00FA285D">
                    <w:rPr>
                      <w:b/>
                      <w:bCs/>
                    </w:rPr>
                    <w:t>34</w:t>
                  </w:r>
                </w:p>
              </w:tc>
            </w:tr>
            <w:tr w:rsidR="009769DF" w:rsidRPr="00A408A8" w14:paraId="01332735" w14:textId="77777777" w:rsidTr="00FA285D">
              <w:trPr>
                <w:trHeight w:val="608"/>
              </w:trPr>
              <w:tc>
                <w:tcPr>
                  <w:tcW w:w="2846" w:type="dxa"/>
                  <w:hideMark/>
                </w:tcPr>
                <w:p w14:paraId="3981B7A7" w14:textId="77777777" w:rsidR="009769DF" w:rsidRPr="00FA285D" w:rsidRDefault="009769DF" w:rsidP="009769DF">
                  <w:pPr>
                    <w:spacing w:after="0"/>
                    <w:jc w:val="right"/>
                    <w:rPr>
                      <w:b/>
                      <w:bCs/>
                      <w:color w:val="002A55" w:themeColor="accent5" w:themeShade="80"/>
                    </w:rPr>
                  </w:pPr>
                  <w:r w:rsidRPr="00FA285D">
                    <w:rPr>
                      <w:b/>
                      <w:bCs/>
                      <w:color w:val="002A55" w:themeColor="accent5" w:themeShade="80"/>
                    </w:rPr>
                    <w:t>PhilHealth</w:t>
                  </w:r>
                </w:p>
              </w:tc>
              <w:tc>
                <w:tcPr>
                  <w:tcW w:w="1375" w:type="dxa"/>
                  <w:hideMark/>
                </w:tcPr>
                <w:p w14:paraId="406F5D3B" w14:textId="4F0CC026" w:rsidR="009769DF" w:rsidRPr="009769DF" w:rsidRDefault="009769DF" w:rsidP="009769DF">
                  <w:pPr>
                    <w:spacing w:after="0"/>
                    <w:jc w:val="center"/>
                  </w:pPr>
                  <w:r w:rsidRPr="009769DF">
                    <w:t>13</w:t>
                  </w:r>
                </w:p>
              </w:tc>
              <w:tc>
                <w:tcPr>
                  <w:tcW w:w="1375" w:type="dxa"/>
                  <w:shd w:val="clear" w:color="auto" w:fill="BBDCFF" w:themeFill="accent5" w:themeFillTint="33"/>
                  <w:hideMark/>
                </w:tcPr>
                <w:p w14:paraId="0B5878ED" w14:textId="6AB17CD9" w:rsidR="009769DF" w:rsidRPr="009769DF" w:rsidRDefault="009769DF" w:rsidP="009769DF">
                  <w:pPr>
                    <w:spacing w:after="0"/>
                    <w:jc w:val="center"/>
                  </w:pPr>
                  <w:r w:rsidRPr="009769DF">
                    <w:t>51</w:t>
                  </w:r>
                </w:p>
              </w:tc>
              <w:tc>
                <w:tcPr>
                  <w:tcW w:w="1375" w:type="dxa"/>
                  <w:shd w:val="clear" w:color="auto" w:fill="BBDCFF" w:themeFill="accent5" w:themeFillTint="33"/>
                  <w:hideMark/>
                </w:tcPr>
                <w:p w14:paraId="5C23E36E" w14:textId="0942713D" w:rsidR="009769DF" w:rsidRPr="009769DF" w:rsidRDefault="009769DF" w:rsidP="009769DF">
                  <w:pPr>
                    <w:spacing w:after="0"/>
                    <w:jc w:val="center"/>
                  </w:pPr>
                  <w:r w:rsidRPr="009769DF">
                    <w:t>67</w:t>
                  </w:r>
                </w:p>
              </w:tc>
              <w:tc>
                <w:tcPr>
                  <w:tcW w:w="1375" w:type="dxa"/>
                  <w:shd w:val="clear" w:color="auto" w:fill="BBDCFF" w:themeFill="accent5" w:themeFillTint="33"/>
                  <w:hideMark/>
                </w:tcPr>
                <w:p w14:paraId="67D8C9CD" w14:textId="4F264EF3" w:rsidR="009769DF" w:rsidRPr="009769DF" w:rsidRDefault="009769DF" w:rsidP="009769DF">
                  <w:pPr>
                    <w:spacing w:after="0"/>
                    <w:jc w:val="center"/>
                  </w:pPr>
                  <w:r w:rsidRPr="009769DF">
                    <w:t>86</w:t>
                  </w:r>
                </w:p>
              </w:tc>
              <w:tc>
                <w:tcPr>
                  <w:tcW w:w="1376" w:type="dxa"/>
                  <w:hideMark/>
                </w:tcPr>
                <w:p w14:paraId="02C2AB52" w14:textId="6C700EC8" w:rsidR="009769DF" w:rsidRPr="00FA285D" w:rsidRDefault="009769DF" w:rsidP="009769DF">
                  <w:pPr>
                    <w:spacing w:after="0"/>
                    <w:jc w:val="center"/>
                    <w:rPr>
                      <w:b/>
                      <w:bCs/>
                    </w:rPr>
                  </w:pPr>
                  <w:r w:rsidRPr="00FA285D">
                    <w:rPr>
                      <w:b/>
                      <w:bCs/>
                    </w:rPr>
                    <w:t>217</w:t>
                  </w:r>
                </w:p>
              </w:tc>
            </w:tr>
            <w:tr w:rsidR="009769DF" w:rsidRPr="00A408A8" w14:paraId="3F917E3B" w14:textId="77777777" w:rsidTr="00FA285D">
              <w:trPr>
                <w:trHeight w:val="608"/>
              </w:trPr>
              <w:tc>
                <w:tcPr>
                  <w:tcW w:w="2846" w:type="dxa"/>
                  <w:hideMark/>
                </w:tcPr>
                <w:p w14:paraId="2273DB7F" w14:textId="77777777" w:rsidR="009769DF" w:rsidRPr="00FA285D" w:rsidRDefault="009769DF" w:rsidP="009769DF">
                  <w:pPr>
                    <w:spacing w:after="0"/>
                    <w:jc w:val="right"/>
                    <w:rPr>
                      <w:b/>
                      <w:bCs/>
                      <w:color w:val="002A55" w:themeColor="accent5" w:themeShade="80"/>
                    </w:rPr>
                  </w:pPr>
                  <w:r w:rsidRPr="00FA285D">
                    <w:rPr>
                      <w:b/>
                      <w:bCs/>
                      <w:color w:val="002A55" w:themeColor="accent5" w:themeShade="80"/>
                    </w:rPr>
                    <w:t>Out-of-Pocket</w:t>
                  </w:r>
                </w:p>
              </w:tc>
              <w:tc>
                <w:tcPr>
                  <w:tcW w:w="1375" w:type="dxa"/>
                  <w:hideMark/>
                </w:tcPr>
                <w:p w14:paraId="51B86D4C" w14:textId="54BF71D8" w:rsidR="009769DF" w:rsidRPr="009769DF" w:rsidRDefault="001476CB" w:rsidP="009769DF">
                  <w:pPr>
                    <w:spacing w:after="0"/>
                    <w:jc w:val="center"/>
                  </w:pPr>
                  <w:r>
                    <w:t>10</w:t>
                  </w:r>
                </w:p>
              </w:tc>
              <w:tc>
                <w:tcPr>
                  <w:tcW w:w="1375" w:type="dxa"/>
                  <w:shd w:val="clear" w:color="auto" w:fill="BBDCFF" w:themeFill="accent5" w:themeFillTint="33"/>
                  <w:hideMark/>
                </w:tcPr>
                <w:p w14:paraId="2B45E553" w14:textId="0CE953FA" w:rsidR="009769DF" w:rsidRPr="009769DF" w:rsidRDefault="00ED6E10" w:rsidP="009769DF">
                  <w:pPr>
                    <w:spacing w:after="0"/>
                    <w:jc w:val="center"/>
                  </w:pPr>
                  <w:r>
                    <w:t>14</w:t>
                  </w:r>
                </w:p>
              </w:tc>
              <w:tc>
                <w:tcPr>
                  <w:tcW w:w="1375" w:type="dxa"/>
                  <w:shd w:val="clear" w:color="auto" w:fill="BBDCFF" w:themeFill="accent5" w:themeFillTint="33"/>
                  <w:hideMark/>
                </w:tcPr>
                <w:p w14:paraId="337B61BE" w14:textId="57BB6E74" w:rsidR="009769DF" w:rsidRPr="009769DF" w:rsidRDefault="00ED6E10" w:rsidP="009769DF">
                  <w:pPr>
                    <w:spacing w:after="0"/>
                    <w:jc w:val="center"/>
                  </w:pPr>
                  <w:r>
                    <w:t>18</w:t>
                  </w:r>
                </w:p>
              </w:tc>
              <w:tc>
                <w:tcPr>
                  <w:tcW w:w="1375" w:type="dxa"/>
                  <w:shd w:val="clear" w:color="auto" w:fill="BBDCFF" w:themeFill="accent5" w:themeFillTint="33"/>
                  <w:hideMark/>
                </w:tcPr>
                <w:p w14:paraId="1F617F88" w14:textId="4CC160E1" w:rsidR="009769DF" w:rsidRPr="009769DF" w:rsidRDefault="00ED6E10" w:rsidP="009769DF">
                  <w:pPr>
                    <w:spacing w:after="0"/>
                    <w:jc w:val="center"/>
                  </w:pPr>
                  <w:r>
                    <w:t>22</w:t>
                  </w:r>
                </w:p>
              </w:tc>
              <w:tc>
                <w:tcPr>
                  <w:tcW w:w="1376" w:type="dxa"/>
                  <w:hideMark/>
                </w:tcPr>
                <w:p w14:paraId="7A663F26" w14:textId="58F6B3A2" w:rsidR="009769DF" w:rsidRPr="00FA285D" w:rsidRDefault="00ED6E10" w:rsidP="009769DF">
                  <w:pPr>
                    <w:spacing w:after="0"/>
                    <w:jc w:val="center"/>
                    <w:rPr>
                      <w:b/>
                      <w:bCs/>
                    </w:rPr>
                  </w:pPr>
                  <w:r>
                    <w:rPr>
                      <w:b/>
                      <w:bCs/>
                    </w:rPr>
                    <w:t>64</w:t>
                  </w:r>
                </w:p>
              </w:tc>
            </w:tr>
            <w:tr w:rsidR="009769DF" w:rsidRPr="00A408A8" w14:paraId="2CA0BC61" w14:textId="77777777" w:rsidTr="00ED6E10">
              <w:trPr>
                <w:trHeight w:val="608"/>
              </w:trPr>
              <w:tc>
                <w:tcPr>
                  <w:tcW w:w="2846" w:type="dxa"/>
                  <w:hideMark/>
                </w:tcPr>
                <w:p w14:paraId="4BA466CA" w14:textId="33849064" w:rsidR="009769DF" w:rsidRPr="00FA285D" w:rsidRDefault="009769DF" w:rsidP="009769DF">
                  <w:pPr>
                    <w:spacing w:after="0"/>
                    <w:jc w:val="right"/>
                    <w:rPr>
                      <w:b/>
                      <w:bCs/>
                      <w:color w:val="002A55" w:themeColor="accent5" w:themeShade="80"/>
                    </w:rPr>
                  </w:pPr>
                  <w:r w:rsidRPr="00FA285D">
                    <w:rPr>
                      <w:b/>
                      <w:bCs/>
                      <w:color w:val="002A55" w:themeColor="accent5" w:themeShade="80"/>
                    </w:rPr>
                    <w:t>Total Commitments</w:t>
                  </w:r>
                </w:p>
              </w:tc>
              <w:tc>
                <w:tcPr>
                  <w:tcW w:w="1375" w:type="dxa"/>
                </w:tcPr>
                <w:p w14:paraId="7D08268D" w14:textId="50A78E0A" w:rsidR="009769DF" w:rsidRPr="009769DF" w:rsidRDefault="00ED6E10" w:rsidP="009769DF">
                  <w:pPr>
                    <w:spacing w:after="0"/>
                    <w:jc w:val="center"/>
                  </w:pPr>
                  <w:r>
                    <w:t>72</w:t>
                  </w:r>
                </w:p>
              </w:tc>
              <w:tc>
                <w:tcPr>
                  <w:tcW w:w="1375" w:type="dxa"/>
                  <w:shd w:val="clear" w:color="auto" w:fill="BBDCFF" w:themeFill="accent5" w:themeFillTint="33"/>
                </w:tcPr>
                <w:p w14:paraId="3CBBE0E4" w14:textId="58C1EDBB" w:rsidR="009769DF" w:rsidRPr="009769DF" w:rsidRDefault="00ED6E10" w:rsidP="009769DF">
                  <w:pPr>
                    <w:spacing w:after="0"/>
                    <w:jc w:val="center"/>
                  </w:pPr>
                  <w:r>
                    <w:t>128</w:t>
                  </w:r>
                </w:p>
              </w:tc>
              <w:tc>
                <w:tcPr>
                  <w:tcW w:w="1375" w:type="dxa"/>
                  <w:shd w:val="clear" w:color="auto" w:fill="BBDCFF" w:themeFill="accent5" w:themeFillTint="33"/>
                </w:tcPr>
                <w:p w14:paraId="0EAF5370" w14:textId="44689E97" w:rsidR="009769DF" w:rsidRPr="009769DF" w:rsidRDefault="00ED6E10" w:rsidP="009769DF">
                  <w:pPr>
                    <w:spacing w:after="0"/>
                    <w:jc w:val="center"/>
                  </w:pPr>
                  <w:r>
                    <w:t>156</w:t>
                  </w:r>
                </w:p>
              </w:tc>
              <w:tc>
                <w:tcPr>
                  <w:tcW w:w="1375" w:type="dxa"/>
                  <w:shd w:val="clear" w:color="auto" w:fill="BBDCFF" w:themeFill="accent5" w:themeFillTint="33"/>
                </w:tcPr>
                <w:p w14:paraId="7720A389" w14:textId="7B224EE9" w:rsidR="009769DF" w:rsidRPr="009769DF" w:rsidRDefault="00ED6E10" w:rsidP="009769DF">
                  <w:pPr>
                    <w:spacing w:after="0"/>
                    <w:jc w:val="center"/>
                  </w:pPr>
                  <w:r>
                    <w:t>186</w:t>
                  </w:r>
                </w:p>
              </w:tc>
              <w:tc>
                <w:tcPr>
                  <w:tcW w:w="1376" w:type="dxa"/>
                </w:tcPr>
                <w:p w14:paraId="3A2EB349" w14:textId="67609BDA" w:rsidR="009769DF" w:rsidRPr="00FA285D" w:rsidRDefault="00ED6E10" w:rsidP="009769DF">
                  <w:pPr>
                    <w:spacing w:after="0"/>
                    <w:jc w:val="center"/>
                    <w:rPr>
                      <w:b/>
                      <w:bCs/>
                    </w:rPr>
                  </w:pPr>
                  <w:r>
                    <w:rPr>
                      <w:b/>
                      <w:bCs/>
                    </w:rPr>
                    <w:t>542</w:t>
                  </w:r>
                </w:p>
              </w:tc>
            </w:tr>
            <w:tr w:rsidR="009769DF" w:rsidRPr="00A408A8" w14:paraId="749D5B39" w14:textId="77777777" w:rsidTr="00ED6E10">
              <w:trPr>
                <w:trHeight w:val="608"/>
              </w:trPr>
              <w:tc>
                <w:tcPr>
                  <w:tcW w:w="2846" w:type="dxa"/>
                  <w:hideMark/>
                </w:tcPr>
                <w:p w14:paraId="2D67AC4E" w14:textId="77777777" w:rsidR="009769DF" w:rsidRPr="00FA285D" w:rsidRDefault="009769DF" w:rsidP="009769DF">
                  <w:pPr>
                    <w:spacing w:after="0"/>
                    <w:jc w:val="right"/>
                    <w:rPr>
                      <w:b/>
                      <w:bCs/>
                      <w:color w:val="002A55" w:themeColor="accent5" w:themeShade="80"/>
                    </w:rPr>
                  </w:pPr>
                  <w:r w:rsidRPr="00FA285D">
                    <w:rPr>
                      <w:b/>
                      <w:bCs/>
                      <w:color w:val="002A55" w:themeColor="accent5" w:themeShade="80"/>
                    </w:rPr>
                    <w:t>Funding Requirements</w:t>
                  </w:r>
                </w:p>
              </w:tc>
              <w:tc>
                <w:tcPr>
                  <w:tcW w:w="1375" w:type="dxa"/>
                </w:tcPr>
                <w:p w14:paraId="7D4A08B8" w14:textId="0A8696C1" w:rsidR="009769DF" w:rsidRPr="009769DF" w:rsidRDefault="00ED6E10" w:rsidP="009769DF">
                  <w:pPr>
                    <w:spacing w:after="0"/>
                    <w:jc w:val="center"/>
                  </w:pPr>
                  <w:r>
                    <w:t>209</w:t>
                  </w:r>
                </w:p>
              </w:tc>
              <w:tc>
                <w:tcPr>
                  <w:tcW w:w="1375" w:type="dxa"/>
                  <w:shd w:val="clear" w:color="auto" w:fill="BBDCFF" w:themeFill="accent5" w:themeFillTint="33"/>
                </w:tcPr>
                <w:p w14:paraId="1C3D79A0" w14:textId="17B7CA61" w:rsidR="009769DF" w:rsidRPr="009769DF" w:rsidRDefault="00ED6E10" w:rsidP="009769DF">
                  <w:pPr>
                    <w:spacing w:after="0"/>
                    <w:jc w:val="center"/>
                  </w:pPr>
                  <w:r>
                    <w:t>278</w:t>
                  </w:r>
                </w:p>
              </w:tc>
              <w:tc>
                <w:tcPr>
                  <w:tcW w:w="1375" w:type="dxa"/>
                  <w:shd w:val="clear" w:color="auto" w:fill="BBDCFF" w:themeFill="accent5" w:themeFillTint="33"/>
                </w:tcPr>
                <w:p w14:paraId="7D6FAF7C" w14:textId="7994A1F9" w:rsidR="009769DF" w:rsidRPr="009769DF" w:rsidRDefault="00ED6E10" w:rsidP="009769DF">
                  <w:pPr>
                    <w:spacing w:after="0"/>
                    <w:jc w:val="center"/>
                  </w:pPr>
                  <w:r>
                    <w:t>294</w:t>
                  </w:r>
                </w:p>
              </w:tc>
              <w:tc>
                <w:tcPr>
                  <w:tcW w:w="1375" w:type="dxa"/>
                  <w:shd w:val="clear" w:color="auto" w:fill="BBDCFF" w:themeFill="accent5" w:themeFillTint="33"/>
                </w:tcPr>
                <w:p w14:paraId="40AC2960" w14:textId="506BCE58" w:rsidR="009769DF" w:rsidRPr="009769DF" w:rsidRDefault="00ED6E10" w:rsidP="009769DF">
                  <w:pPr>
                    <w:spacing w:after="0"/>
                    <w:jc w:val="center"/>
                  </w:pPr>
                  <w:r>
                    <w:t>359</w:t>
                  </w:r>
                </w:p>
              </w:tc>
              <w:tc>
                <w:tcPr>
                  <w:tcW w:w="1376" w:type="dxa"/>
                </w:tcPr>
                <w:p w14:paraId="055A5A9D" w14:textId="77777777" w:rsidR="009769DF" w:rsidRDefault="00ED6E10" w:rsidP="009769DF">
                  <w:pPr>
                    <w:spacing w:after="0"/>
                    <w:jc w:val="center"/>
                    <w:rPr>
                      <w:b/>
                      <w:bCs/>
                    </w:rPr>
                  </w:pPr>
                  <w:r>
                    <w:rPr>
                      <w:b/>
                      <w:bCs/>
                    </w:rPr>
                    <w:t>1139</w:t>
                  </w:r>
                </w:p>
                <w:p w14:paraId="27BC0F22" w14:textId="4277B4A8" w:rsidR="00ED6E10" w:rsidRPr="00FA285D" w:rsidRDefault="00ED6E10" w:rsidP="009769DF">
                  <w:pPr>
                    <w:spacing w:after="0"/>
                    <w:jc w:val="center"/>
                    <w:rPr>
                      <w:b/>
                      <w:bCs/>
                    </w:rPr>
                  </w:pPr>
                </w:p>
              </w:tc>
            </w:tr>
            <w:tr w:rsidR="009769DF" w:rsidRPr="00A408A8" w14:paraId="37DAC54D" w14:textId="77777777" w:rsidTr="00ED6E10">
              <w:trPr>
                <w:trHeight w:val="608"/>
              </w:trPr>
              <w:tc>
                <w:tcPr>
                  <w:tcW w:w="2846" w:type="dxa"/>
                  <w:hideMark/>
                </w:tcPr>
                <w:p w14:paraId="53C18BAC" w14:textId="77777777" w:rsidR="009769DF" w:rsidRPr="00FA285D" w:rsidRDefault="009769DF" w:rsidP="009769DF">
                  <w:pPr>
                    <w:spacing w:after="0"/>
                    <w:jc w:val="right"/>
                    <w:rPr>
                      <w:b/>
                      <w:bCs/>
                      <w:color w:val="002A55" w:themeColor="accent5" w:themeShade="80"/>
                    </w:rPr>
                  </w:pPr>
                  <w:r w:rsidRPr="00FA285D">
                    <w:rPr>
                      <w:b/>
                      <w:bCs/>
                      <w:color w:val="002A55" w:themeColor="accent5" w:themeShade="80"/>
                    </w:rPr>
                    <w:t>Funding Gap</w:t>
                  </w:r>
                </w:p>
              </w:tc>
              <w:tc>
                <w:tcPr>
                  <w:tcW w:w="1375" w:type="dxa"/>
                </w:tcPr>
                <w:p w14:paraId="431829F7" w14:textId="528C8DF4" w:rsidR="009769DF" w:rsidRPr="00FA285D" w:rsidRDefault="00ED6E10" w:rsidP="009769DF">
                  <w:pPr>
                    <w:spacing w:after="0"/>
                    <w:jc w:val="center"/>
                    <w:rPr>
                      <w:b/>
                      <w:bCs/>
                    </w:rPr>
                  </w:pPr>
                  <w:r>
                    <w:rPr>
                      <w:b/>
                      <w:bCs/>
                    </w:rPr>
                    <w:t>137</w:t>
                  </w:r>
                </w:p>
              </w:tc>
              <w:tc>
                <w:tcPr>
                  <w:tcW w:w="1375" w:type="dxa"/>
                  <w:shd w:val="clear" w:color="auto" w:fill="BBDCFF" w:themeFill="accent5" w:themeFillTint="33"/>
                </w:tcPr>
                <w:p w14:paraId="110EB277" w14:textId="0DC0C696" w:rsidR="009769DF" w:rsidRPr="00FA285D" w:rsidRDefault="00ED6E10" w:rsidP="009769DF">
                  <w:pPr>
                    <w:spacing w:after="0"/>
                    <w:jc w:val="center"/>
                    <w:rPr>
                      <w:b/>
                      <w:bCs/>
                    </w:rPr>
                  </w:pPr>
                  <w:r>
                    <w:rPr>
                      <w:b/>
                      <w:bCs/>
                    </w:rPr>
                    <w:t>149</w:t>
                  </w:r>
                </w:p>
              </w:tc>
              <w:tc>
                <w:tcPr>
                  <w:tcW w:w="1375" w:type="dxa"/>
                  <w:shd w:val="clear" w:color="auto" w:fill="BBDCFF" w:themeFill="accent5" w:themeFillTint="33"/>
                </w:tcPr>
                <w:p w14:paraId="7BE12883" w14:textId="7E89E899" w:rsidR="009769DF" w:rsidRPr="00FA285D" w:rsidRDefault="00ED6E10" w:rsidP="009769DF">
                  <w:pPr>
                    <w:spacing w:after="0"/>
                    <w:jc w:val="center"/>
                    <w:rPr>
                      <w:b/>
                      <w:bCs/>
                    </w:rPr>
                  </w:pPr>
                  <w:r>
                    <w:rPr>
                      <w:b/>
                      <w:bCs/>
                    </w:rPr>
                    <w:t>138</w:t>
                  </w:r>
                </w:p>
              </w:tc>
              <w:tc>
                <w:tcPr>
                  <w:tcW w:w="1375" w:type="dxa"/>
                  <w:shd w:val="clear" w:color="auto" w:fill="BBDCFF" w:themeFill="accent5" w:themeFillTint="33"/>
                </w:tcPr>
                <w:p w14:paraId="07DC2D05" w14:textId="1EDC0598" w:rsidR="009769DF" w:rsidRPr="00FA285D" w:rsidRDefault="00ED6E10" w:rsidP="009769DF">
                  <w:pPr>
                    <w:spacing w:after="0"/>
                    <w:jc w:val="center"/>
                    <w:rPr>
                      <w:b/>
                      <w:bCs/>
                    </w:rPr>
                  </w:pPr>
                  <w:r>
                    <w:rPr>
                      <w:b/>
                      <w:bCs/>
                    </w:rPr>
                    <w:t>173</w:t>
                  </w:r>
                </w:p>
              </w:tc>
              <w:tc>
                <w:tcPr>
                  <w:tcW w:w="1376" w:type="dxa"/>
                </w:tcPr>
                <w:p w14:paraId="24B7BD02" w14:textId="7C152DE8" w:rsidR="009769DF" w:rsidRPr="00FA285D" w:rsidRDefault="00ED6E10" w:rsidP="009769DF">
                  <w:pPr>
                    <w:spacing w:after="0"/>
                    <w:jc w:val="center"/>
                    <w:rPr>
                      <w:b/>
                      <w:bCs/>
                    </w:rPr>
                  </w:pPr>
                  <w:r>
                    <w:rPr>
                      <w:b/>
                      <w:bCs/>
                    </w:rPr>
                    <w:t>597</w:t>
                  </w:r>
                </w:p>
              </w:tc>
            </w:tr>
            <w:tr w:rsidR="009769DF" w:rsidRPr="00A408A8" w14:paraId="279A3C9E" w14:textId="77777777" w:rsidTr="00FA285D">
              <w:trPr>
                <w:trHeight w:val="608"/>
              </w:trPr>
              <w:tc>
                <w:tcPr>
                  <w:tcW w:w="2846" w:type="dxa"/>
                  <w:hideMark/>
                </w:tcPr>
                <w:p w14:paraId="5ECFF110" w14:textId="398BDDA2" w:rsidR="009769DF" w:rsidRPr="00FA285D" w:rsidRDefault="009769DF" w:rsidP="009769DF">
                  <w:pPr>
                    <w:spacing w:after="0"/>
                    <w:jc w:val="right"/>
                    <w:rPr>
                      <w:b/>
                      <w:bCs/>
                      <w:color w:val="002A55" w:themeColor="accent5" w:themeShade="80"/>
                    </w:rPr>
                  </w:pPr>
                  <w:r w:rsidRPr="00FA285D">
                    <w:rPr>
                      <w:b/>
                      <w:bCs/>
                      <w:color w:val="002A55" w:themeColor="accent5" w:themeShade="80"/>
                    </w:rPr>
                    <w:t xml:space="preserve">% </w:t>
                  </w:r>
                </w:p>
              </w:tc>
              <w:tc>
                <w:tcPr>
                  <w:tcW w:w="1375" w:type="dxa"/>
                  <w:hideMark/>
                </w:tcPr>
                <w:p w14:paraId="6A5FE7B3" w14:textId="330F1F85" w:rsidR="009769DF" w:rsidRPr="00FA285D" w:rsidRDefault="009769DF" w:rsidP="009769DF">
                  <w:pPr>
                    <w:spacing w:after="0"/>
                    <w:jc w:val="center"/>
                    <w:rPr>
                      <w:b/>
                      <w:bCs/>
                    </w:rPr>
                  </w:pPr>
                  <w:r w:rsidRPr="00FA285D">
                    <w:rPr>
                      <w:b/>
                      <w:bCs/>
                    </w:rPr>
                    <w:t>6</w:t>
                  </w:r>
                  <w:r w:rsidR="00ED6E10">
                    <w:rPr>
                      <w:b/>
                      <w:bCs/>
                    </w:rPr>
                    <w:t>6</w:t>
                  </w:r>
                  <w:r w:rsidRPr="00FA285D">
                    <w:rPr>
                      <w:b/>
                      <w:bCs/>
                    </w:rPr>
                    <w:t>%</w:t>
                  </w:r>
                </w:p>
              </w:tc>
              <w:tc>
                <w:tcPr>
                  <w:tcW w:w="1375" w:type="dxa"/>
                  <w:shd w:val="clear" w:color="auto" w:fill="BBDCFF" w:themeFill="accent5" w:themeFillTint="33"/>
                  <w:hideMark/>
                </w:tcPr>
                <w:p w14:paraId="7C48A5A6" w14:textId="31B09A45" w:rsidR="009769DF" w:rsidRPr="00FA285D" w:rsidRDefault="009769DF" w:rsidP="009769DF">
                  <w:pPr>
                    <w:spacing w:after="0"/>
                    <w:jc w:val="center"/>
                    <w:rPr>
                      <w:b/>
                      <w:bCs/>
                    </w:rPr>
                  </w:pPr>
                  <w:r w:rsidRPr="00FA285D">
                    <w:rPr>
                      <w:b/>
                      <w:bCs/>
                    </w:rPr>
                    <w:t>5</w:t>
                  </w:r>
                  <w:r w:rsidR="00ED6E10">
                    <w:rPr>
                      <w:b/>
                      <w:bCs/>
                    </w:rPr>
                    <w:t>4</w:t>
                  </w:r>
                  <w:r w:rsidRPr="00FA285D">
                    <w:rPr>
                      <w:b/>
                      <w:bCs/>
                    </w:rPr>
                    <w:t>%</w:t>
                  </w:r>
                </w:p>
              </w:tc>
              <w:tc>
                <w:tcPr>
                  <w:tcW w:w="1375" w:type="dxa"/>
                  <w:shd w:val="clear" w:color="auto" w:fill="BBDCFF" w:themeFill="accent5" w:themeFillTint="33"/>
                  <w:hideMark/>
                </w:tcPr>
                <w:p w14:paraId="0A07D987" w14:textId="222B5C7B" w:rsidR="009769DF" w:rsidRPr="00FA285D" w:rsidRDefault="00ED6E10" w:rsidP="009769DF">
                  <w:pPr>
                    <w:spacing w:after="0"/>
                    <w:jc w:val="center"/>
                    <w:rPr>
                      <w:b/>
                      <w:bCs/>
                    </w:rPr>
                  </w:pPr>
                  <w:r>
                    <w:rPr>
                      <w:b/>
                      <w:bCs/>
                    </w:rPr>
                    <w:t>47</w:t>
                  </w:r>
                  <w:r w:rsidR="009769DF" w:rsidRPr="00FA285D">
                    <w:rPr>
                      <w:b/>
                      <w:bCs/>
                    </w:rPr>
                    <w:t>%</w:t>
                  </w:r>
                </w:p>
              </w:tc>
              <w:tc>
                <w:tcPr>
                  <w:tcW w:w="1375" w:type="dxa"/>
                  <w:shd w:val="clear" w:color="auto" w:fill="BBDCFF" w:themeFill="accent5" w:themeFillTint="33"/>
                  <w:hideMark/>
                </w:tcPr>
                <w:p w14:paraId="6A30CC35" w14:textId="2FAB804C" w:rsidR="009769DF" w:rsidRPr="00FA285D" w:rsidRDefault="00ED6E10" w:rsidP="009769DF">
                  <w:pPr>
                    <w:spacing w:after="0"/>
                    <w:jc w:val="center"/>
                    <w:rPr>
                      <w:b/>
                      <w:bCs/>
                    </w:rPr>
                  </w:pPr>
                  <w:r>
                    <w:rPr>
                      <w:b/>
                      <w:bCs/>
                    </w:rPr>
                    <w:t>48</w:t>
                  </w:r>
                  <w:r w:rsidR="009769DF" w:rsidRPr="00FA285D">
                    <w:rPr>
                      <w:b/>
                      <w:bCs/>
                    </w:rPr>
                    <w:t>%</w:t>
                  </w:r>
                </w:p>
              </w:tc>
              <w:tc>
                <w:tcPr>
                  <w:tcW w:w="1376" w:type="dxa"/>
                  <w:hideMark/>
                </w:tcPr>
                <w:p w14:paraId="6D1707FC" w14:textId="12678CE6" w:rsidR="009769DF" w:rsidRPr="00FA285D" w:rsidRDefault="009769DF" w:rsidP="009769DF">
                  <w:pPr>
                    <w:spacing w:after="0"/>
                    <w:jc w:val="center"/>
                    <w:rPr>
                      <w:b/>
                      <w:bCs/>
                    </w:rPr>
                  </w:pPr>
                  <w:r w:rsidRPr="00FA285D">
                    <w:rPr>
                      <w:b/>
                      <w:bCs/>
                    </w:rPr>
                    <w:t>5</w:t>
                  </w:r>
                  <w:r w:rsidR="00ED6E10">
                    <w:rPr>
                      <w:b/>
                      <w:bCs/>
                    </w:rPr>
                    <w:t>2</w:t>
                  </w:r>
                  <w:r w:rsidRPr="00FA285D">
                    <w:rPr>
                      <w:b/>
                      <w:bCs/>
                    </w:rPr>
                    <w:t>%</w:t>
                  </w:r>
                </w:p>
              </w:tc>
            </w:tr>
          </w:tbl>
          <w:p w14:paraId="63144CCB" w14:textId="77777777" w:rsidR="009769DF" w:rsidRDefault="009769DF" w:rsidP="009769DF">
            <w:pPr>
              <w:spacing w:after="0"/>
              <w:rPr>
                <w:color w:val="FF0000"/>
              </w:rPr>
            </w:pPr>
          </w:p>
          <w:p w14:paraId="5E0AFE51" w14:textId="77777777" w:rsidR="00412E24" w:rsidRPr="00221BD7" w:rsidRDefault="00412E24" w:rsidP="00412E24">
            <w:pPr>
              <w:spacing w:after="0"/>
            </w:pPr>
            <w:r w:rsidRPr="00221BD7">
              <w:t xml:space="preserve">This funding request will focus on investments where there is currently limited resources and fiscal flexibility in using domestic/government funds, particularly in MDR TB treatment, active case finding among most at risk population groups, TB-HIV collaboration and addressing stigma and discrimination though human rights and gender initiatives. Furthermore, to invest on specific interventions to support initial work in UHC implementation by building RSSH in health product management, information management, public health financial management and laboratory management.      </w:t>
            </w:r>
          </w:p>
          <w:p w14:paraId="29486D68" w14:textId="5A99EC4C" w:rsidR="00412E24" w:rsidRPr="00221BD7" w:rsidRDefault="00412E24" w:rsidP="00412E24">
            <w:pPr>
              <w:spacing w:after="0"/>
            </w:pPr>
            <w:r w:rsidRPr="00221BD7">
              <w:t xml:space="preserve">  </w:t>
            </w:r>
          </w:p>
          <w:p w14:paraId="21E31E00" w14:textId="77777777" w:rsidR="00DC71F2" w:rsidRPr="00221BD7" w:rsidRDefault="00DC71F2" w:rsidP="00DC71F2">
            <w:pPr>
              <w:spacing w:after="0"/>
            </w:pPr>
            <w:r w:rsidRPr="00221BD7">
              <w:lastRenderedPageBreak/>
              <w:t>The full implementation of the UHC Law will revolutionize the Philippine health care service delivery system. Details on the UHC and related funding streams are described in Section 4.2b.</w:t>
            </w:r>
          </w:p>
          <w:p w14:paraId="37BFE313" w14:textId="57772D30" w:rsidR="00480D8A" w:rsidRPr="00221BD7" w:rsidRDefault="00480D8A" w:rsidP="009B6C0D">
            <w:pPr>
              <w:spacing w:after="0"/>
            </w:pPr>
          </w:p>
          <w:p w14:paraId="7956631B" w14:textId="258AFC85" w:rsidR="0067155A" w:rsidRDefault="00DC71F2" w:rsidP="00412E24">
            <w:pPr>
              <w:spacing w:after="0"/>
            </w:pPr>
            <w:r w:rsidRPr="00221BD7">
              <w:t>While the UHC implementation guidelines to support technical, managerial integration is being developed and tested, immediate action to address current health system bottlenecks will be undertaken</w:t>
            </w:r>
            <w:r w:rsidR="00221BD7">
              <w:t xml:space="preserve">. </w:t>
            </w:r>
            <w:r w:rsidR="0067155A" w:rsidRPr="006B080F">
              <w:t xml:space="preserve">Some initiatives </w:t>
            </w:r>
            <w:r w:rsidR="006B080F">
              <w:t xml:space="preserve">to increase domestic resource mobilization to reduce the </w:t>
            </w:r>
            <w:r w:rsidR="0067155A" w:rsidRPr="006B080F">
              <w:t>funding gap include:</w:t>
            </w:r>
          </w:p>
          <w:p w14:paraId="6FD2ACF9" w14:textId="77777777" w:rsidR="00221BD7" w:rsidRPr="006B080F" w:rsidRDefault="00221BD7" w:rsidP="00412E24">
            <w:pPr>
              <w:spacing w:after="0"/>
            </w:pPr>
          </w:p>
          <w:p w14:paraId="377D5477" w14:textId="01E14C58" w:rsidR="0067155A" w:rsidRDefault="00221BD7" w:rsidP="0067155A">
            <w:pPr>
              <w:pStyle w:val="ListParagraph"/>
              <w:numPr>
                <w:ilvl w:val="0"/>
                <w:numId w:val="59"/>
              </w:numPr>
              <w:spacing w:after="0"/>
            </w:pPr>
            <w:r w:rsidRPr="00221BD7">
              <w:rPr>
                <w:b/>
                <w:bCs/>
              </w:rPr>
              <w:t>Strengthening the N</w:t>
            </w:r>
            <w:r>
              <w:rPr>
                <w:b/>
                <w:bCs/>
              </w:rPr>
              <w:t xml:space="preserve">ational Coordinating Council (NCC). </w:t>
            </w:r>
            <w:r w:rsidR="0067155A" w:rsidRPr="006B080F">
              <w:t>The N</w:t>
            </w:r>
            <w:r>
              <w:t>CC</w:t>
            </w:r>
            <w:r w:rsidR="0067155A" w:rsidRPr="006B080F">
              <w:t xml:space="preserve"> for TB (as provided in the TB Law) is being provided technical assistance to be strengthened to </w:t>
            </w:r>
            <w:r>
              <w:t xml:space="preserve">champion the NTP by </w:t>
            </w:r>
            <w:r w:rsidR="0067155A" w:rsidRPr="006B080F">
              <w:t>advocat</w:t>
            </w:r>
            <w:r>
              <w:t>ing for higher</w:t>
            </w:r>
            <w:r w:rsidR="0067155A" w:rsidRPr="006B080F">
              <w:t xml:space="preserve"> TB investments</w:t>
            </w:r>
            <w:r w:rsidR="006B080F">
              <w:t xml:space="preserve"> at the executive and legislative levels.</w:t>
            </w:r>
            <w:r w:rsidR="00166732">
              <w:t xml:space="preserve"> This also includes advocating for the members of the NCC (CHED, DepEd, DSWD, DOLE, DILG, etc.) to optimize their agency budgets to allocate for TB care.  </w:t>
            </w:r>
          </w:p>
          <w:p w14:paraId="3B3A7003" w14:textId="77777777" w:rsidR="00221BD7" w:rsidRPr="006B080F" w:rsidRDefault="00221BD7" w:rsidP="00221BD7">
            <w:pPr>
              <w:pStyle w:val="ListParagraph"/>
              <w:spacing w:after="0"/>
              <w:ind w:left="900"/>
            </w:pPr>
          </w:p>
          <w:p w14:paraId="3B85780C" w14:textId="00D1AA00" w:rsidR="006B080F" w:rsidRPr="006B080F" w:rsidRDefault="006B080F" w:rsidP="006B080F">
            <w:pPr>
              <w:pStyle w:val="ListParagraph"/>
              <w:numPr>
                <w:ilvl w:val="0"/>
                <w:numId w:val="59"/>
              </w:numPr>
              <w:spacing w:after="0"/>
            </w:pPr>
            <w:r w:rsidRPr="00166732">
              <w:rPr>
                <w:b/>
                <w:bCs/>
              </w:rPr>
              <w:t xml:space="preserve">Optimization of </w:t>
            </w:r>
            <w:r w:rsidR="00166732" w:rsidRPr="00166732">
              <w:rPr>
                <w:b/>
                <w:bCs/>
              </w:rPr>
              <w:t>DOH-</w:t>
            </w:r>
            <w:r w:rsidRPr="00166732">
              <w:rPr>
                <w:b/>
                <w:bCs/>
              </w:rPr>
              <w:t>NTP budget.</w:t>
            </w:r>
            <w:r>
              <w:t xml:space="preserve"> Technical assistance is being provided to improve DOH Financial Management System. Specific for NTP, </w:t>
            </w:r>
            <w:r w:rsidR="00166732">
              <w:t>TA</w:t>
            </w:r>
            <w:r>
              <w:t xml:space="preserve"> is </w:t>
            </w:r>
            <w:r w:rsidR="00166732">
              <w:t xml:space="preserve">focused on </w:t>
            </w:r>
            <w:r>
              <w:t>improv</w:t>
            </w:r>
            <w:r w:rsidR="00166732">
              <w:t>ing</w:t>
            </w:r>
            <w:r>
              <w:t xml:space="preserve"> financial planning and utilization. This includes creating a mechanism to better track expenditures</w:t>
            </w:r>
            <w:r w:rsidR="00166732">
              <w:t xml:space="preserve"> and optimize available funds. </w:t>
            </w:r>
          </w:p>
          <w:p w14:paraId="1A3EA8E9" w14:textId="77777777" w:rsidR="00221BD7" w:rsidRPr="00221BD7" w:rsidRDefault="00221BD7" w:rsidP="00221BD7">
            <w:pPr>
              <w:pStyle w:val="ListParagraph"/>
              <w:spacing w:after="0"/>
              <w:ind w:left="900"/>
            </w:pPr>
          </w:p>
          <w:p w14:paraId="299CE38C" w14:textId="50FE2313" w:rsidR="0067155A" w:rsidRPr="006B080F" w:rsidRDefault="006B080F" w:rsidP="006B080F">
            <w:pPr>
              <w:pStyle w:val="ListParagraph"/>
              <w:numPr>
                <w:ilvl w:val="0"/>
                <w:numId w:val="59"/>
              </w:numPr>
              <w:spacing w:after="0"/>
            </w:pPr>
            <w:r w:rsidRPr="006B080F">
              <w:rPr>
                <w:b/>
                <w:bCs/>
              </w:rPr>
              <w:t>Working with PhilHealth</w:t>
            </w:r>
            <w:r>
              <w:rPr>
                <w:b/>
                <w:bCs/>
              </w:rPr>
              <w:t xml:space="preserve"> for better TB Benefit Packages</w:t>
            </w:r>
            <w:r w:rsidRPr="006B080F">
              <w:rPr>
                <w:b/>
                <w:bCs/>
              </w:rPr>
              <w:t>.</w:t>
            </w:r>
            <w:r>
              <w:t xml:space="preserve"> </w:t>
            </w:r>
            <w:r w:rsidR="0067155A" w:rsidRPr="006B080F">
              <w:t>The NTP</w:t>
            </w:r>
            <w:r w:rsidRPr="006B080F">
              <w:t xml:space="preserve"> and its implementing partners</w:t>
            </w:r>
            <w:r w:rsidR="0067155A" w:rsidRPr="006B080F">
              <w:t xml:space="preserve"> </w:t>
            </w:r>
            <w:r>
              <w:t>ha</w:t>
            </w:r>
            <w:r w:rsidR="00E02815">
              <w:t>ve</w:t>
            </w:r>
            <w:r>
              <w:t xml:space="preserve"> ongoing efforts </w:t>
            </w:r>
            <w:r w:rsidR="0067155A" w:rsidRPr="006B080F">
              <w:t xml:space="preserve">to </w:t>
            </w:r>
            <w:r w:rsidR="00E02815">
              <w:t>ensure</w:t>
            </w:r>
            <w:r w:rsidR="0067155A" w:rsidRPr="006B080F">
              <w:t xml:space="preserve"> CxR </w:t>
            </w:r>
            <w:r w:rsidR="00E02815">
              <w:t>is</w:t>
            </w:r>
            <w:r w:rsidR="0067155A" w:rsidRPr="006B080F">
              <w:t xml:space="preserve"> included in the Primary Care Package and for all government agencies to encourage their employees to optimize their free access annual physical examinations in government health facilities, which includes CxR. </w:t>
            </w:r>
            <w:r>
              <w:t xml:space="preserve">Efforts are also underway </w:t>
            </w:r>
            <w:r w:rsidR="0067155A" w:rsidRPr="006B080F">
              <w:t xml:space="preserve">to revise the TB </w:t>
            </w:r>
            <w:r w:rsidRPr="006B080F">
              <w:t xml:space="preserve">outpatient benefit package to be more complementary to the current DOH investment for TB and to create an MDR TB care package. </w:t>
            </w:r>
          </w:p>
          <w:p w14:paraId="44A0E730" w14:textId="77777777" w:rsidR="00221BD7" w:rsidRPr="00221BD7" w:rsidRDefault="00221BD7" w:rsidP="00221BD7">
            <w:pPr>
              <w:pStyle w:val="ListParagraph"/>
              <w:spacing w:after="0"/>
              <w:ind w:left="900"/>
            </w:pPr>
          </w:p>
          <w:p w14:paraId="331BA427" w14:textId="70E2B75A" w:rsidR="00166732" w:rsidRPr="00166732" w:rsidRDefault="00166732" w:rsidP="0067155A">
            <w:pPr>
              <w:pStyle w:val="ListParagraph"/>
              <w:numPr>
                <w:ilvl w:val="0"/>
                <w:numId w:val="59"/>
              </w:numPr>
              <w:spacing w:after="0"/>
            </w:pPr>
            <w:r w:rsidRPr="00221BD7">
              <w:rPr>
                <w:b/>
                <w:bCs/>
              </w:rPr>
              <w:t>Improving financial risk protection.</w:t>
            </w:r>
            <w:r>
              <w:t xml:space="preserve"> NTP and its partners are working towards optimizing available financial risk protection platforms to prevent catastrophic cost due to TB. This includes working with SSS, GSIS, DSWD 4Ps</w:t>
            </w:r>
            <w:r w:rsidR="00221BD7">
              <w:t xml:space="preserve"> Program</w:t>
            </w:r>
            <w:r>
              <w:t xml:space="preserve">, </w:t>
            </w:r>
            <w:r w:rsidR="00221BD7">
              <w:t xml:space="preserve">ECC, OWWA, National Insurance Commission, etc. </w:t>
            </w:r>
          </w:p>
          <w:p w14:paraId="727FC0D7" w14:textId="77777777" w:rsidR="00221BD7" w:rsidRPr="00221BD7" w:rsidRDefault="00221BD7" w:rsidP="00221BD7">
            <w:pPr>
              <w:pStyle w:val="ListParagraph"/>
              <w:spacing w:after="0"/>
              <w:ind w:left="900"/>
            </w:pPr>
          </w:p>
          <w:p w14:paraId="172E34D7" w14:textId="3322D6B7" w:rsidR="00DC71F2" w:rsidRPr="006B080F" w:rsidRDefault="006B080F" w:rsidP="0067155A">
            <w:pPr>
              <w:pStyle w:val="ListParagraph"/>
              <w:numPr>
                <w:ilvl w:val="0"/>
                <w:numId w:val="59"/>
              </w:numPr>
              <w:spacing w:after="0"/>
            </w:pPr>
            <w:r w:rsidRPr="006B080F">
              <w:rPr>
                <w:b/>
                <w:bCs/>
              </w:rPr>
              <w:t>Advocating for increase</w:t>
            </w:r>
            <w:r w:rsidR="00E02815">
              <w:rPr>
                <w:b/>
                <w:bCs/>
              </w:rPr>
              <w:t>d</w:t>
            </w:r>
            <w:r w:rsidRPr="006B080F">
              <w:rPr>
                <w:b/>
                <w:bCs/>
              </w:rPr>
              <w:t xml:space="preserve"> LGU investments.</w:t>
            </w:r>
            <w:r>
              <w:t xml:space="preserve"> Local TB coordinating councils are being mobilized to advocate among local chief executives to increase investments </w:t>
            </w:r>
            <w:r w:rsidR="00E02815">
              <w:t>i</w:t>
            </w:r>
            <w:r>
              <w:t xml:space="preserve">n Health. Technical assistance is also being provided to ensure a </w:t>
            </w:r>
            <w:r w:rsidR="0067155A" w:rsidRPr="006B080F">
              <w:t xml:space="preserve">TB </w:t>
            </w:r>
            <w:r>
              <w:t xml:space="preserve">budget is </w:t>
            </w:r>
            <w:r w:rsidR="0067155A" w:rsidRPr="006B080F">
              <w:t xml:space="preserve">integrated </w:t>
            </w:r>
            <w:r>
              <w:t xml:space="preserve">in the </w:t>
            </w:r>
            <w:r w:rsidR="0067155A" w:rsidRPr="006B080F">
              <w:t xml:space="preserve">local investment plans for health. </w:t>
            </w:r>
          </w:p>
          <w:p w14:paraId="25266001" w14:textId="77777777" w:rsidR="00221BD7" w:rsidRPr="00221BD7" w:rsidRDefault="00221BD7" w:rsidP="00221BD7">
            <w:pPr>
              <w:pStyle w:val="ListParagraph"/>
              <w:spacing w:after="0"/>
              <w:ind w:left="900"/>
            </w:pPr>
          </w:p>
          <w:p w14:paraId="1FE26025" w14:textId="4EA0F193" w:rsidR="0067155A" w:rsidRPr="006B080F" w:rsidRDefault="00166732" w:rsidP="00166732">
            <w:pPr>
              <w:pStyle w:val="ListParagraph"/>
              <w:numPr>
                <w:ilvl w:val="0"/>
                <w:numId w:val="59"/>
              </w:numPr>
              <w:spacing w:after="0"/>
            </w:pPr>
            <w:r w:rsidRPr="00166732">
              <w:rPr>
                <w:b/>
                <w:bCs/>
              </w:rPr>
              <w:t>Increasing private sector investments.</w:t>
            </w:r>
            <w:r>
              <w:t xml:space="preserve"> </w:t>
            </w:r>
            <w:r w:rsidR="0067155A" w:rsidRPr="006B080F">
              <w:t>Private health care providers</w:t>
            </w:r>
            <w:r>
              <w:t xml:space="preserve"> (Hospitals, stand-alone clinics, Health Maintenance Organizations, cooperatives, diagnostic facilities, drug stores, pharmacies, etc.) </w:t>
            </w:r>
            <w:r w:rsidR="0067155A" w:rsidRPr="006B080F">
              <w:t xml:space="preserve">are being engaged to augment the TB Health Care Service Delivery Network. They are provided access to procure negotiated cost rates for </w:t>
            </w:r>
            <w:r w:rsidR="005C7854">
              <w:t xml:space="preserve">TB </w:t>
            </w:r>
            <w:r w:rsidR="00ED0256">
              <w:t>molecular RDT</w:t>
            </w:r>
            <w:r w:rsidR="0067155A" w:rsidRPr="006B080F">
              <w:t xml:space="preserve"> and related commodities.</w:t>
            </w:r>
            <w:r>
              <w:t xml:space="preserve"> Furthermore, </w:t>
            </w:r>
            <w:r w:rsidR="0067155A" w:rsidRPr="006B080F">
              <w:t xml:space="preserve">NTP </w:t>
            </w:r>
            <w:r w:rsidR="006B080F" w:rsidRPr="006B080F">
              <w:t xml:space="preserve">and its implementing partners </w:t>
            </w:r>
            <w:r w:rsidR="00ED0256">
              <w:t>are</w:t>
            </w:r>
            <w:r w:rsidR="0067155A" w:rsidRPr="006B080F">
              <w:t xml:space="preserve"> working with DOLE-OSHC to capture data on CxR screening provided to formally employed personnel and to motivate employees to access the free service. </w:t>
            </w:r>
          </w:p>
          <w:p w14:paraId="793FC58E" w14:textId="77777777" w:rsidR="00221BD7" w:rsidRPr="00221BD7" w:rsidRDefault="00221BD7" w:rsidP="00221BD7">
            <w:pPr>
              <w:pStyle w:val="ListParagraph"/>
              <w:spacing w:after="0"/>
              <w:ind w:left="900"/>
            </w:pPr>
          </w:p>
          <w:p w14:paraId="58FCBFDB" w14:textId="0B69E286" w:rsidR="0067155A" w:rsidRPr="006B080F" w:rsidRDefault="009560EB" w:rsidP="0067155A">
            <w:pPr>
              <w:pStyle w:val="ListParagraph"/>
              <w:numPr>
                <w:ilvl w:val="0"/>
                <w:numId w:val="59"/>
              </w:numPr>
              <w:spacing w:after="0"/>
            </w:pPr>
            <w:r>
              <w:rPr>
                <w:b/>
                <w:bCs/>
              </w:rPr>
              <w:t xml:space="preserve">Leveraging </w:t>
            </w:r>
            <w:r w:rsidR="00166732" w:rsidRPr="00166732">
              <w:rPr>
                <w:b/>
                <w:bCs/>
              </w:rPr>
              <w:t>Civil Society Organizations to support TB Care.</w:t>
            </w:r>
            <w:r w:rsidR="00166732">
              <w:t xml:space="preserve"> NTP and its implementing partners are also pursuing work with CSOs to include in their institutional mandates or areas of work TB related activities by leveraging their resources to support TB care delivery.  </w:t>
            </w:r>
          </w:p>
          <w:p w14:paraId="444E72C7" w14:textId="77777777" w:rsidR="00DC71F2" w:rsidRPr="00C163FA" w:rsidRDefault="00DC71F2" w:rsidP="00DC71F2">
            <w:pPr>
              <w:pStyle w:val="ListParagraph"/>
              <w:spacing w:after="0"/>
              <w:rPr>
                <w:highlight w:val="yellow"/>
              </w:rPr>
            </w:pPr>
          </w:p>
          <w:p w14:paraId="5CB767CB" w14:textId="605714B7" w:rsidR="00B21C86" w:rsidRPr="005305D5" w:rsidRDefault="00B21C86" w:rsidP="00412E24">
            <w:pPr>
              <w:spacing w:after="0"/>
            </w:pPr>
          </w:p>
        </w:tc>
      </w:tr>
    </w:tbl>
    <w:p w14:paraId="70FA9743" w14:textId="43BA2FD2" w:rsidR="00B46BEF" w:rsidRPr="005305D5" w:rsidRDefault="00B46BEF" w:rsidP="009B6C0D">
      <w:pPr>
        <w:spacing w:after="0"/>
      </w:pPr>
    </w:p>
    <w:p w14:paraId="2A333638" w14:textId="223220E9" w:rsidR="00EA6611" w:rsidRPr="00D474E6" w:rsidRDefault="0098274C" w:rsidP="00E07C20">
      <w:pPr>
        <w:pStyle w:val="ListParagraph"/>
        <w:numPr>
          <w:ilvl w:val="0"/>
          <w:numId w:val="19"/>
        </w:numPr>
        <w:spacing w:after="0" w:line="260" w:lineRule="atLeast"/>
        <w:jc w:val="both"/>
      </w:pPr>
      <w:bookmarkStart w:id="36" w:name="_Hlk13735435"/>
      <w:r w:rsidRPr="00D474E6">
        <w:t>Highlight challenges related to sustainability</w:t>
      </w:r>
      <w:r w:rsidR="001C4A0C" w:rsidRPr="00D474E6">
        <w:t xml:space="preserve"> (see indicative list in </w:t>
      </w:r>
      <w:r w:rsidR="001C4A0C" w:rsidRPr="00D474E6">
        <w:rPr>
          <w:i/>
        </w:rPr>
        <w:t>Instructions</w:t>
      </w:r>
      <w:r w:rsidR="001C4A0C" w:rsidRPr="00D474E6">
        <w:t>). Explain how these challenges will be address</w:t>
      </w:r>
      <w:r w:rsidR="00341B45">
        <w:t>ed</w:t>
      </w:r>
      <w:r w:rsidR="001C4A0C" w:rsidRPr="00D474E6">
        <w:t xml:space="preserve"> either through this funding request or other </w:t>
      </w:r>
      <w:r w:rsidR="00FF57CD">
        <w:t>means</w:t>
      </w:r>
      <w:r w:rsidR="001C4A0C" w:rsidRPr="00D474E6">
        <w:t>.</w:t>
      </w:r>
      <w:r w:rsidR="001C4A0C" w:rsidRPr="00D474E6" w:rsidDel="001C4A0C">
        <w:t xml:space="preserve"> </w:t>
      </w:r>
      <w:r w:rsidR="008C3DFE" w:rsidRPr="00D474E6">
        <w:t>If already described in the national strategy, sustainability and/or transition plan, and/or other documentation submitted with the funding request, refer to relevant sections</w:t>
      </w:r>
      <w:r w:rsidR="00341B45">
        <w:t xml:space="preserve"> of those documents</w:t>
      </w:r>
      <w:r w:rsidR="008C3DFE" w:rsidRPr="00D474E6">
        <w:t>.</w:t>
      </w:r>
      <w:r w:rsidR="007543E4" w:rsidRPr="00D474E6">
        <w:t xml:space="preserve"> </w:t>
      </w:r>
    </w:p>
    <w:p w14:paraId="78CBEE63" w14:textId="77777777" w:rsidR="001C4A0C" w:rsidRPr="00D209BE" w:rsidRDefault="001C4A0C" w:rsidP="009B6C0D">
      <w:pPr>
        <w:pStyle w:val="ListParagraph"/>
        <w:spacing w:after="0" w:line="260" w:lineRule="atLeast"/>
        <w:ind w:left="360"/>
        <w:jc w:val="both"/>
        <w:rPr>
          <w:highlight w:val="yellow"/>
        </w:rPr>
      </w:pPr>
    </w:p>
    <w:tbl>
      <w:tblPr>
        <w:tblStyle w:val="TableGrid"/>
        <w:tblW w:w="0" w:type="auto"/>
        <w:tblLook w:val="04A0" w:firstRow="1" w:lastRow="0" w:firstColumn="1" w:lastColumn="0" w:noHBand="0" w:noVBand="1"/>
      </w:tblPr>
      <w:tblGrid>
        <w:gridCol w:w="10456"/>
      </w:tblGrid>
      <w:tr w:rsidR="00EA6611" w:rsidRPr="005305D5" w14:paraId="34920C4D" w14:textId="77777777" w:rsidTr="11463A1D">
        <w:tc>
          <w:tcPr>
            <w:tcW w:w="10790" w:type="dxa"/>
          </w:tcPr>
          <w:bookmarkEnd w:id="36"/>
          <w:p w14:paraId="1271305A" w14:textId="1216A42D" w:rsidR="00EA6611" w:rsidRPr="00EB1EF9" w:rsidRDefault="00DC71F2" w:rsidP="009B6C0D">
            <w:pPr>
              <w:spacing w:after="0"/>
              <w:rPr>
                <w:rFonts w:asciiTheme="minorHAnsi" w:hAnsiTheme="minorHAnsi" w:cstheme="minorHAnsi"/>
              </w:rPr>
            </w:pPr>
            <w:r w:rsidRPr="00EB1EF9">
              <w:rPr>
                <w:rFonts w:asciiTheme="minorHAnsi" w:hAnsiTheme="minorHAnsi" w:cstheme="minorHAnsi"/>
              </w:rPr>
              <w:t xml:space="preserve">The sustainability challenges and recommended action for the National TB Program is detailed in the JPR 2019 report and the recently Updated PhilSTEP Phase 1 identifies </w:t>
            </w:r>
            <w:r w:rsidR="00195605" w:rsidRPr="00EB1EF9">
              <w:rPr>
                <w:rFonts w:asciiTheme="minorHAnsi" w:hAnsiTheme="minorHAnsi" w:cstheme="minorHAnsi"/>
              </w:rPr>
              <w:t xml:space="preserve">the NTP strategies and </w:t>
            </w:r>
            <w:r w:rsidR="00195605" w:rsidRPr="00EB1EF9">
              <w:rPr>
                <w:rFonts w:asciiTheme="minorHAnsi" w:hAnsiTheme="minorHAnsi" w:cstheme="minorHAnsi"/>
              </w:rPr>
              <w:lastRenderedPageBreak/>
              <w:t xml:space="preserve">approaches </w:t>
            </w:r>
            <w:r w:rsidRPr="00EB1EF9">
              <w:rPr>
                <w:rFonts w:asciiTheme="minorHAnsi" w:hAnsiTheme="minorHAnsi" w:cstheme="minorHAnsi"/>
              </w:rPr>
              <w:t xml:space="preserve">to address and ensure </w:t>
            </w:r>
            <w:r w:rsidR="00195605" w:rsidRPr="00EB1EF9">
              <w:rPr>
                <w:rFonts w:asciiTheme="minorHAnsi" w:hAnsiTheme="minorHAnsi" w:cstheme="minorHAnsi"/>
              </w:rPr>
              <w:t xml:space="preserve">better health systems are in place and </w:t>
            </w:r>
            <w:r w:rsidRPr="00EB1EF9">
              <w:rPr>
                <w:rFonts w:asciiTheme="minorHAnsi" w:hAnsiTheme="minorHAnsi" w:cstheme="minorHAnsi"/>
              </w:rPr>
              <w:t>sustain</w:t>
            </w:r>
            <w:r w:rsidR="00195605" w:rsidRPr="00EB1EF9">
              <w:rPr>
                <w:rFonts w:asciiTheme="minorHAnsi" w:hAnsiTheme="minorHAnsi" w:cstheme="minorHAnsi"/>
              </w:rPr>
              <w:t xml:space="preserve">ed in the short and medium term. </w:t>
            </w:r>
            <w:r w:rsidRPr="00EB1EF9">
              <w:rPr>
                <w:rFonts w:asciiTheme="minorHAnsi" w:hAnsiTheme="minorHAnsi" w:cstheme="minorHAnsi"/>
              </w:rPr>
              <w:t xml:space="preserve"> </w:t>
            </w:r>
            <w:r w:rsidR="00195605" w:rsidRPr="00EB1EF9">
              <w:rPr>
                <w:rFonts w:asciiTheme="minorHAnsi" w:hAnsiTheme="minorHAnsi" w:cstheme="minorHAnsi"/>
              </w:rPr>
              <w:t xml:space="preserve">The UHC Law is the Philippines’ long-term plan for RSSH. </w:t>
            </w:r>
          </w:p>
          <w:p w14:paraId="196C33AE" w14:textId="77777777" w:rsidR="00195605" w:rsidRPr="00EB1EF9" w:rsidRDefault="00195605" w:rsidP="001D4280">
            <w:pPr>
              <w:spacing w:after="0"/>
              <w:rPr>
                <w:rFonts w:asciiTheme="minorHAnsi" w:hAnsiTheme="minorHAnsi" w:cstheme="minorHAnsi"/>
                <w:shd w:val="clear" w:color="auto" w:fill="FFFFFF"/>
              </w:rPr>
            </w:pPr>
          </w:p>
          <w:p w14:paraId="1D7A3835" w14:textId="6DDEE851" w:rsidR="001D4280" w:rsidRPr="00EB1EF9" w:rsidRDefault="00195605" w:rsidP="001D4280">
            <w:pPr>
              <w:spacing w:after="0"/>
              <w:rPr>
                <w:rFonts w:asciiTheme="minorHAnsi" w:hAnsiTheme="minorHAnsi" w:cstheme="minorHAnsi"/>
                <w:shd w:val="clear" w:color="auto" w:fill="FFFFFF"/>
              </w:rPr>
            </w:pPr>
            <w:r w:rsidRPr="00EB1EF9">
              <w:rPr>
                <w:rFonts w:asciiTheme="minorHAnsi" w:hAnsiTheme="minorHAnsi" w:cstheme="minorHAnsi"/>
                <w:shd w:val="clear" w:color="auto" w:fill="FFFFFF"/>
              </w:rPr>
              <w:t>T</w:t>
            </w:r>
            <w:r w:rsidR="001D4280" w:rsidRPr="00EB1EF9">
              <w:rPr>
                <w:rFonts w:asciiTheme="minorHAnsi" w:hAnsiTheme="minorHAnsi" w:cstheme="minorHAnsi"/>
                <w:shd w:val="clear" w:color="auto" w:fill="FFFFFF"/>
              </w:rPr>
              <w:t>he Universal Health Care (UHC) Act was </w:t>
            </w:r>
            <w:hyperlink r:id="rId18" w:tgtFrame="_blank" w:history="1">
              <w:r w:rsidR="001D4280" w:rsidRPr="00EB1EF9">
                <w:rPr>
                  <w:rStyle w:val="Hyperlink"/>
                  <w:rFonts w:asciiTheme="minorHAnsi" w:hAnsiTheme="minorHAnsi" w:cstheme="minorHAnsi"/>
                  <w:color w:val="auto"/>
                  <w:u w:val="none"/>
                  <w:bdr w:val="none" w:sz="0" w:space="0" w:color="auto" w:frame="1"/>
                  <w:shd w:val="clear" w:color="auto" w:fill="FFFFFF"/>
                </w:rPr>
                <w:t xml:space="preserve">signed in February </w:t>
              </w:r>
              <w:r w:rsidR="00AC4477" w:rsidRPr="00EB1EF9">
                <w:rPr>
                  <w:rStyle w:val="Hyperlink"/>
                  <w:rFonts w:asciiTheme="minorHAnsi" w:hAnsiTheme="minorHAnsi" w:cstheme="minorHAnsi"/>
                  <w:color w:val="auto"/>
                  <w:u w:val="none"/>
                  <w:bdr w:val="none" w:sz="0" w:space="0" w:color="auto" w:frame="1"/>
                  <w:shd w:val="clear" w:color="auto" w:fill="FFFFFF"/>
                </w:rPr>
                <w:t xml:space="preserve">20, </w:t>
              </w:r>
              <w:r w:rsidR="001D4280" w:rsidRPr="00EB1EF9">
                <w:rPr>
                  <w:rStyle w:val="Hyperlink"/>
                  <w:rFonts w:asciiTheme="minorHAnsi" w:hAnsiTheme="minorHAnsi" w:cstheme="minorHAnsi"/>
                  <w:color w:val="auto"/>
                  <w:u w:val="none"/>
                  <w:bdr w:val="none" w:sz="0" w:space="0" w:color="auto" w:frame="1"/>
                  <w:shd w:val="clear" w:color="auto" w:fill="FFFFFF"/>
                </w:rPr>
                <w:t>2019</w:t>
              </w:r>
            </w:hyperlink>
            <w:r w:rsidR="00AC4477" w:rsidRPr="00EB1EF9">
              <w:rPr>
                <w:rStyle w:val="Hyperlink"/>
                <w:rFonts w:asciiTheme="minorHAnsi" w:hAnsiTheme="minorHAnsi" w:cstheme="minorHAnsi"/>
                <w:color w:val="auto"/>
                <w:u w:val="none"/>
                <w:bdr w:val="none" w:sz="0" w:space="0" w:color="auto" w:frame="1"/>
                <w:shd w:val="clear" w:color="auto" w:fill="FFFFFF"/>
              </w:rPr>
              <w:t xml:space="preserve">. </w:t>
            </w:r>
            <w:r w:rsidR="00AC4477" w:rsidRPr="00EB1EF9">
              <w:rPr>
                <w:rFonts w:asciiTheme="minorHAnsi" w:hAnsiTheme="minorHAnsi" w:cstheme="minorHAnsi"/>
              </w:rPr>
              <w:t xml:space="preserve">It </w:t>
            </w:r>
            <w:r w:rsidR="001D4280" w:rsidRPr="00EB1EF9">
              <w:rPr>
                <w:rFonts w:asciiTheme="minorHAnsi" w:hAnsiTheme="minorHAnsi" w:cstheme="minorHAnsi"/>
                <w:shd w:val="clear" w:color="auto" w:fill="FFFFFF"/>
              </w:rPr>
              <w:t>calls for a “systemic approach” to universal health care in the Philippines. The act was put in place to “ensure that all Filipinos are guaranteed equitable access to quality and affordable health care goods and services.” </w:t>
            </w:r>
          </w:p>
          <w:p w14:paraId="74CB12C1" w14:textId="77777777" w:rsidR="001D4280" w:rsidRPr="00EB1EF9" w:rsidRDefault="001D4280" w:rsidP="001D4280">
            <w:pPr>
              <w:spacing w:after="0"/>
              <w:rPr>
                <w:rFonts w:asciiTheme="minorHAnsi" w:hAnsiTheme="minorHAnsi" w:cstheme="minorHAnsi"/>
              </w:rPr>
            </w:pPr>
          </w:p>
          <w:p w14:paraId="2D9B7D96" w14:textId="1E235D5E" w:rsidR="001D4280" w:rsidRPr="00EB1EF9" w:rsidRDefault="001D4280" w:rsidP="001D4280">
            <w:pPr>
              <w:spacing w:after="0"/>
              <w:rPr>
                <w:rFonts w:asciiTheme="minorHAnsi" w:hAnsiTheme="minorHAnsi" w:cstheme="minorHAnsi"/>
              </w:rPr>
            </w:pPr>
            <w:r w:rsidRPr="00EB1EF9">
              <w:rPr>
                <w:rFonts w:asciiTheme="minorHAnsi" w:hAnsiTheme="minorHAnsi" w:cstheme="minorHAnsi"/>
              </w:rPr>
              <w:t xml:space="preserve">The sustainability roadmap is therefore embedded in the Philippine UHC </w:t>
            </w:r>
            <w:r w:rsidR="00AC4477" w:rsidRPr="00EB1EF9">
              <w:rPr>
                <w:rFonts w:asciiTheme="minorHAnsi" w:hAnsiTheme="minorHAnsi" w:cstheme="minorHAnsi"/>
              </w:rPr>
              <w:t>Act</w:t>
            </w:r>
            <w:r w:rsidRPr="00EB1EF9">
              <w:rPr>
                <w:rFonts w:asciiTheme="minorHAnsi" w:hAnsiTheme="minorHAnsi" w:cstheme="minorHAnsi"/>
              </w:rPr>
              <w:t xml:space="preserve"> and its full implementation at the national and local levels, whereby it will optimize </w:t>
            </w:r>
            <w:r w:rsidR="00AC4477" w:rsidRPr="00EB1EF9">
              <w:rPr>
                <w:rFonts w:asciiTheme="minorHAnsi" w:hAnsiTheme="minorHAnsi" w:cstheme="minorHAnsi"/>
              </w:rPr>
              <w:t xml:space="preserve">service delivery as well as </w:t>
            </w:r>
            <w:r w:rsidRPr="00EB1EF9">
              <w:rPr>
                <w:rFonts w:asciiTheme="minorHAnsi" w:hAnsiTheme="minorHAnsi" w:cstheme="minorHAnsi"/>
                <w:shd w:val="clear" w:color="auto" w:fill="FFFFFF"/>
              </w:rPr>
              <w:t xml:space="preserve">the National Health Insurance Program under </w:t>
            </w:r>
            <w:r w:rsidRPr="00EB1EF9">
              <w:rPr>
                <w:rFonts w:asciiTheme="minorHAnsi" w:hAnsiTheme="minorHAnsi" w:cstheme="minorHAnsi"/>
              </w:rPr>
              <w:t>PhilHealth and other domestic resources fr</w:t>
            </w:r>
            <w:r w:rsidR="00EB1EF9" w:rsidRPr="00EB1EF9">
              <w:rPr>
                <w:rFonts w:asciiTheme="minorHAnsi" w:hAnsiTheme="minorHAnsi" w:cstheme="minorHAnsi"/>
              </w:rPr>
              <w:t>o</w:t>
            </w:r>
            <w:r w:rsidRPr="00EB1EF9">
              <w:rPr>
                <w:rFonts w:asciiTheme="minorHAnsi" w:hAnsiTheme="minorHAnsi" w:cstheme="minorHAnsi"/>
              </w:rPr>
              <w:t xml:space="preserve">m both private and public sectors to meet the necessary financial investments to care for the Filipinos. </w:t>
            </w:r>
          </w:p>
          <w:p w14:paraId="412DA68E" w14:textId="77777777" w:rsidR="001D4280" w:rsidRPr="00EB1EF9" w:rsidRDefault="001D4280" w:rsidP="001D4280">
            <w:pPr>
              <w:spacing w:after="0"/>
              <w:rPr>
                <w:rFonts w:asciiTheme="minorHAnsi" w:hAnsiTheme="minorHAnsi" w:cstheme="minorHAnsi"/>
              </w:rPr>
            </w:pPr>
          </w:p>
          <w:p w14:paraId="0F5B5EDE" w14:textId="77777777" w:rsidR="001D4280" w:rsidRPr="00EB1EF9" w:rsidRDefault="001D4280" w:rsidP="001D4280">
            <w:pPr>
              <w:spacing w:after="0"/>
              <w:rPr>
                <w:rFonts w:asciiTheme="minorHAnsi" w:hAnsiTheme="minorHAnsi" w:cstheme="minorHAnsi"/>
                <w:shd w:val="clear" w:color="auto" w:fill="FFFFFF"/>
              </w:rPr>
            </w:pPr>
            <w:r w:rsidRPr="00EB1EF9">
              <w:rPr>
                <w:rFonts w:asciiTheme="minorHAnsi" w:hAnsiTheme="minorHAnsi" w:cstheme="minorHAnsi"/>
              </w:rPr>
              <w:t xml:space="preserve">Financing for UHC will be </w:t>
            </w:r>
            <w:r w:rsidRPr="00EB1EF9">
              <w:rPr>
                <w:rFonts w:asciiTheme="minorHAnsi" w:hAnsiTheme="minorHAnsi" w:cstheme="minorHAnsi"/>
                <w:shd w:val="clear" w:color="auto" w:fill="FFFFFF"/>
              </w:rPr>
              <w:t xml:space="preserve">sourced from sin tax collections and partly from income generated by the Philippine Amusement and Gaming Corporation (PAGCOR) with 50% share and Philippine Charity Sweepstakes Office (PCSO) with 40% share in view of improving benefit packages. So far, successful implementation of the sin tax reform law has been a boost to programs and projects of the DOH. Based on the agency’s budget brochures, DOH’s budget, including its attached agencies and corporations, increased by 13 percent from PHP151 billion in 2017 to PHP171 billion in 2018. This was due to PHP113-billion six tax revenues, of which PHP48 billion was allocated to PhilHealth’s premium subsidy for the indigent, senior citizens, and sponsored members. </w:t>
            </w:r>
          </w:p>
          <w:p w14:paraId="3F5336DA" w14:textId="77761691" w:rsidR="001D4280" w:rsidRPr="00EB1EF9" w:rsidRDefault="001D4280" w:rsidP="001D4280">
            <w:pPr>
              <w:shd w:val="clear" w:color="auto" w:fill="FFFFFF"/>
              <w:spacing w:before="100" w:beforeAutospacing="1" w:after="100" w:afterAutospacing="1" w:line="240" w:lineRule="auto"/>
              <w:rPr>
                <w:rFonts w:asciiTheme="minorHAnsi" w:hAnsiTheme="minorHAnsi" w:cstheme="minorHAnsi"/>
                <w:shd w:val="clear" w:color="auto" w:fill="FFFFFF"/>
              </w:rPr>
            </w:pPr>
            <w:r w:rsidRPr="00EB1EF9">
              <w:rPr>
                <w:rFonts w:asciiTheme="minorHAnsi" w:eastAsia="Times New Roman" w:hAnsiTheme="minorHAnsi" w:cstheme="minorHAnsi"/>
                <w:lang w:val="en-PH" w:eastAsia="en-PH"/>
              </w:rPr>
              <w:t>All income from Phil</w:t>
            </w:r>
            <w:r w:rsidR="00AC4477" w:rsidRPr="00EB1EF9">
              <w:rPr>
                <w:rFonts w:asciiTheme="minorHAnsi" w:eastAsia="Times New Roman" w:hAnsiTheme="minorHAnsi" w:cstheme="minorHAnsi"/>
                <w:lang w:val="en-PH" w:eastAsia="en-PH"/>
              </w:rPr>
              <w:t>H</w:t>
            </w:r>
            <w:r w:rsidRPr="00EB1EF9">
              <w:rPr>
                <w:rFonts w:asciiTheme="minorHAnsi" w:eastAsia="Times New Roman" w:hAnsiTheme="minorHAnsi" w:cstheme="minorHAnsi"/>
                <w:lang w:val="en-PH" w:eastAsia="en-PH"/>
              </w:rPr>
              <w:t xml:space="preserve">ealth payments will go to the special health fund, which will be allocated by LGUs exclusively for the improvement of local health systems. </w:t>
            </w:r>
            <w:r w:rsidRPr="00EB1EF9">
              <w:rPr>
                <w:rFonts w:asciiTheme="minorHAnsi" w:hAnsiTheme="minorHAnsi" w:cstheme="minorHAnsi"/>
              </w:rPr>
              <w:t>P</w:t>
            </w:r>
            <w:r w:rsidRPr="00EB1EF9">
              <w:rPr>
                <w:rFonts w:asciiTheme="minorHAnsi" w:hAnsiTheme="minorHAnsi" w:cstheme="minorHAnsi"/>
                <w:shd w:val="clear" w:color="auto" w:fill="FFFFFF"/>
              </w:rPr>
              <w:t xml:space="preserve">remium contributions to PhilHealth pay a rate of 3% of their monthly salaries beginning 2020 from the previous 2.75% rate. The rate is scheduled for a 0.5% increase every year till 2025; by then, it will be at 5%. This rate applies to all direct contributors--those who are self-employed, employed by a company, </w:t>
            </w:r>
            <w:r w:rsidRPr="00EB1EF9">
              <w:rPr>
                <w:rFonts w:asciiTheme="minorHAnsi" w:hAnsiTheme="minorHAnsi" w:cstheme="minorHAnsi"/>
                <w:bdr w:val="none" w:sz="0" w:space="0" w:color="auto" w:frame="1"/>
                <w:shd w:val="clear" w:color="auto" w:fill="FFFFFF"/>
              </w:rPr>
              <w:t>housekeepers/helpers</w:t>
            </w:r>
            <w:r w:rsidRPr="00EB1EF9">
              <w:rPr>
                <w:rFonts w:asciiTheme="minorHAnsi" w:hAnsiTheme="minorHAnsi" w:cstheme="minorHAnsi"/>
                <w:shd w:val="clear" w:color="auto" w:fill="FFFFFF"/>
              </w:rPr>
              <w:t>, practicing professionals, and Overseas Filipino Workers.</w:t>
            </w:r>
          </w:p>
          <w:p w14:paraId="09A263B2" w14:textId="1FE42289" w:rsidR="00AC4477" w:rsidRPr="00EB1EF9" w:rsidRDefault="00AC4477" w:rsidP="00AC4477">
            <w:pPr>
              <w:shd w:val="clear" w:color="auto" w:fill="FFFFFF"/>
              <w:spacing w:before="100" w:beforeAutospacing="1" w:after="100" w:afterAutospacing="1" w:line="240" w:lineRule="auto"/>
              <w:rPr>
                <w:rFonts w:asciiTheme="minorHAnsi" w:hAnsiTheme="minorHAnsi" w:cstheme="minorHAnsi"/>
                <w:shd w:val="clear" w:color="auto" w:fill="FFFFFF"/>
              </w:rPr>
            </w:pPr>
            <w:r w:rsidRPr="00EB1EF9">
              <w:rPr>
                <w:rFonts w:asciiTheme="minorHAnsi" w:hAnsiTheme="minorHAnsi" w:cstheme="minorHAnsi"/>
                <w:shd w:val="clear" w:color="auto" w:fill="FFFFFF"/>
              </w:rPr>
              <w:t xml:space="preserve">However, the Supreme Court, ruling in the case of </w:t>
            </w:r>
            <w:r w:rsidRPr="00EB1EF9">
              <w:rPr>
                <w:rFonts w:asciiTheme="minorHAnsi" w:hAnsiTheme="minorHAnsi" w:cstheme="minorHAnsi"/>
                <w:i/>
                <w:iCs/>
                <w:shd w:val="clear" w:color="auto" w:fill="FFFFFF"/>
              </w:rPr>
              <w:t>Mandanas vs. Ochoa</w:t>
            </w:r>
            <w:r w:rsidRPr="00EB1EF9">
              <w:rPr>
                <w:rFonts w:asciiTheme="minorHAnsi" w:hAnsiTheme="minorHAnsi" w:cstheme="minorHAnsi"/>
                <w:i/>
                <w:iCs/>
                <w:shd w:val="clear" w:color="auto" w:fill="FFFFFF"/>
                <w:vertAlign w:val="superscript"/>
              </w:rPr>
              <w:footnoteReference w:id="12"/>
            </w:r>
            <w:r w:rsidRPr="00EB1EF9">
              <w:rPr>
                <w:rFonts w:asciiTheme="minorHAnsi" w:hAnsiTheme="minorHAnsi" w:cstheme="minorHAnsi"/>
                <w:shd w:val="clear" w:color="auto" w:fill="FFFFFF"/>
              </w:rPr>
              <w:t xml:space="preserve">, resolved the question of whether or not the exclusion of certain national taxes from the base amount for the computation of the ‘just share’ of the LGUs in the national taxes is constitutional. The Court found that the base for reckoning the ‘just share’ of local government units (LGUs) should include all national taxes, with a few justifiable exceptions (such as those accruing to special purpose funds, including 15% of the excise taxes collected on tobacco products). This just share shall then be released to the LGUs without a need </w:t>
            </w:r>
            <w:r w:rsidR="00EB1EF9" w:rsidRPr="00EB1EF9">
              <w:rPr>
                <w:rFonts w:asciiTheme="minorHAnsi" w:hAnsiTheme="minorHAnsi" w:cstheme="minorHAnsi"/>
                <w:shd w:val="clear" w:color="auto" w:fill="FFFFFF"/>
              </w:rPr>
              <w:t>for</w:t>
            </w:r>
            <w:r w:rsidRPr="00EB1EF9">
              <w:rPr>
                <w:rFonts w:asciiTheme="minorHAnsi" w:hAnsiTheme="minorHAnsi" w:cstheme="minorHAnsi"/>
                <w:shd w:val="clear" w:color="auto" w:fill="FFFFFF"/>
              </w:rPr>
              <w:t xml:space="preserve"> yearly appropriation by Congress, through the respective LGU treasurers on a quarterly basis. The Court also declared that as part of fiscal decentralization, LGUs have the power to allocate their resources in accordance with their own priorities. </w:t>
            </w:r>
          </w:p>
          <w:p w14:paraId="35D75C16" w14:textId="77777777" w:rsidR="00AC4477" w:rsidRPr="00EB1EF9" w:rsidRDefault="00AC4477" w:rsidP="00AC4477">
            <w:pPr>
              <w:shd w:val="clear" w:color="auto" w:fill="FFFFFF"/>
              <w:spacing w:before="100" w:beforeAutospacing="1" w:after="100" w:afterAutospacing="1" w:line="240" w:lineRule="auto"/>
              <w:rPr>
                <w:rFonts w:asciiTheme="minorHAnsi" w:hAnsiTheme="minorHAnsi" w:cstheme="minorHAnsi"/>
                <w:shd w:val="clear" w:color="auto" w:fill="FFFFFF"/>
              </w:rPr>
            </w:pPr>
            <w:r w:rsidRPr="00EB1EF9">
              <w:rPr>
                <w:rFonts w:asciiTheme="minorHAnsi" w:hAnsiTheme="minorHAnsi" w:cstheme="minorHAnsi"/>
                <w:shd w:val="clear" w:color="auto" w:fill="FFFFFF"/>
              </w:rPr>
              <w:t xml:space="preserve">As of the fourth quarter of 2019, the Department of Budget and Management (DBM) has been moving to comply with </w:t>
            </w:r>
            <w:r w:rsidRPr="00EB1EF9">
              <w:rPr>
                <w:rFonts w:asciiTheme="minorHAnsi" w:hAnsiTheme="minorHAnsi" w:cstheme="minorHAnsi"/>
                <w:i/>
                <w:iCs/>
                <w:shd w:val="clear" w:color="auto" w:fill="FFFFFF"/>
              </w:rPr>
              <w:t>Mandanas</w:t>
            </w:r>
            <w:r w:rsidRPr="00EB1EF9">
              <w:rPr>
                <w:rFonts w:asciiTheme="minorHAnsi" w:hAnsiTheme="minorHAnsi" w:cstheme="minorHAnsi"/>
                <w:shd w:val="clear" w:color="auto" w:fill="FFFFFF"/>
              </w:rPr>
              <w:t>. The estimated additional amount to be distributed to LGUs nationwide is PHP 270 billion, with an expected average increase of 30% in LGU fiscal space due to their just share in national taxes. For the National Expenditure Program (NEP) of 2021, DBM will be sourcing this from the usual budgets of national government agencies (NGA) that should have devolved functions but are still doing the same. The DOH is one such NGA, and the DBM is looking at the following DOH budgets: health facilities enhancement program (HFEP), human resources for health (HRH) except the doctors to the barrios (DTTB), and amounts intended for the procurement of commodities.</w:t>
            </w:r>
          </w:p>
          <w:p w14:paraId="766C189E" w14:textId="1F713763" w:rsidR="001D4280" w:rsidRPr="00EB1EF9" w:rsidRDefault="001D4280" w:rsidP="001D4280">
            <w:pPr>
              <w:shd w:val="clear" w:color="auto" w:fill="FFFFFF"/>
              <w:spacing w:before="100" w:beforeAutospacing="1" w:after="100" w:afterAutospacing="1" w:line="240" w:lineRule="auto"/>
              <w:rPr>
                <w:rFonts w:asciiTheme="minorHAnsi" w:eastAsia="Times New Roman" w:hAnsiTheme="minorHAnsi" w:cstheme="minorHAnsi"/>
                <w:lang w:val="en-PH" w:eastAsia="en-PH"/>
              </w:rPr>
            </w:pPr>
            <w:r w:rsidRPr="00EB1EF9">
              <w:rPr>
                <w:rFonts w:asciiTheme="minorHAnsi" w:eastAsia="Times New Roman" w:hAnsiTheme="minorHAnsi" w:cstheme="minorHAnsi"/>
                <w:lang w:val="en-PH" w:eastAsia="en-PH"/>
              </w:rPr>
              <w:t xml:space="preserve">The </w:t>
            </w:r>
            <w:r w:rsidR="00AC4477" w:rsidRPr="00EB1EF9">
              <w:rPr>
                <w:rFonts w:asciiTheme="minorHAnsi" w:eastAsia="Times New Roman" w:hAnsiTheme="minorHAnsi" w:cstheme="minorHAnsi"/>
                <w:lang w:val="en-PH" w:eastAsia="en-PH"/>
              </w:rPr>
              <w:t>UHC Act</w:t>
            </w:r>
            <w:r w:rsidRPr="00EB1EF9">
              <w:rPr>
                <w:rFonts w:asciiTheme="minorHAnsi" w:eastAsia="Times New Roman" w:hAnsiTheme="minorHAnsi" w:cstheme="minorHAnsi"/>
                <w:lang w:val="en-PH" w:eastAsia="en-PH"/>
              </w:rPr>
              <w:t xml:space="preserve"> also provides for a special health fund that will be created </w:t>
            </w:r>
            <w:r w:rsidR="00AC4477" w:rsidRPr="00EB1EF9">
              <w:rPr>
                <w:rFonts w:asciiTheme="minorHAnsi" w:eastAsia="Times New Roman" w:hAnsiTheme="minorHAnsi" w:cstheme="minorHAnsi"/>
                <w:lang w:val="en-PH" w:eastAsia="en-PH"/>
              </w:rPr>
              <w:t xml:space="preserve">for </w:t>
            </w:r>
            <w:r w:rsidRPr="00EB1EF9">
              <w:rPr>
                <w:rFonts w:asciiTheme="minorHAnsi" w:eastAsia="Times New Roman" w:hAnsiTheme="minorHAnsi" w:cstheme="minorHAnsi"/>
                <w:lang w:val="en-PH" w:eastAsia="en-PH"/>
              </w:rPr>
              <w:t>province-wide or city-wide health systems</w:t>
            </w:r>
            <w:r w:rsidR="00AC4477" w:rsidRPr="00EB1EF9">
              <w:rPr>
                <w:rFonts w:asciiTheme="minorHAnsi" w:eastAsia="Times New Roman" w:hAnsiTheme="minorHAnsi" w:cstheme="minorHAnsi"/>
                <w:lang w:val="en-PH" w:eastAsia="en-PH"/>
              </w:rPr>
              <w:t xml:space="preserve"> and managed by respective local health boards</w:t>
            </w:r>
            <w:r w:rsidRPr="00EB1EF9">
              <w:rPr>
                <w:rFonts w:asciiTheme="minorHAnsi" w:eastAsia="Times New Roman" w:hAnsiTheme="minorHAnsi" w:cstheme="minorHAnsi"/>
                <w:lang w:val="en-PH" w:eastAsia="en-PH"/>
              </w:rPr>
              <w:t xml:space="preserve">. All resources intended for health services will be pooled to finance population-based and individual-based health services. Such will also be used to cover operating costs, capital investments, and remuneration and incentives for all health workers. </w:t>
            </w:r>
          </w:p>
          <w:p w14:paraId="2BF953EB" w14:textId="77777777" w:rsidR="001D4280" w:rsidRPr="00EB1EF9" w:rsidRDefault="001D4280" w:rsidP="001D4280">
            <w:pPr>
              <w:pStyle w:val="NormalWeb"/>
              <w:shd w:val="clear" w:color="auto" w:fill="FFFFFF"/>
              <w:rPr>
                <w:rFonts w:asciiTheme="minorHAnsi" w:hAnsiTheme="minorHAnsi" w:cstheme="minorHAnsi"/>
                <w:color w:val="0A0A0A"/>
                <w:sz w:val="22"/>
                <w:szCs w:val="22"/>
                <w:shd w:val="clear" w:color="auto" w:fill="FFFFFF"/>
              </w:rPr>
            </w:pPr>
            <w:r w:rsidRPr="00EB1EF9">
              <w:rPr>
                <w:rFonts w:asciiTheme="minorHAnsi" w:hAnsiTheme="minorHAnsi" w:cstheme="minorHAnsi"/>
                <w:color w:val="0A0A0A"/>
                <w:sz w:val="22"/>
                <w:szCs w:val="22"/>
                <w:shd w:val="clear" w:color="auto" w:fill="FFFFFF"/>
              </w:rPr>
              <w:t>The UHC law aims to address several recurring problems in the health system. </w:t>
            </w:r>
          </w:p>
          <w:p w14:paraId="17153537" w14:textId="77777777" w:rsidR="001D4280" w:rsidRPr="00EB1EF9" w:rsidRDefault="001D4280" w:rsidP="001D4280">
            <w:pPr>
              <w:pStyle w:val="NormalWeb"/>
              <w:numPr>
                <w:ilvl w:val="0"/>
                <w:numId w:val="56"/>
              </w:numPr>
              <w:shd w:val="clear" w:color="auto" w:fill="FFFFFF"/>
              <w:rPr>
                <w:rFonts w:asciiTheme="minorHAnsi" w:eastAsia="Times New Roman" w:hAnsiTheme="minorHAnsi" w:cstheme="minorHAnsi"/>
                <w:color w:val="0A0A0A"/>
                <w:sz w:val="22"/>
                <w:szCs w:val="22"/>
                <w:lang w:val="en-PH" w:eastAsia="en-PH"/>
              </w:rPr>
            </w:pPr>
            <w:r w:rsidRPr="00EB1EF9">
              <w:rPr>
                <w:rFonts w:asciiTheme="minorHAnsi" w:hAnsiTheme="minorHAnsi" w:cstheme="minorHAnsi"/>
                <w:b/>
                <w:bCs/>
                <w:sz w:val="22"/>
                <w:szCs w:val="22"/>
              </w:rPr>
              <w:lastRenderedPageBreak/>
              <w:t>Scope and Coverage.</w:t>
            </w:r>
            <w:r w:rsidRPr="00EB1EF9">
              <w:rPr>
                <w:rFonts w:asciiTheme="minorHAnsi" w:hAnsiTheme="minorHAnsi" w:cstheme="minorHAnsi"/>
                <w:sz w:val="22"/>
                <w:szCs w:val="22"/>
              </w:rPr>
              <w:t xml:space="preserve"> T</w:t>
            </w:r>
            <w:r w:rsidRPr="00EB1EF9">
              <w:rPr>
                <w:rFonts w:asciiTheme="minorHAnsi" w:hAnsiTheme="minorHAnsi" w:cstheme="minorHAnsi"/>
                <w:sz w:val="22"/>
                <w:szCs w:val="22"/>
                <w:shd w:val="clear" w:color="auto" w:fill="FFFFFF"/>
              </w:rPr>
              <w:t>he biggest concrete change it brings is that, under it, all Filipino citizens are </w:t>
            </w:r>
            <w:hyperlink r:id="rId19" w:tgtFrame="_blank" w:history="1">
              <w:r w:rsidRPr="00EB1EF9">
                <w:rPr>
                  <w:rStyle w:val="Hyperlink"/>
                  <w:rFonts w:asciiTheme="minorHAnsi" w:hAnsiTheme="minorHAnsi" w:cstheme="minorHAnsi"/>
                  <w:color w:val="auto"/>
                  <w:sz w:val="22"/>
                  <w:szCs w:val="22"/>
                  <w:u w:val="none"/>
                  <w:bdr w:val="none" w:sz="0" w:space="0" w:color="auto" w:frame="1"/>
                  <w:shd w:val="clear" w:color="auto" w:fill="FFFFFF"/>
                </w:rPr>
                <w:t>automatically enrolled into the NHIP</w:t>
              </w:r>
            </w:hyperlink>
            <w:r w:rsidRPr="00EB1EF9">
              <w:rPr>
                <w:rFonts w:asciiTheme="minorHAnsi" w:hAnsiTheme="minorHAnsi" w:cstheme="minorHAnsi"/>
                <w:sz w:val="22"/>
                <w:szCs w:val="22"/>
                <w:shd w:val="clear" w:color="auto" w:fill="FFFFFF"/>
              </w:rPr>
              <w:t xml:space="preserve">. </w:t>
            </w:r>
            <w:r w:rsidRPr="00EB1EF9">
              <w:rPr>
                <w:rFonts w:asciiTheme="minorHAnsi" w:hAnsiTheme="minorHAnsi" w:cstheme="minorHAnsi"/>
                <w:color w:val="0A0A0A"/>
                <w:sz w:val="22"/>
                <w:szCs w:val="22"/>
                <w:shd w:val="clear" w:color="auto" w:fill="FFFFFF"/>
              </w:rPr>
              <w:t>The law also addresses the fragmented and overlapping roles and responsibilities of various health agencies by delineating between population based (DOH &amp; LGU) and individual based (PhilHealth) health services. This will significantly reduce out-of-pocket spending, by covering medicines for outpatients, directly preventing patients and their families from experiencing catastrophic cost.</w:t>
            </w:r>
          </w:p>
          <w:p w14:paraId="23A74677" w14:textId="77777777" w:rsidR="001D4280" w:rsidRPr="00EB1EF9" w:rsidRDefault="001D4280" w:rsidP="001D4280">
            <w:pPr>
              <w:pStyle w:val="NormalWeb"/>
              <w:numPr>
                <w:ilvl w:val="0"/>
                <w:numId w:val="56"/>
              </w:numPr>
              <w:shd w:val="clear" w:color="auto" w:fill="FFFFFF"/>
              <w:rPr>
                <w:rFonts w:asciiTheme="minorHAnsi" w:eastAsia="Times New Roman" w:hAnsiTheme="minorHAnsi" w:cstheme="minorHAnsi"/>
                <w:color w:val="0A0A0A"/>
                <w:sz w:val="22"/>
                <w:szCs w:val="22"/>
                <w:lang w:val="en-PH" w:eastAsia="en-PH"/>
              </w:rPr>
            </w:pPr>
            <w:r w:rsidRPr="00EB1EF9">
              <w:rPr>
                <w:rFonts w:asciiTheme="minorHAnsi" w:hAnsiTheme="minorHAnsi" w:cstheme="minorHAnsi"/>
                <w:b/>
                <w:bCs/>
                <w:sz w:val="22"/>
                <w:szCs w:val="22"/>
              </w:rPr>
              <w:t>Human Resources for Health.</w:t>
            </w:r>
            <w:r w:rsidRPr="00EB1EF9">
              <w:rPr>
                <w:rFonts w:asciiTheme="minorHAnsi" w:eastAsia="Times New Roman" w:hAnsiTheme="minorHAnsi" w:cstheme="minorHAnsi"/>
                <w:color w:val="0A0A0A"/>
                <w:sz w:val="22"/>
                <w:szCs w:val="22"/>
                <w:lang w:val="en-PH" w:eastAsia="en-PH"/>
              </w:rPr>
              <w:t xml:space="preserve"> the UHC law ensures the development of the health system’s human resources through the formulation and implementation of the National Health Human Resource Master Plan. It also ensures that all health professionals have permanent employment and competitive salaries. Similarly, the law provides for the creation of a national health workforce support system that will help local public health systems in addressing human resource needs while prioritizing deployment in the Geographically Isolated and Disadvantaged Areas (GIDAs). The law also tasks the Commission on Higher Education (CHED), Technical Education and Skills Development Authority (TESDA), Professional Regulation Commission (PRC) and the DOH to develop existing and new allied and health-related degrees and training programs, and to regulate the number of its enrollees depending on the needs of the population. The law provides scholarship grants for graduate and undergraduate allied and health-related programs. All professional health graduates of government-funded scholarships will be required by law to render at least three years of return service with compensation under the supervision of the DOH. Incentives will be given to those who will render an additional two years of return service.</w:t>
            </w:r>
          </w:p>
          <w:p w14:paraId="634701A5" w14:textId="77777777" w:rsidR="001D4280" w:rsidRPr="00EB1EF9" w:rsidRDefault="001D4280" w:rsidP="001D4280">
            <w:pPr>
              <w:pStyle w:val="NormalWeb"/>
              <w:numPr>
                <w:ilvl w:val="0"/>
                <w:numId w:val="56"/>
              </w:numPr>
              <w:shd w:val="clear" w:color="auto" w:fill="FFFFFF"/>
              <w:rPr>
                <w:rFonts w:asciiTheme="minorHAnsi" w:eastAsia="Times New Roman" w:hAnsiTheme="minorHAnsi" w:cstheme="minorHAnsi"/>
                <w:sz w:val="22"/>
                <w:szCs w:val="22"/>
                <w:lang w:val="en-PH" w:eastAsia="en-PH"/>
              </w:rPr>
            </w:pPr>
            <w:r w:rsidRPr="00EB1EF9">
              <w:rPr>
                <w:rStyle w:val="s1"/>
                <w:rFonts w:asciiTheme="minorHAnsi" w:hAnsiTheme="minorHAnsi" w:cstheme="minorHAnsi"/>
                <w:b/>
                <w:bCs/>
                <w:sz w:val="22"/>
                <w:szCs w:val="22"/>
              </w:rPr>
              <w:t>Health Technology Assessment.</w:t>
            </w:r>
            <w:r w:rsidRPr="00EB1EF9">
              <w:rPr>
                <w:rStyle w:val="s1"/>
                <w:rFonts w:asciiTheme="minorHAnsi" w:hAnsiTheme="minorHAnsi" w:cstheme="minorHAnsi"/>
                <w:sz w:val="22"/>
                <w:szCs w:val="22"/>
              </w:rPr>
              <w:t xml:space="preserve"> Another important feature of the law is the creation of the HTAC – a group of health experts who will be responsible for evaluating latest health developments and recommending their use to DOH and PhilHealth. The HTAC will be responsible for assessing the safety and effectiveness of health technology, devices, medicines, vaccines, health procedures, and other health-related advances developed to solve health problems. Reviewing the social, economic, and ethical issues when using these technologies or programs is also required. </w:t>
            </w:r>
            <w:r w:rsidRPr="00EB1EF9">
              <w:rPr>
                <w:rFonts w:asciiTheme="minorHAnsi" w:hAnsiTheme="minorHAnsi" w:cstheme="minorHAnsi"/>
                <w:sz w:val="22"/>
                <w:szCs w:val="22"/>
                <w:shd w:val="clear" w:color="auto" w:fill="FFFFFF"/>
              </w:rPr>
              <w:t>The HTAC will be attached to the DOH for the first 5 years after the law is implemented. After this, it will become an independent body attached to the Department of Science and Technology.</w:t>
            </w:r>
          </w:p>
          <w:p w14:paraId="3616FC8C" w14:textId="77777777" w:rsidR="001D4280" w:rsidRPr="00EB1EF9" w:rsidRDefault="001D4280" w:rsidP="001D4280">
            <w:pPr>
              <w:pStyle w:val="NormalWeb"/>
              <w:numPr>
                <w:ilvl w:val="0"/>
                <w:numId w:val="56"/>
              </w:numPr>
              <w:shd w:val="clear" w:color="auto" w:fill="FFFFFF"/>
              <w:rPr>
                <w:rFonts w:asciiTheme="minorHAnsi" w:eastAsia="Times New Roman" w:hAnsiTheme="minorHAnsi" w:cstheme="minorHAnsi"/>
                <w:sz w:val="22"/>
                <w:szCs w:val="22"/>
                <w:lang w:val="en-PH" w:eastAsia="en-PH"/>
              </w:rPr>
            </w:pPr>
            <w:r w:rsidRPr="00EB1EF9">
              <w:rPr>
                <w:rFonts w:asciiTheme="minorHAnsi" w:eastAsia="Times New Roman" w:hAnsiTheme="minorHAnsi" w:cstheme="minorHAnsi"/>
                <w:b/>
                <w:bCs/>
                <w:sz w:val="22"/>
                <w:szCs w:val="22"/>
                <w:lang w:val="en-PH" w:eastAsia="en-PH"/>
              </w:rPr>
              <w:t>Health Information Management.</w:t>
            </w:r>
            <w:r w:rsidRPr="00EB1EF9">
              <w:rPr>
                <w:rFonts w:asciiTheme="minorHAnsi" w:eastAsia="Times New Roman" w:hAnsiTheme="minorHAnsi" w:cstheme="minorHAnsi"/>
                <w:sz w:val="22"/>
                <w:szCs w:val="22"/>
                <w:lang w:val="en-PH" w:eastAsia="en-PH"/>
              </w:rPr>
              <w:t xml:space="preserve"> Under UHC, </w:t>
            </w:r>
            <w:r w:rsidRPr="00EB1EF9">
              <w:rPr>
                <w:rStyle w:val="s1"/>
                <w:rFonts w:asciiTheme="minorHAnsi" w:hAnsiTheme="minorHAnsi" w:cstheme="minorHAnsi"/>
                <w:sz w:val="22"/>
                <w:szCs w:val="22"/>
              </w:rPr>
              <w:t>public and private hospitals and health insurers will be required to maintain a health information system that will contain electronic health records, prescription logs, and “human resource information.” This system will be developed and funded by DOH and PhilHealth. It will also be subject to patient confidentiality rules and data privacy laws. This will critical in decision-making processes for the continuous improvement of the Philippine Health Care Service Delivery System.</w:t>
            </w:r>
          </w:p>
          <w:p w14:paraId="203DC8CE" w14:textId="7D4D415A" w:rsidR="009E38E1" w:rsidRPr="00EB1EF9" w:rsidRDefault="009E38E1" w:rsidP="009B6C0D">
            <w:pPr>
              <w:spacing w:after="0"/>
              <w:rPr>
                <w:rFonts w:asciiTheme="minorHAnsi" w:hAnsiTheme="minorHAnsi" w:cstheme="minorHAnsi"/>
              </w:rPr>
            </w:pPr>
          </w:p>
          <w:p w14:paraId="17D11495" w14:textId="0599C69D" w:rsidR="009E38E1" w:rsidRPr="00EB1EF9" w:rsidRDefault="009E38E1" w:rsidP="009B6C0D">
            <w:pPr>
              <w:spacing w:after="0"/>
              <w:rPr>
                <w:rFonts w:asciiTheme="minorHAnsi" w:hAnsiTheme="minorHAnsi" w:cstheme="minorHAnsi"/>
              </w:rPr>
            </w:pPr>
            <w:r w:rsidRPr="00EB1EF9">
              <w:rPr>
                <w:rFonts w:asciiTheme="minorHAnsi" w:hAnsiTheme="minorHAnsi" w:cstheme="minorHAnsi"/>
              </w:rPr>
              <w:t xml:space="preserve">Universal Health Coverage reforms </w:t>
            </w:r>
            <w:r w:rsidR="001D4280" w:rsidRPr="00EB1EF9">
              <w:rPr>
                <w:rFonts w:asciiTheme="minorHAnsi" w:hAnsiTheme="minorHAnsi" w:cstheme="minorHAnsi"/>
              </w:rPr>
              <w:t xml:space="preserve">also </w:t>
            </w:r>
            <w:r w:rsidRPr="00EB1EF9">
              <w:rPr>
                <w:rFonts w:asciiTheme="minorHAnsi" w:hAnsiTheme="minorHAnsi" w:cstheme="minorHAnsi"/>
              </w:rPr>
              <w:t xml:space="preserve">create opportunities to increase PhilHealth engagement of private providers for TB.  Similarly, trends towards consolidation of private laboratories and pharmacies and the development of innovative IT applications </w:t>
            </w:r>
            <w:r w:rsidR="001D4280" w:rsidRPr="00EB1EF9">
              <w:rPr>
                <w:rFonts w:asciiTheme="minorHAnsi" w:hAnsiTheme="minorHAnsi" w:cstheme="minorHAnsi"/>
              </w:rPr>
              <w:t xml:space="preserve">to </w:t>
            </w:r>
            <w:r w:rsidRPr="00EB1EF9">
              <w:rPr>
                <w:rFonts w:asciiTheme="minorHAnsi" w:hAnsiTheme="minorHAnsi" w:cstheme="minorHAnsi"/>
              </w:rPr>
              <w:t>create the conditions for efficient engagement of private providers on a much larger scale.</w:t>
            </w:r>
          </w:p>
          <w:p w14:paraId="1B58B12F" w14:textId="77777777" w:rsidR="00EA6611" w:rsidRPr="005305D5" w:rsidRDefault="00EA6611" w:rsidP="009B6C0D">
            <w:pPr>
              <w:spacing w:after="0"/>
            </w:pPr>
          </w:p>
        </w:tc>
      </w:tr>
    </w:tbl>
    <w:p w14:paraId="52F9156B" w14:textId="77777777" w:rsidR="00EA6611" w:rsidRDefault="00EA6611" w:rsidP="009B6C0D">
      <w:pPr>
        <w:pStyle w:val="ListParagraph"/>
        <w:spacing w:after="0" w:line="260" w:lineRule="atLeast"/>
        <w:ind w:left="360"/>
      </w:pPr>
    </w:p>
    <w:bookmarkEnd w:id="35"/>
    <w:p w14:paraId="37864027" w14:textId="77777777" w:rsidR="0098274C" w:rsidRPr="005305D5" w:rsidRDefault="0098274C" w:rsidP="009B6C0D">
      <w:pPr>
        <w:spacing w:after="0"/>
      </w:pPr>
    </w:p>
    <w:p w14:paraId="3457DBE7" w14:textId="77777777" w:rsidR="0098274C" w:rsidRPr="005305D5" w:rsidRDefault="0098274C" w:rsidP="009B6C0D">
      <w:pPr>
        <w:spacing w:after="0"/>
      </w:pPr>
    </w:p>
    <w:p w14:paraId="0F36C6C4" w14:textId="77777777" w:rsidR="00A57DEB" w:rsidRDefault="00A57DEB" w:rsidP="009B6C0D">
      <w:pPr>
        <w:spacing w:after="0" w:line="0" w:lineRule="auto"/>
        <w:rPr>
          <w:rFonts w:eastAsiaTheme="majorEastAsia" w:cs="Arial"/>
          <w:b/>
          <w:bCs/>
          <w:noProof/>
          <w:sz w:val="30"/>
          <w:szCs w:val="30"/>
          <w:lang w:val="fr-CH"/>
        </w:rPr>
      </w:pPr>
      <w:bookmarkStart w:id="37" w:name="_Toc7081140"/>
      <w:bookmarkStart w:id="38" w:name="_Toc7081815"/>
      <w:bookmarkStart w:id="39" w:name="_Toc7082344"/>
      <w:bookmarkEnd w:id="37"/>
      <w:bookmarkEnd w:id="38"/>
      <w:bookmarkEnd w:id="39"/>
      <w:r>
        <w:rPr>
          <w:lang w:val="fr-CH"/>
        </w:rPr>
        <w:br w:type="page"/>
      </w:r>
    </w:p>
    <w:p w14:paraId="62E704B2" w14:textId="52688803" w:rsidR="0098274C" w:rsidRPr="005B20FC" w:rsidRDefault="0098274C" w:rsidP="009B6C0D">
      <w:pPr>
        <w:pStyle w:val="Heading1"/>
        <w:numPr>
          <w:ilvl w:val="0"/>
          <w:numId w:val="0"/>
        </w:numPr>
        <w:spacing w:before="0"/>
        <w:ind w:left="567" w:hanging="567"/>
        <w:rPr>
          <w:lang w:val="fr-CH"/>
        </w:rPr>
      </w:pPr>
      <w:r w:rsidRPr="005B20FC">
        <w:rPr>
          <w:lang w:val="fr-CH"/>
        </w:rPr>
        <w:lastRenderedPageBreak/>
        <w:t>Annex 1: Documents Checklist</w:t>
      </w:r>
    </w:p>
    <w:p w14:paraId="53AC19D2" w14:textId="77777777" w:rsidR="0098274C" w:rsidRPr="005305D5" w:rsidRDefault="0098274C" w:rsidP="009B6C0D">
      <w:pPr>
        <w:pStyle w:val="ListParagraph"/>
        <w:spacing w:after="0"/>
        <w:rPr>
          <w:lang w:val="fr-CH"/>
        </w:rPr>
      </w:pPr>
    </w:p>
    <w:p w14:paraId="4E447368" w14:textId="36D0B1E4" w:rsidR="00025B85" w:rsidRDefault="00531873" w:rsidP="009B6C0D">
      <w:pPr>
        <w:spacing w:after="0"/>
      </w:pPr>
      <w:r>
        <w:t>U</w:t>
      </w:r>
      <w:r w:rsidR="0098274C" w:rsidRPr="005305D5">
        <w:t>se the list below to verify the completeness of your application package</w:t>
      </w:r>
      <w:r w:rsidR="00025B85">
        <w:t>.</w:t>
      </w:r>
    </w:p>
    <w:p w14:paraId="7F4539E9" w14:textId="77777777" w:rsidR="00D06C7F" w:rsidRPr="005305D5" w:rsidRDefault="00D06C7F" w:rsidP="009B6C0D">
      <w:pPr>
        <w:spacing w:after="0"/>
      </w:pPr>
    </w:p>
    <w:tbl>
      <w:tblPr>
        <w:tblStyle w:val="TableGrid20"/>
        <w:tblW w:w="9209" w:type="dxa"/>
        <w:tblInd w:w="60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567"/>
        <w:gridCol w:w="8642"/>
      </w:tblGrid>
      <w:tr w:rsidR="00226B41" w:rsidRPr="00226B41" w14:paraId="13D7A687" w14:textId="77777777" w:rsidTr="00226B41">
        <w:trPr>
          <w:trHeight w:val="567"/>
        </w:trPr>
        <w:tc>
          <w:tcPr>
            <w:tcW w:w="567" w:type="dxa"/>
            <w:shd w:val="clear" w:color="auto" w:fill="auto"/>
            <w:vAlign w:val="center"/>
          </w:tcPr>
          <w:bookmarkStart w:id="40" w:name="_Hlk15285391"/>
          <w:p w14:paraId="38BED4E4" w14:textId="77777777" w:rsidR="00226B41" w:rsidRPr="00226B41" w:rsidRDefault="002975A4" w:rsidP="009B6C0D">
            <w:pPr>
              <w:spacing w:after="0"/>
              <w:ind w:hanging="98"/>
              <w:jc w:val="center"/>
              <w:rPr>
                <w:rFonts w:asciiTheme="majorHAnsi" w:hAnsiTheme="majorHAnsi" w:cstheme="majorHAnsi"/>
                <w:b/>
                <w:sz w:val="22"/>
                <w:szCs w:val="22"/>
              </w:rPr>
            </w:pPr>
            <w:sdt>
              <w:sdtPr>
                <w:rPr>
                  <w:rFonts w:asciiTheme="majorHAnsi" w:hAnsiTheme="majorHAnsi" w:cstheme="majorHAnsi"/>
                  <w:b/>
                </w:rPr>
                <w:id w:val="-180662496"/>
                <w14:checkbox>
                  <w14:checked w14:val="0"/>
                  <w14:checkedState w14:val="2612" w14:font="MS Gothic"/>
                  <w14:uncheckedState w14:val="2610" w14:font="MS Gothic"/>
                </w14:checkbox>
              </w:sdtPr>
              <w:sdtEndPr/>
              <w:sdtContent>
                <w:r w:rsidR="00226B41" w:rsidRPr="00226B41">
                  <w:rPr>
                    <w:rFonts w:ascii="Segoe UI Symbol" w:eastAsia="MS Gothic" w:hAnsi="Segoe UI Symbol" w:cs="Segoe UI Symbol"/>
                    <w:sz w:val="22"/>
                    <w:szCs w:val="22"/>
                  </w:rPr>
                  <w:t>☐</w:t>
                </w:r>
              </w:sdtContent>
            </w:sdt>
          </w:p>
        </w:tc>
        <w:tc>
          <w:tcPr>
            <w:tcW w:w="8642" w:type="dxa"/>
            <w:vAlign w:val="center"/>
          </w:tcPr>
          <w:p w14:paraId="0BFA13D6" w14:textId="77777777" w:rsidR="00226B41" w:rsidRPr="00226B41" w:rsidRDefault="00226B41" w:rsidP="009B6C0D">
            <w:pPr>
              <w:spacing w:after="0"/>
              <w:ind w:left="239" w:hanging="90"/>
              <w:rPr>
                <w:rFonts w:asciiTheme="majorHAnsi" w:hAnsiTheme="majorHAnsi" w:cstheme="majorHAnsi"/>
                <w:bCs/>
                <w:sz w:val="22"/>
                <w:szCs w:val="22"/>
              </w:rPr>
            </w:pPr>
            <w:r w:rsidRPr="00226B41">
              <w:rPr>
                <w:rFonts w:asciiTheme="majorHAnsi" w:hAnsiTheme="majorHAnsi" w:cstheme="majorHAnsi"/>
                <w:bCs/>
                <w:sz w:val="22"/>
                <w:szCs w:val="22"/>
              </w:rPr>
              <w:t>Funding Request Form</w:t>
            </w:r>
          </w:p>
        </w:tc>
      </w:tr>
      <w:tr w:rsidR="00226B41" w:rsidRPr="00226B41" w14:paraId="4F6F8948" w14:textId="77777777" w:rsidTr="00226B41">
        <w:trPr>
          <w:trHeight w:val="567"/>
        </w:trPr>
        <w:tc>
          <w:tcPr>
            <w:tcW w:w="567" w:type="dxa"/>
            <w:shd w:val="clear" w:color="auto" w:fill="auto"/>
            <w:vAlign w:val="center"/>
          </w:tcPr>
          <w:p w14:paraId="531C3BD8" w14:textId="77777777" w:rsidR="00226B41" w:rsidRPr="00226B41" w:rsidRDefault="002975A4" w:rsidP="009B6C0D">
            <w:pPr>
              <w:spacing w:after="0"/>
              <w:ind w:hanging="98"/>
              <w:jc w:val="center"/>
              <w:rPr>
                <w:rFonts w:asciiTheme="majorHAnsi" w:hAnsiTheme="majorHAnsi" w:cstheme="majorHAnsi"/>
                <w:b/>
                <w:sz w:val="22"/>
                <w:szCs w:val="22"/>
              </w:rPr>
            </w:pPr>
            <w:sdt>
              <w:sdtPr>
                <w:rPr>
                  <w:rFonts w:asciiTheme="majorHAnsi" w:hAnsiTheme="majorHAnsi" w:cstheme="majorHAnsi"/>
                  <w:b/>
                </w:rPr>
                <w:id w:val="-797372883"/>
                <w14:checkbox>
                  <w14:checked w14:val="0"/>
                  <w14:checkedState w14:val="2612" w14:font="MS Gothic"/>
                  <w14:uncheckedState w14:val="2610" w14:font="MS Gothic"/>
                </w14:checkbox>
              </w:sdtPr>
              <w:sdtEndPr/>
              <w:sdtContent>
                <w:r w:rsidR="00226B41" w:rsidRPr="00226B41">
                  <w:rPr>
                    <w:rFonts w:ascii="Segoe UI Symbol" w:hAnsi="Segoe UI Symbol" w:cs="Segoe UI Symbol"/>
                    <w:sz w:val="22"/>
                    <w:szCs w:val="22"/>
                  </w:rPr>
                  <w:t>☐</w:t>
                </w:r>
              </w:sdtContent>
            </w:sdt>
          </w:p>
        </w:tc>
        <w:tc>
          <w:tcPr>
            <w:tcW w:w="8642" w:type="dxa"/>
            <w:vAlign w:val="center"/>
          </w:tcPr>
          <w:p w14:paraId="7D30AD26" w14:textId="77777777" w:rsidR="00226B41" w:rsidRPr="00226B41" w:rsidRDefault="00226B41" w:rsidP="009B6C0D">
            <w:pPr>
              <w:spacing w:after="0"/>
              <w:ind w:left="239" w:hanging="90"/>
              <w:rPr>
                <w:rFonts w:asciiTheme="majorHAnsi" w:hAnsiTheme="majorHAnsi" w:cstheme="majorHAnsi"/>
                <w:bCs/>
                <w:sz w:val="22"/>
                <w:szCs w:val="22"/>
              </w:rPr>
            </w:pPr>
            <w:r w:rsidRPr="00226B41">
              <w:rPr>
                <w:rFonts w:asciiTheme="majorHAnsi" w:eastAsia="SimSun" w:hAnsiTheme="majorHAnsi" w:cstheme="majorHAnsi"/>
                <w:bCs/>
                <w:sz w:val="22"/>
                <w:szCs w:val="22"/>
                <w:lang w:eastAsia="zh-CN"/>
              </w:rPr>
              <w:t xml:space="preserve">Programmatic Gap Table(s) </w:t>
            </w:r>
          </w:p>
        </w:tc>
      </w:tr>
      <w:tr w:rsidR="00226B41" w:rsidRPr="00226B41" w14:paraId="66BF4DF9" w14:textId="77777777" w:rsidTr="00226B41">
        <w:trPr>
          <w:trHeight w:val="567"/>
        </w:trPr>
        <w:tc>
          <w:tcPr>
            <w:tcW w:w="567" w:type="dxa"/>
            <w:shd w:val="clear" w:color="auto" w:fill="auto"/>
            <w:vAlign w:val="center"/>
          </w:tcPr>
          <w:p w14:paraId="04F28060" w14:textId="77777777" w:rsidR="00226B41" w:rsidRPr="00226B41" w:rsidRDefault="002975A4" w:rsidP="009B6C0D">
            <w:pPr>
              <w:spacing w:after="0"/>
              <w:ind w:hanging="98"/>
              <w:jc w:val="center"/>
              <w:rPr>
                <w:rFonts w:asciiTheme="majorHAnsi" w:hAnsiTheme="majorHAnsi" w:cstheme="majorHAnsi"/>
                <w:b/>
                <w:sz w:val="22"/>
                <w:szCs w:val="22"/>
              </w:rPr>
            </w:pPr>
            <w:sdt>
              <w:sdtPr>
                <w:rPr>
                  <w:rFonts w:asciiTheme="majorHAnsi" w:hAnsiTheme="majorHAnsi" w:cstheme="majorHAnsi"/>
                  <w:b/>
                </w:rPr>
                <w:id w:val="1788846860"/>
                <w14:checkbox>
                  <w14:checked w14:val="0"/>
                  <w14:checkedState w14:val="2612" w14:font="MS Gothic"/>
                  <w14:uncheckedState w14:val="2610" w14:font="MS Gothic"/>
                </w14:checkbox>
              </w:sdtPr>
              <w:sdtEndPr/>
              <w:sdtContent>
                <w:r w:rsidR="00226B41" w:rsidRPr="00226B41">
                  <w:rPr>
                    <w:rFonts w:ascii="Segoe UI Symbol" w:hAnsi="Segoe UI Symbol" w:cs="Segoe UI Symbol"/>
                    <w:sz w:val="22"/>
                    <w:szCs w:val="22"/>
                  </w:rPr>
                  <w:t>☐</w:t>
                </w:r>
              </w:sdtContent>
            </w:sdt>
          </w:p>
        </w:tc>
        <w:tc>
          <w:tcPr>
            <w:tcW w:w="8642" w:type="dxa"/>
            <w:vAlign w:val="center"/>
          </w:tcPr>
          <w:p w14:paraId="6633A7F5" w14:textId="77777777" w:rsidR="00226B41" w:rsidRPr="00226B41" w:rsidRDefault="00226B41" w:rsidP="009B6C0D">
            <w:pPr>
              <w:spacing w:after="0"/>
              <w:ind w:left="239" w:hanging="90"/>
              <w:rPr>
                <w:rFonts w:asciiTheme="majorHAnsi" w:eastAsia="SimSun" w:hAnsiTheme="majorHAnsi" w:cstheme="majorHAnsi"/>
                <w:bCs/>
                <w:sz w:val="22"/>
                <w:szCs w:val="22"/>
                <w:lang w:eastAsia="zh-CN"/>
              </w:rPr>
            </w:pPr>
            <w:r w:rsidRPr="00226B41">
              <w:rPr>
                <w:rFonts w:asciiTheme="majorHAnsi" w:hAnsiTheme="majorHAnsi" w:cstheme="majorHAnsi"/>
                <w:bCs/>
                <w:sz w:val="22"/>
                <w:szCs w:val="22"/>
              </w:rPr>
              <w:t xml:space="preserve">Funding Landscape Table(s) </w:t>
            </w:r>
          </w:p>
        </w:tc>
      </w:tr>
      <w:tr w:rsidR="00226B41" w:rsidRPr="00226B41" w14:paraId="4FD5F7E3" w14:textId="77777777" w:rsidTr="00226B41">
        <w:trPr>
          <w:trHeight w:val="567"/>
        </w:trPr>
        <w:tc>
          <w:tcPr>
            <w:tcW w:w="567" w:type="dxa"/>
            <w:shd w:val="clear" w:color="auto" w:fill="auto"/>
            <w:vAlign w:val="center"/>
          </w:tcPr>
          <w:p w14:paraId="541F3FD8" w14:textId="77777777" w:rsidR="00226B41" w:rsidRPr="00226B41" w:rsidRDefault="002975A4" w:rsidP="009B6C0D">
            <w:pPr>
              <w:spacing w:after="0"/>
              <w:ind w:hanging="98"/>
              <w:jc w:val="center"/>
              <w:rPr>
                <w:rFonts w:asciiTheme="majorHAnsi" w:hAnsiTheme="majorHAnsi" w:cstheme="majorHAnsi"/>
                <w:b/>
                <w:sz w:val="22"/>
                <w:szCs w:val="22"/>
              </w:rPr>
            </w:pPr>
            <w:sdt>
              <w:sdtPr>
                <w:rPr>
                  <w:rFonts w:asciiTheme="majorHAnsi" w:hAnsiTheme="majorHAnsi" w:cstheme="majorHAnsi"/>
                  <w:b/>
                </w:rPr>
                <w:id w:val="189352396"/>
                <w14:checkbox>
                  <w14:checked w14:val="0"/>
                  <w14:checkedState w14:val="2612" w14:font="MS Gothic"/>
                  <w14:uncheckedState w14:val="2610" w14:font="MS Gothic"/>
                </w14:checkbox>
              </w:sdtPr>
              <w:sdtEndPr/>
              <w:sdtContent>
                <w:r w:rsidR="00226B41" w:rsidRPr="00226B41">
                  <w:rPr>
                    <w:rFonts w:ascii="Segoe UI Symbol" w:hAnsi="Segoe UI Symbol" w:cs="Segoe UI Symbol"/>
                    <w:sz w:val="22"/>
                    <w:szCs w:val="22"/>
                  </w:rPr>
                  <w:t>☐</w:t>
                </w:r>
              </w:sdtContent>
            </w:sdt>
          </w:p>
        </w:tc>
        <w:tc>
          <w:tcPr>
            <w:tcW w:w="8642" w:type="dxa"/>
            <w:vAlign w:val="center"/>
          </w:tcPr>
          <w:p w14:paraId="4DE11B02" w14:textId="77777777" w:rsidR="00226B41" w:rsidRPr="00226B41" w:rsidRDefault="00226B41" w:rsidP="009B6C0D">
            <w:pPr>
              <w:spacing w:after="0"/>
              <w:ind w:left="239" w:hanging="90"/>
              <w:rPr>
                <w:rFonts w:asciiTheme="majorHAnsi" w:hAnsiTheme="majorHAnsi" w:cstheme="majorHAnsi"/>
                <w:bCs/>
                <w:sz w:val="22"/>
                <w:szCs w:val="22"/>
              </w:rPr>
            </w:pPr>
            <w:r w:rsidRPr="00226B41">
              <w:rPr>
                <w:rFonts w:asciiTheme="majorHAnsi" w:hAnsiTheme="majorHAnsi" w:cstheme="majorHAnsi"/>
                <w:bCs/>
                <w:sz w:val="22"/>
                <w:szCs w:val="22"/>
              </w:rPr>
              <w:t>Performance Framework</w:t>
            </w:r>
          </w:p>
        </w:tc>
      </w:tr>
      <w:tr w:rsidR="00226B41" w:rsidRPr="00226B41" w14:paraId="25F505B8" w14:textId="77777777" w:rsidTr="00226B41">
        <w:trPr>
          <w:trHeight w:val="567"/>
        </w:trPr>
        <w:tc>
          <w:tcPr>
            <w:tcW w:w="567" w:type="dxa"/>
            <w:shd w:val="clear" w:color="auto" w:fill="auto"/>
            <w:vAlign w:val="center"/>
          </w:tcPr>
          <w:p w14:paraId="5E93A956" w14:textId="77777777" w:rsidR="00226B41" w:rsidRPr="00226B41" w:rsidRDefault="002975A4" w:rsidP="009B6C0D">
            <w:pPr>
              <w:spacing w:after="0"/>
              <w:ind w:hanging="98"/>
              <w:jc w:val="center"/>
              <w:rPr>
                <w:rFonts w:asciiTheme="majorHAnsi" w:hAnsiTheme="majorHAnsi" w:cstheme="majorHAnsi"/>
                <w:b/>
                <w:sz w:val="22"/>
                <w:szCs w:val="22"/>
              </w:rPr>
            </w:pPr>
            <w:sdt>
              <w:sdtPr>
                <w:rPr>
                  <w:rFonts w:asciiTheme="majorHAnsi" w:hAnsiTheme="majorHAnsi" w:cstheme="majorHAnsi"/>
                  <w:b/>
                </w:rPr>
                <w:id w:val="595447511"/>
                <w14:checkbox>
                  <w14:checked w14:val="0"/>
                  <w14:checkedState w14:val="2612" w14:font="MS Gothic"/>
                  <w14:uncheckedState w14:val="2610" w14:font="MS Gothic"/>
                </w14:checkbox>
              </w:sdtPr>
              <w:sdtEndPr/>
              <w:sdtContent>
                <w:r w:rsidR="00226B41" w:rsidRPr="00226B41">
                  <w:rPr>
                    <w:rFonts w:ascii="Segoe UI Symbol" w:hAnsi="Segoe UI Symbol" w:cs="Segoe UI Symbol"/>
                    <w:sz w:val="22"/>
                    <w:szCs w:val="22"/>
                  </w:rPr>
                  <w:t>☐</w:t>
                </w:r>
              </w:sdtContent>
            </w:sdt>
          </w:p>
        </w:tc>
        <w:tc>
          <w:tcPr>
            <w:tcW w:w="8642" w:type="dxa"/>
            <w:vAlign w:val="center"/>
          </w:tcPr>
          <w:p w14:paraId="61D43B55" w14:textId="77777777" w:rsidR="00226B41" w:rsidRPr="00226B41" w:rsidRDefault="00226B41" w:rsidP="009B6C0D">
            <w:pPr>
              <w:spacing w:after="0"/>
              <w:ind w:left="239" w:hanging="90"/>
              <w:rPr>
                <w:rFonts w:asciiTheme="majorHAnsi" w:hAnsiTheme="majorHAnsi" w:cstheme="majorHAnsi"/>
                <w:bCs/>
                <w:sz w:val="22"/>
                <w:szCs w:val="22"/>
              </w:rPr>
            </w:pPr>
            <w:r w:rsidRPr="00226B41">
              <w:rPr>
                <w:rFonts w:asciiTheme="majorHAnsi" w:hAnsiTheme="majorHAnsi" w:cstheme="majorHAnsi"/>
                <w:bCs/>
                <w:sz w:val="22"/>
                <w:szCs w:val="22"/>
              </w:rPr>
              <w:t>Budget</w:t>
            </w:r>
          </w:p>
        </w:tc>
      </w:tr>
      <w:tr w:rsidR="00226B41" w:rsidRPr="00226B41" w14:paraId="57161831" w14:textId="77777777" w:rsidTr="00226B41">
        <w:trPr>
          <w:trHeight w:val="567"/>
        </w:trPr>
        <w:tc>
          <w:tcPr>
            <w:tcW w:w="567" w:type="dxa"/>
            <w:shd w:val="clear" w:color="auto" w:fill="auto"/>
            <w:vAlign w:val="center"/>
          </w:tcPr>
          <w:p w14:paraId="43E93584" w14:textId="77777777" w:rsidR="00226B41" w:rsidRPr="00226B41" w:rsidRDefault="002975A4" w:rsidP="009B6C0D">
            <w:pPr>
              <w:spacing w:after="0"/>
              <w:ind w:hanging="98"/>
              <w:jc w:val="center"/>
              <w:rPr>
                <w:rFonts w:asciiTheme="majorHAnsi" w:hAnsiTheme="majorHAnsi" w:cstheme="majorHAnsi"/>
                <w:b/>
                <w:sz w:val="22"/>
                <w:szCs w:val="22"/>
              </w:rPr>
            </w:pPr>
            <w:sdt>
              <w:sdtPr>
                <w:rPr>
                  <w:rFonts w:asciiTheme="majorHAnsi" w:hAnsiTheme="majorHAnsi" w:cstheme="majorHAnsi"/>
                  <w:b/>
                </w:rPr>
                <w:id w:val="-2051445561"/>
                <w14:checkbox>
                  <w14:checked w14:val="0"/>
                  <w14:checkedState w14:val="2612" w14:font="MS Gothic"/>
                  <w14:uncheckedState w14:val="2610" w14:font="MS Gothic"/>
                </w14:checkbox>
              </w:sdtPr>
              <w:sdtEndPr/>
              <w:sdtContent>
                <w:r w:rsidR="00226B41" w:rsidRPr="00226B41">
                  <w:rPr>
                    <w:rFonts w:ascii="Segoe UI Symbol" w:hAnsi="Segoe UI Symbol" w:cs="Segoe UI Symbol"/>
                    <w:sz w:val="22"/>
                    <w:szCs w:val="22"/>
                  </w:rPr>
                  <w:t>☐</w:t>
                </w:r>
              </w:sdtContent>
            </w:sdt>
          </w:p>
        </w:tc>
        <w:tc>
          <w:tcPr>
            <w:tcW w:w="8642" w:type="dxa"/>
            <w:vAlign w:val="center"/>
          </w:tcPr>
          <w:p w14:paraId="64B6E257" w14:textId="77777777" w:rsidR="00226B41" w:rsidRPr="00226B41" w:rsidRDefault="00226B41" w:rsidP="009B6C0D">
            <w:pPr>
              <w:spacing w:after="0"/>
              <w:ind w:left="239" w:hanging="90"/>
              <w:rPr>
                <w:rFonts w:asciiTheme="majorHAnsi" w:hAnsiTheme="majorHAnsi" w:cstheme="majorHAnsi"/>
                <w:bCs/>
                <w:sz w:val="22"/>
                <w:szCs w:val="22"/>
              </w:rPr>
            </w:pPr>
            <w:r w:rsidRPr="00226B41">
              <w:rPr>
                <w:rFonts w:asciiTheme="majorHAnsi" w:hAnsiTheme="majorHAnsi" w:cstheme="majorHAnsi"/>
                <w:bCs/>
                <w:sz w:val="22"/>
                <w:szCs w:val="22"/>
              </w:rPr>
              <w:t>Prioritized above allocation request (PAAR)</w:t>
            </w:r>
          </w:p>
        </w:tc>
      </w:tr>
      <w:tr w:rsidR="000D447C" w:rsidRPr="00226B41" w14:paraId="0DFE1738" w14:textId="77777777" w:rsidTr="00226B41">
        <w:trPr>
          <w:trHeight w:val="567"/>
        </w:trPr>
        <w:tc>
          <w:tcPr>
            <w:tcW w:w="567" w:type="dxa"/>
            <w:shd w:val="clear" w:color="auto" w:fill="auto"/>
            <w:vAlign w:val="center"/>
          </w:tcPr>
          <w:p w14:paraId="05AB01EC" w14:textId="56D905E0" w:rsidR="000D447C" w:rsidRPr="00226B41" w:rsidRDefault="002975A4" w:rsidP="009B6C0D">
            <w:pPr>
              <w:spacing w:after="0"/>
              <w:ind w:hanging="98"/>
              <w:jc w:val="center"/>
              <w:rPr>
                <w:rFonts w:asciiTheme="majorHAnsi" w:hAnsiTheme="majorHAnsi" w:cstheme="majorHAnsi"/>
                <w:b/>
                <w:sz w:val="22"/>
                <w:szCs w:val="22"/>
              </w:rPr>
            </w:pPr>
            <w:sdt>
              <w:sdtPr>
                <w:rPr>
                  <w:rFonts w:asciiTheme="majorHAnsi" w:hAnsiTheme="majorHAnsi" w:cstheme="majorHAnsi"/>
                  <w:b/>
                </w:rPr>
                <w:id w:val="1479722300"/>
                <w14:checkbox>
                  <w14:checked w14:val="0"/>
                  <w14:checkedState w14:val="2612" w14:font="MS Gothic"/>
                  <w14:uncheckedState w14:val="2610" w14:font="MS Gothic"/>
                </w14:checkbox>
              </w:sdtPr>
              <w:sdtEndPr/>
              <w:sdtContent>
                <w:r w:rsidR="000D447C" w:rsidRPr="00226B41">
                  <w:rPr>
                    <w:rFonts w:ascii="Segoe UI Symbol" w:hAnsi="Segoe UI Symbol" w:cs="Segoe UI Symbol"/>
                    <w:sz w:val="22"/>
                    <w:szCs w:val="22"/>
                  </w:rPr>
                  <w:t>☐</w:t>
                </w:r>
              </w:sdtContent>
            </w:sdt>
          </w:p>
        </w:tc>
        <w:tc>
          <w:tcPr>
            <w:tcW w:w="8642" w:type="dxa"/>
            <w:vAlign w:val="center"/>
          </w:tcPr>
          <w:p w14:paraId="0C75605A" w14:textId="7DDAF982" w:rsidR="000D447C" w:rsidRPr="00226B41" w:rsidRDefault="000D447C" w:rsidP="009B6C0D">
            <w:pPr>
              <w:spacing w:after="0"/>
              <w:ind w:left="239" w:hanging="90"/>
              <w:rPr>
                <w:rFonts w:asciiTheme="majorHAnsi" w:hAnsiTheme="majorHAnsi" w:cstheme="majorHAnsi"/>
                <w:bCs/>
                <w:sz w:val="22"/>
                <w:szCs w:val="22"/>
              </w:rPr>
            </w:pPr>
            <w:r>
              <w:rPr>
                <w:rFonts w:asciiTheme="majorHAnsi" w:hAnsiTheme="majorHAnsi" w:cstheme="majorHAnsi"/>
                <w:bCs/>
                <w:sz w:val="22"/>
                <w:szCs w:val="22"/>
              </w:rPr>
              <w:t>Implementation Arrangement</w:t>
            </w:r>
            <w:r w:rsidRPr="005D52EF">
              <w:rPr>
                <w:rFonts w:asciiTheme="majorHAnsi" w:hAnsiTheme="majorHAnsi" w:cstheme="majorHAnsi"/>
                <w:bCs/>
                <w:sz w:val="22"/>
                <w:szCs w:val="22"/>
              </w:rPr>
              <w:t xml:space="preserve"> Map</w:t>
            </w:r>
            <w:r>
              <w:rPr>
                <w:rFonts w:asciiTheme="majorHAnsi" w:hAnsiTheme="majorHAnsi" w:cstheme="majorHAnsi"/>
                <w:bCs/>
                <w:sz w:val="22"/>
                <w:szCs w:val="22"/>
              </w:rPr>
              <w:t>(s)</w:t>
            </w:r>
            <w:r w:rsidRPr="00226B41">
              <w:rPr>
                <w:rStyle w:val="FootnoteReference"/>
                <w:rFonts w:asciiTheme="majorHAnsi" w:hAnsiTheme="majorHAnsi" w:cstheme="majorHAnsi"/>
                <w:bCs/>
                <w:sz w:val="22"/>
                <w:szCs w:val="22"/>
              </w:rPr>
              <w:footnoteReference w:id="13"/>
            </w:r>
          </w:p>
        </w:tc>
      </w:tr>
      <w:tr w:rsidR="000D447C" w:rsidRPr="00226B41" w14:paraId="330F5F85" w14:textId="77777777" w:rsidTr="00226B41">
        <w:trPr>
          <w:trHeight w:val="567"/>
        </w:trPr>
        <w:tc>
          <w:tcPr>
            <w:tcW w:w="567" w:type="dxa"/>
            <w:shd w:val="clear" w:color="auto" w:fill="auto"/>
            <w:vAlign w:val="center"/>
          </w:tcPr>
          <w:p w14:paraId="67CD6D7F" w14:textId="0819F2B7" w:rsidR="000D447C" w:rsidRPr="00226B41" w:rsidRDefault="002975A4" w:rsidP="009B6C0D">
            <w:pPr>
              <w:spacing w:after="0"/>
              <w:ind w:hanging="98"/>
              <w:jc w:val="center"/>
              <w:rPr>
                <w:rFonts w:asciiTheme="majorHAnsi" w:hAnsiTheme="majorHAnsi" w:cstheme="majorHAnsi"/>
                <w:b/>
                <w:sz w:val="22"/>
                <w:szCs w:val="22"/>
              </w:rPr>
            </w:pPr>
            <w:sdt>
              <w:sdtPr>
                <w:rPr>
                  <w:rFonts w:asciiTheme="majorHAnsi" w:hAnsiTheme="majorHAnsi" w:cstheme="majorHAnsi"/>
                  <w:b/>
                </w:rPr>
                <w:id w:val="-2140713719"/>
                <w14:checkbox>
                  <w14:checked w14:val="0"/>
                  <w14:checkedState w14:val="2612" w14:font="MS Gothic"/>
                  <w14:uncheckedState w14:val="2610" w14:font="MS Gothic"/>
                </w14:checkbox>
              </w:sdtPr>
              <w:sdtEndPr/>
              <w:sdtContent>
                <w:r w:rsidR="000D447C" w:rsidRPr="00226B41">
                  <w:rPr>
                    <w:rFonts w:ascii="Segoe UI Symbol" w:hAnsi="Segoe UI Symbol" w:cs="Segoe UI Symbol"/>
                    <w:sz w:val="22"/>
                    <w:szCs w:val="22"/>
                  </w:rPr>
                  <w:t>☐</w:t>
                </w:r>
              </w:sdtContent>
            </w:sdt>
          </w:p>
        </w:tc>
        <w:tc>
          <w:tcPr>
            <w:tcW w:w="8642" w:type="dxa"/>
            <w:vAlign w:val="center"/>
          </w:tcPr>
          <w:p w14:paraId="4EEE9D24" w14:textId="66811D10" w:rsidR="000D447C" w:rsidRPr="00226B41" w:rsidRDefault="000D447C" w:rsidP="009B6C0D">
            <w:pPr>
              <w:spacing w:after="0"/>
              <w:ind w:left="239" w:hanging="90"/>
              <w:rPr>
                <w:rFonts w:asciiTheme="majorHAnsi" w:hAnsiTheme="majorHAnsi" w:cstheme="majorHAnsi"/>
                <w:bCs/>
                <w:sz w:val="22"/>
                <w:szCs w:val="22"/>
              </w:rPr>
            </w:pPr>
            <w:r w:rsidRPr="00226B41">
              <w:rPr>
                <w:rFonts w:asciiTheme="majorHAnsi" w:hAnsiTheme="majorHAnsi" w:cstheme="majorHAnsi"/>
                <w:bCs/>
                <w:sz w:val="22"/>
                <w:szCs w:val="22"/>
              </w:rPr>
              <w:t>Essential Data Table</w:t>
            </w:r>
            <w:r>
              <w:rPr>
                <w:rFonts w:asciiTheme="majorHAnsi" w:hAnsiTheme="majorHAnsi" w:cstheme="majorHAnsi"/>
                <w:bCs/>
                <w:sz w:val="22"/>
                <w:szCs w:val="22"/>
              </w:rPr>
              <w:t>(s)</w:t>
            </w:r>
            <w:r w:rsidRPr="00226B41">
              <w:rPr>
                <w:rFonts w:asciiTheme="majorHAnsi" w:hAnsiTheme="majorHAnsi" w:cstheme="majorHAnsi"/>
                <w:bCs/>
                <w:sz w:val="22"/>
                <w:szCs w:val="22"/>
              </w:rPr>
              <w:t xml:space="preserve"> (updated)</w:t>
            </w:r>
          </w:p>
        </w:tc>
      </w:tr>
      <w:tr w:rsidR="000D447C" w:rsidRPr="00226B41" w14:paraId="16D242CF" w14:textId="77777777" w:rsidTr="00226B41">
        <w:trPr>
          <w:trHeight w:val="567"/>
        </w:trPr>
        <w:tc>
          <w:tcPr>
            <w:tcW w:w="567" w:type="dxa"/>
            <w:shd w:val="clear" w:color="auto" w:fill="auto"/>
            <w:vAlign w:val="center"/>
          </w:tcPr>
          <w:p w14:paraId="6FE9CD24" w14:textId="38BC1DCD" w:rsidR="000D447C" w:rsidRDefault="002975A4" w:rsidP="009B6C0D">
            <w:pPr>
              <w:spacing w:after="0"/>
              <w:ind w:hanging="98"/>
              <w:jc w:val="center"/>
              <w:rPr>
                <w:rFonts w:asciiTheme="majorHAnsi" w:hAnsiTheme="majorHAnsi" w:cstheme="majorHAnsi"/>
                <w:b/>
              </w:rPr>
            </w:pPr>
            <w:sdt>
              <w:sdtPr>
                <w:rPr>
                  <w:rFonts w:asciiTheme="majorHAnsi" w:hAnsiTheme="majorHAnsi" w:cstheme="majorHAnsi"/>
                  <w:b/>
                </w:rPr>
                <w:id w:val="-1115976256"/>
                <w14:checkbox>
                  <w14:checked w14:val="0"/>
                  <w14:checkedState w14:val="2612" w14:font="MS Gothic"/>
                  <w14:uncheckedState w14:val="2610" w14:font="MS Gothic"/>
                </w14:checkbox>
              </w:sdtPr>
              <w:sdtEndPr/>
              <w:sdtContent>
                <w:r w:rsidR="000D447C" w:rsidRPr="00226B41">
                  <w:rPr>
                    <w:rFonts w:ascii="Segoe UI Symbol" w:hAnsi="Segoe UI Symbol" w:cs="Segoe UI Symbol"/>
                    <w:sz w:val="22"/>
                    <w:szCs w:val="22"/>
                  </w:rPr>
                  <w:t>☐</w:t>
                </w:r>
              </w:sdtContent>
            </w:sdt>
          </w:p>
        </w:tc>
        <w:tc>
          <w:tcPr>
            <w:tcW w:w="8642" w:type="dxa"/>
            <w:vAlign w:val="center"/>
          </w:tcPr>
          <w:p w14:paraId="776FCB2C" w14:textId="23D022A8" w:rsidR="000D447C" w:rsidRPr="00226B41" w:rsidRDefault="000D447C" w:rsidP="009B6C0D">
            <w:pPr>
              <w:spacing w:after="0"/>
              <w:ind w:left="239" w:hanging="90"/>
              <w:rPr>
                <w:rFonts w:asciiTheme="majorHAnsi" w:hAnsiTheme="majorHAnsi" w:cstheme="majorHAnsi"/>
                <w:bCs/>
              </w:rPr>
            </w:pPr>
            <w:r w:rsidRPr="00226B41">
              <w:rPr>
                <w:rFonts w:asciiTheme="majorHAnsi" w:hAnsiTheme="majorHAnsi" w:cstheme="majorHAnsi"/>
                <w:bCs/>
                <w:sz w:val="22"/>
                <w:szCs w:val="22"/>
              </w:rPr>
              <w:t xml:space="preserve">CCM Endorsement of Funding Request </w:t>
            </w:r>
          </w:p>
        </w:tc>
      </w:tr>
      <w:tr w:rsidR="000D447C" w:rsidRPr="00226B41" w14:paraId="5603CF97" w14:textId="77777777" w:rsidTr="00226B41">
        <w:trPr>
          <w:trHeight w:val="567"/>
        </w:trPr>
        <w:tc>
          <w:tcPr>
            <w:tcW w:w="567" w:type="dxa"/>
            <w:shd w:val="clear" w:color="auto" w:fill="auto"/>
            <w:vAlign w:val="center"/>
          </w:tcPr>
          <w:p w14:paraId="4BF9E56F" w14:textId="02CE5111" w:rsidR="000D447C" w:rsidRDefault="002975A4" w:rsidP="009B6C0D">
            <w:pPr>
              <w:spacing w:after="0"/>
              <w:ind w:hanging="98"/>
              <w:jc w:val="center"/>
              <w:rPr>
                <w:rFonts w:asciiTheme="majorHAnsi" w:hAnsiTheme="majorHAnsi" w:cstheme="majorHAnsi"/>
                <w:b/>
              </w:rPr>
            </w:pPr>
            <w:sdt>
              <w:sdtPr>
                <w:rPr>
                  <w:rFonts w:asciiTheme="majorHAnsi" w:hAnsiTheme="majorHAnsi" w:cstheme="majorHAnsi"/>
                </w:rPr>
                <w:id w:val="-1469969149"/>
                <w14:checkbox>
                  <w14:checked w14:val="0"/>
                  <w14:checkedState w14:val="2612" w14:font="MS Gothic"/>
                  <w14:uncheckedState w14:val="2610" w14:font="MS Gothic"/>
                </w14:checkbox>
              </w:sdtPr>
              <w:sdtEndPr/>
              <w:sdtContent>
                <w:r w:rsidR="000D447C" w:rsidRPr="00027A77">
                  <w:rPr>
                    <w:rFonts w:ascii="Segoe UI Symbol" w:eastAsia="MS Gothic" w:hAnsi="Segoe UI Symbol" w:cs="Segoe UI Symbol"/>
                    <w:sz w:val="22"/>
                    <w:szCs w:val="22"/>
                  </w:rPr>
                  <w:t>☐</w:t>
                </w:r>
              </w:sdtContent>
            </w:sdt>
          </w:p>
        </w:tc>
        <w:tc>
          <w:tcPr>
            <w:tcW w:w="8642" w:type="dxa"/>
            <w:vAlign w:val="center"/>
          </w:tcPr>
          <w:p w14:paraId="4CE3B0D6" w14:textId="400897F9" w:rsidR="000D447C" w:rsidRPr="00226B41" w:rsidRDefault="000D447C" w:rsidP="009B6C0D">
            <w:pPr>
              <w:spacing w:after="0"/>
              <w:ind w:left="239" w:hanging="90"/>
              <w:rPr>
                <w:rFonts w:asciiTheme="majorHAnsi" w:hAnsiTheme="majorHAnsi" w:cstheme="majorHAnsi"/>
                <w:bCs/>
              </w:rPr>
            </w:pPr>
            <w:r w:rsidRPr="00226B41">
              <w:rPr>
                <w:rFonts w:asciiTheme="majorHAnsi" w:eastAsia="SimSun" w:hAnsiTheme="majorHAnsi" w:cstheme="majorHAnsi"/>
                <w:bCs/>
                <w:sz w:val="22"/>
                <w:szCs w:val="22"/>
                <w:lang w:eastAsia="zh-CN"/>
              </w:rPr>
              <w:t>CCM Statement of Compliance</w:t>
            </w:r>
          </w:p>
        </w:tc>
      </w:tr>
      <w:tr w:rsidR="000D447C" w:rsidRPr="00226B41" w14:paraId="1F40EB10" w14:textId="77777777" w:rsidTr="00226B41">
        <w:trPr>
          <w:trHeight w:val="567"/>
        </w:trPr>
        <w:tc>
          <w:tcPr>
            <w:tcW w:w="567" w:type="dxa"/>
            <w:shd w:val="clear" w:color="auto" w:fill="auto"/>
            <w:vAlign w:val="center"/>
          </w:tcPr>
          <w:p w14:paraId="6FD04B4D" w14:textId="77777777" w:rsidR="000D447C" w:rsidRPr="00226B41" w:rsidRDefault="002975A4" w:rsidP="009B6C0D">
            <w:pPr>
              <w:spacing w:after="0"/>
              <w:ind w:hanging="98"/>
              <w:jc w:val="center"/>
              <w:rPr>
                <w:rFonts w:asciiTheme="majorHAnsi" w:hAnsiTheme="majorHAnsi" w:cstheme="majorHAnsi"/>
                <w:b/>
                <w:sz w:val="22"/>
                <w:szCs w:val="22"/>
                <w:highlight w:val="yellow"/>
              </w:rPr>
            </w:pPr>
            <w:sdt>
              <w:sdtPr>
                <w:rPr>
                  <w:rFonts w:asciiTheme="majorHAnsi" w:hAnsiTheme="majorHAnsi" w:cstheme="majorHAnsi"/>
                  <w:b/>
                </w:rPr>
                <w:id w:val="-220992833"/>
                <w14:checkbox>
                  <w14:checked w14:val="0"/>
                  <w14:checkedState w14:val="2612" w14:font="MS Gothic"/>
                  <w14:uncheckedState w14:val="2610" w14:font="MS Gothic"/>
                </w14:checkbox>
              </w:sdtPr>
              <w:sdtEndPr/>
              <w:sdtContent>
                <w:r w:rsidR="000D447C" w:rsidRPr="00226B41">
                  <w:rPr>
                    <w:rFonts w:ascii="Segoe UI Symbol" w:hAnsi="Segoe UI Symbol" w:cs="Segoe UI Symbol"/>
                    <w:sz w:val="22"/>
                    <w:szCs w:val="22"/>
                  </w:rPr>
                  <w:t>☐</w:t>
                </w:r>
              </w:sdtContent>
            </w:sdt>
          </w:p>
        </w:tc>
        <w:tc>
          <w:tcPr>
            <w:tcW w:w="8642" w:type="dxa"/>
            <w:vAlign w:val="center"/>
          </w:tcPr>
          <w:p w14:paraId="24E5CEF2" w14:textId="15E71556" w:rsidR="000D447C" w:rsidRPr="00226B41" w:rsidRDefault="000D447C" w:rsidP="009B6C0D">
            <w:pPr>
              <w:spacing w:after="0"/>
              <w:ind w:left="239" w:hanging="90"/>
              <w:rPr>
                <w:rFonts w:asciiTheme="majorHAnsi" w:hAnsiTheme="majorHAnsi" w:cstheme="majorHAnsi"/>
                <w:bCs/>
                <w:sz w:val="22"/>
                <w:szCs w:val="22"/>
                <w:highlight w:val="yellow"/>
              </w:rPr>
            </w:pPr>
            <w:r w:rsidRPr="00226B41">
              <w:rPr>
                <w:rFonts w:asciiTheme="majorHAnsi" w:hAnsiTheme="majorHAnsi" w:cstheme="majorHAnsi"/>
                <w:bCs/>
                <w:sz w:val="22"/>
                <w:szCs w:val="22"/>
              </w:rPr>
              <w:t xml:space="preserve">Supporting documentation to confirm meeting co-financing requirements for </w:t>
            </w:r>
            <w:r>
              <w:rPr>
                <w:rFonts w:asciiTheme="majorHAnsi" w:hAnsiTheme="majorHAnsi" w:cstheme="majorHAnsi"/>
                <w:bCs/>
                <w:sz w:val="22"/>
                <w:szCs w:val="22"/>
              </w:rPr>
              <w:t>current</w:t>
            </w:r>
            <w:r w:rsidRPr="00226B41">
              <w:rPr>
                <w:rFonts w:asciiTheme="majorHAnsi" w:hAnsiTheme="majorHAnsi" w:cstheme="majorHAnsi"/>
                <w:bCs/>
                <w:sz w:val="22"/>
                <w:szCs w:val="22"/>
              </w:rPr>
              <w:t xml:space="preserve"> allocation period </w:t>
            </w:r>
          </w:p>
        </w:tc>
      </w:tr>
      <w:tr w:rsidR="000D447C" w:rsidRPr="00226B41" w14:paraId="265F6EDA" w14:textId="77777777" w:rsidTr="00226B41">
        <w:trPr>
          <w:trHeight w:val="567"/>
        </w:trPr>
        <w:tc>
          <w:tcPr>
            <w:tcW w:w="567" w:type="dxa"/>
            <w:shd w:val="clear" w:color="auto" w:fill="auto"/>
            <w:vAlign w:val="center"/>
          </w:tcPr>
          <w:p w14:paraId="188693CA" w14:textId="77777777" w:rsidR="000D447C" w:rsidRPr="00226B41" w:rsidRDefault="002975A4" w:rsidP="009B6C0D">
            <w:pPr>
              <w:spacing w:after="0"/>
              <w:ind w:hanging="98"/>
              <w:jc w:val="center"/>
              <w:rPr>
                <w:rFonts w:asciiTheme="majorHAnsi" w:hAnsiTheme="majorHAnsi" w:cstheme="majorHAnsi"/>
                <w:b/>
                <w:sz w:val="22"/>
                <w:szCs w:val="22"/>
                <w:highlight w:val="yellow"/>
              </w:rPr>
            </w:pPr>
            <w:sdt>
              <w:sdtPr>
                <w:rPr>
                  <w:rFonts w:asciiTheme="majorHAnsi" w:hAnsiTheme="majorHAnsi" w:cstheme="majorHAnsi"/>
                  <w:b/>
                </w:rPr>
                <w:id w:val="-1023165458"/>
                <w14:checkbox>
                  <w14:checked w14:val="0"/>
                  <w14:checkedState w14:val="2612" w14:font="MS Gothic"/>
                  <w14:uncheckedState w14:val="2610" w14:font="MS Gothic"/>
                </w14:checkbox>
              </w:sdtPr>
              <w:sdtEndPr/>
              <w:sdtContent>
                <w:r w:rsidR="000D447C" w:rsidRPr="00226B41">
                  <w:rPr>
                    <w:rFonts w:ascii="Segoe UI Symbol" w:hAnsi="Segoe UI Symbol" w:cs="Segoe UI Symbol"/>
                    <w:sz w:val="22"/>
                    <w:szCs w:val="22"/>
                  </w:rPr>
                  <w:t>☐</w:t>
                </w:r>
              </w:sdtContent>
            </w:sdt>
          </w:p>
        </w:tc>
        <w:tc>
          <w:tcPr>
            <w:tcW w:w="8642" w:type="dxa"/>
            <w:vAlign w:val="center"/>
          </w:tcPr>
          <w:p w14:paraId="7DE07117" w14:textId="5D2A34DF" w:rsidR="000D447C" w:rsidRPr="00226B41" w:rsidRDefault="000D447C" w:rsidP="009B6C0D">
            <w:pPr>
              <w:spacing w:after="0"/>
              <w:ind w:left="239" w:hanging="90"/>
              <w:rPr>
                <w:rFonts w:asciiTheme="majorHAnsi" w:hAnsiTheme="majorHAnsi" w:cstheme="majorHAnsi"/>
                <w:bCs/>
                <w:sz w:val="22"/>
                <w:szCs w:val="22"/>
                <w:highlight w:val="yellow"/>
              </w:rPr>
            </w:pPr>
            <w:r w:rsidRPr="00226B41">
              <w:rPr>
                <w:rFonts w:asciiTheme="majorHAnsi" w:hAnsiTheme="majorHAnsi" w:cstheme="majorHAnsi"/>
                <w:bCs/>
                <w:sz w:val="22"/>
                <w:szCs w:val="22"/>
              </w:rPr>
              <w:t xml:space="preserve">Supporting documentation for co-financing commitments for </w:t>
            </w:r>
            <w:r>
              <w:rPr>
                <w:rFonts w:asciiTheme="majorHAnsi" w:hAnsiTheme="majorHAnsi" w:cstheme="majorHAnsi"/>
                <w:bCs/>
                <w:sz w:val="22"/>
                <w:szCs w:val="22"/>
              </w:rPr>
              <w:t>next</w:t>
            </w:r>
            <w:r w:rsidRPr="00226B41">
              <w:rPr>
                <w:rFonts w:asciiTheme="majorHAnsi" w:hAnsiTheme="majorHAnsi" w:cstheme="majorHAnsi"/>
                <w:bCs/>
                <w:sz w:val="22"/>
                <w:szCs w:val="22"/>
              </w:rPr>
              <w:t xml:space="preserve"> allocation period </w:t>
            </w:r>
          </w:p>
        </w:tc>
      </w:tr>
      <w:tr w:rsidR="006E4D18" w:rsidRPr="00226B41" w14:paraId="5CD74750" w14:textId="77777777" w:rsidTr="00226B41">
        <w:trPr>
          <w:trHeight w:val="567"/>
        </w:trPr>
        <w:tc>
          <w:tcPr>
            <w:tcW w:w="567" w:type="dxa"/>
            <w:shd w:val="clear" w:color="auto" w:fill="auto"/>
            <w:vAlign w:val="center"/>
          </w:tcPr>
          <w:p w14:paraId="60D01336" w14:textId="61A0A5FE" w:rsidR="006E4D18" w:rsidRDefault="002975A4" w:rsidP="009B6C0D">
            <w:pPr>
              <w:spacing w:after="0"/>
              <w:ind w:hanging="98"/>
              <w:jc w:val="center"/>
              <w:rPr>
                <w:rFonts w:asciiTheme="majorHAnsi" w:hAnsiTheme="majorHAnsi" w:cstheme="majorHAnsi"/>
                <w:b/>
              </w:rPr>
            </w:pPr>
            <w:sdt>
              <w:sdtPr>
                <w:rPr>
                  <w:rFonts w:asciiTheme="majorHAnsi" w:hAnsiTheme="majorHAnsi" w:cstheme="majorHAnsi"/>
                  <w:b/>
                </w:rPr>
                <w:id w:val="-2063856963"/>
                <w14:checkbox>
                  <w14:checked w14:val="0"/>
                  <w14:checkedState w14:val="2612" w14:font="MS Gothic"/>
                  <w14:uncheckedState w14:val="2610" w14:font="MS Gothic"/>
                </w14:checkbox>
              </w:sdtPr>
              <w:sdtEndPr/>
              <w:sdtContent>
                <w:r w:rsidR="006E4D18" w:rsidRPr="00226B41">
                  <w:rPr>
                    <w:rFonts w:ascii="Segoe UI Symbol" w:hAnsi="Segoe UI Symbol" w:cs="Segoe UI Symbol"/>
                    <w:sz w:val="22"/>
                    <w:szCs w:val="22"/>
                  </w:rPr>
                  <w:t>☐</w:t>
                </w:r>
              </w:sdtContent>
            </w:sdt>
          </w:p>
        </w:tc>
        <w:tc>
          <w:tcPr>
            <w:tcW w:w="8642" w:type="dxa"/>
            <w:vAlign w:val="center"/>
          </w:tcPr>
          <w:p w14:paraId="297DDEC0" w14:textId="6B0CE72C" w:rsidR="006E4D18" w:rsidRPr="00226B41" w:rsidRDefault="006E4D18" w:rsidP="009B6C0D">
            <w:pPr>
              <w:spacing w:after="0"/>
              <w:ind w:left="239" w:hanging="90"/>
              <w:rPr>
                <w:rFonts w:asciiTheme="majorHAnsi" w:hAnsiTheme="majorHAnsi" w:cstheme="majorHAnsi"/>
                <w:bCs/>
              </w:rPr>
            </w:pPr>
            <w:r w:rsidRPr="00226B41">
              <w:rPr>
                <w:rFonts w:asciiTheme="majorHAnsi" w:hAnsiTheme="majorHAnsi" w:cstheme="majorHAnsi"/>
                <w:bCs/>
                <w:sz w:val="22"/>
                <w:szCs w:val="22"/>
              </w:rPr>
              <w:t xml:space="preserve">Transition Readiness </w:t>
            </w:r>
            <w:r>
              <w:rPr>
                <w:rFonts w:asciiTheme="majorHAnsi" w:hAnsiTheme="majorHAnsi" w:cstheme="majorHAnsi"/>
                <w:bCs/>
                <w:sz w:val="22"/>
                <w:szCs w:val="22"/>
              </w:rPr>
              <w:t>A</w:t>
            </w:r>
            <w:r w:rsidRPr="00226B41">
              <w:rPr>
                <w:rFonts w:asciiTheme="majorHAnsi" w:hAnsiTheme="majorHAnsi" w:cstheme="majorHAnsi"/>
                <w:bCs/>
                <w:sz w:val="22"/>
                <w:szCs w:val="22"/>
              </w:rPr>
              <w:t>ssessment (if available)</w:t>
            </w:r>
          </w:p>
        </w:tc>
      </w:tr>
      <w:tr w:rsidR="006E4D18" w:rsidRPr="00226B41" w14:paraId="2915942E" w14:textId="77777777" w:rsidTr="00226B41">
        <w:trPr>
          <w:trHeight w:val="567"/>
        </w:trPr>
        <w:tc>
          <w:tcPr>
            <w:tcW w:w="567" w:type="dxa"/>
            <w:shd w:val="clear" w:color="auto" w:fill="auto"/>
            <w:vAlign w:val="center"/>
          </w:tcPr>
          <w:p w14:paraId="362C5F76" w14:textId="77777777" w:rsidR="006E4D18" w:rsidRPr="00226B41" w:rsidRDefault="002975A4" w:rsidP="009B6C0D">
            <w:pPr>
              <w:spacing w:after="0"/>
              <w:ind w:hanging="98"/>
              <w:jc w:val="center"/>
              <w:rPr>
                <w:rFonts w:asciiTheme="majorHAnsi" w:hAnsiTheme="majorHAnsi" w:cstheme="majorHAnsi"/>
                <w:b/>
                <w:sz w:val="22"/>
                <w:szCs w:val="22"/>
              </w:rPr>
            </w:pPr>
            <w:sdt>
              <w:sdtPr>
                <w:rPr>
                  <w:rFonts w:asciiTheme="majorHAnsi" w:hAnsiTheme="majorHAnsi" w:cstheme="majorHAnsi"/>
                  <w:b/>
                </w:rPr>
                <w:id w:val="1226954297"/>
                <w14:checkbox>
                  <w14:checked w14:val="0"/>
                  <w14:checkedState w14:val="2612" w14:font="MS Gothic"/>
                  <w14:uncheckedState w14:val="2610" w14:font="MS Gothic"/>
                </w14:checkbox>
              </w:sdtPr>
              <w:sdtEndPr/>
              <w:sdtContent>
                <w:r w:rsidR="006E4D18" w:rsidRPr="00226B41">
                  <w:rPr>
                    <w:rFonts w:ascii="Segoe UI Symbol" w:hAnsi="Segoe UI Symbol" w:cs="Segoe UI Symbol"/>
                    <w:sz w:val="22"/>
                    <w:szCs w:val="22"/>
                  </w:rPr>
                  <w:t>☐</w:t>
                </w:r>
              </w:sdtContent>
            </w:sdt>
          </w:p>
        </w:tc>
        <w:tc>
          <w:tcPr>
            <w:tcW w:w="8642" w:type="dxa"/>
            <w:vAlign w:val="center"/>
          </w:tcPr>
          <w:p w14:paraId="5F570988" w14:textId="77777777" w:rsidR="006E4D18" w:rsidRPr="00226B41" w:rsidRDefault="006E4D18" w:rsidP="009B6C0D">
            <w:pPr>
              <w:spacing w:after="0"/>
              <w:ind w:left="239" w:hanging="90"/>
              <w:rPr>
                <w:rFonts w:asciiTheme="majorHAnsi" w:hAnsiTheme="majorHAnsi" w:cstheme="majorHAnsi"/>
                <w:bCs/>
                <w:sz w:val="22"/>
                <w:szCs w:val="22"/>
              </w:rPr>
            </w:pPr>
            <w:r w:rsidRPr="00226B41">
              <w:rPr>
                <w:rFonts w:asciiTheme="majorHAnsi" w:hAnsiTheme="majorHAnsi" w:cstheme="majorHAnsi"/>
                <w:bCs/>
                <w:sz w:val="22"/>
                <w:szCs w:val="22"/>
              </w:rPr>
              <w:t>National Strategic Plans (Health Sector and Disease specific)</w:t>
            </w:r>
          </w:p>
        </w:tc>
      </w:tr>
      <w:tr w:rsidR="006E4D18" w:rsidRPr="00226B41" w14:paraId="05024AC5" w14:textId="77777777" w:rsidTr="00226B41">
        <w:trPr>
          <w:trHeight w:val="567"/>
        </w:trPr>
        <w:tc>
          <w:tcPr>
            <w:tcW w:w="567" w:type="dxa"/>
            <w:shd w:val="clear" w:color="auto" w:fill="auto"/>
            <w:vAlign w:val="center"/>
          </w:tcPr>
          <w:p w14:paraId="3BE26029" w14:textId="77777777" w:rsidR="006E4D18" w:rsidRPr="00226B41" w:rsidRDefault="002975A4" w:rsidP="009B6C0D">
            <w:pPr>
              <w:spacing w:after="0"/>
              <w:ind w:hanging="98"/>
              <w:jc w:val="center"/>
              <w:rPr>
                <w:rFonts w:asciiTheme="majorHAnsi" w:hAnsiTheme="majorHAnsi" w:cstheme="majorHAnsi"/>
                <w:b/>
                <w:sz w:val="22"/>
                <w:szCs w:val="22"/>
              </w:rPr>
            </w:pPr>
            <w:sdt>
              <w:sdtPr>
                <w:rPr>
                  <w:rFonts w:asciiTheme="majorHAnsi" w:hAnsiTheme="majorHAnsi" w:cstheme="majorHAnsi"/>
                  <w:b/>
                </w:rPr>
                <w:id w:val="1302270637"/>
                <w14:checkbox>
                  <w14:checked w14:val="0"/>
                  <w14:checkedState w14:val="2612" w14:font="MS Gothic"/>
                  <w14:uncheckedState w14:val="2610" w14:font="MS Gothic"/>
                </w14:checkbox>
              </w:sdtPr>
              <w:sdtEndPr/>
              <w:sdtContent>
                <w:r w:rsidR="006E4D18" w:rsidRPr="00226B41">
                  <w:rPr>
                    <w:rFonts w:ascii="Segoe UI Symbol" w:hAnsi="Segoe UI Symbol" w:cs="Segoe UI Symbol"/>
                    <w:sz w:val="22"/>
                    <w:szCs w:val="22"/>
                  </w:rPr>
                  <w:t>☐</w:t>
                </w:r>
              </w:sdtContent>
            </w:sdt>
          </w:p>
        </w:tc>
        <w:tc>
          <w:tcPr>
            <w:tcW w:w="8642" w:type="dxa"/>
            <w:vAlign w:val="center"/>
          </w:tcPr>
          <w:p w14:paraId="768FC841" w14:textId="77777777" w:rsidR="006E4D18" w:rsidRPr="00226B41" w:rsidRDefault="006E4D18" w:rsidP="009B6C0D">
            <w:pPr>
              <w:spacing w:after="0"/>
              <w:ind w:left="239" w:hanging="90"/>
              <w:rPr>
                <w:rFonts w:asciiTheme="majorHAnsi" w:hAnsiTheme="majorHAnsi" w:cstheme="majorHAnsi"/>
                <w:bCs/>
                <w:sz w:val="22"/>
                <w:szCs w:val="22"/>
              </w:rPr>
            </w:pPr>
            <w:r w:rsidRPr="00226B41">
              <w:rPr>
                <w:rFonts w:asciiTheme="majorHAnsi" w:eastAsia="SimSun" w:hAnsiTheme="majorHAnsi" w:cstheme="majorHAnsi"/>
                <w:bCs/>
                <w:sz w:val="22"/>
                <w:szCs w:val="22"/>
                <w:lang w:eastAsia="zh-CN"/>
              </w:rPr>
              <w:t>All supporting documentation referenced in the funding request</w:t>
            </w:r>
          </w:p>
        </w:tc>
      </w:tr>
      <w:tr w:rsidR="006E4D18" w:rsidRPr="00226B41" w14:paraId="3BF73B44" w14:textId="77777777" w:rsidTr="00226B41">
        <w:trPr>
          <w:trHeight w:val="567"/>
        </w:trPr>
        <w:tc>
          <w:tcPr>
            <w:tcW w:w="567" w:type="dxa"/>
            <w:shd w:val="clear" w:color="auto" w:fill="auto"/>
            <w:vAlign w:val="center"/>
          </w:tcPr>
          <w:p w14:paraId="43FB236F" w14:textId="77777777" w:rsidR="006E4D18" w:rsidRPr="00226B41" w:rsidRDefault="002975A4" w:rsidP="009B6C0D">
            <w:pPr>
              <w:spacing w:after="0"/>
              <w:ind w:hanging="98"/>
              <w:jc w:val="center"/>
              <w:rPr>
                <w:rFonts w:asciiTheme="majorHAnsi" w:hAnsiTheme="majorHAnsi" w:cstheme="majorHAnsi"/>
                <w:b/>
                <w:sz w:val="22"/>
                <w:szCs w:val="22"/>
              </w:rPr>
            </w:pPr>
            <w:sdt>
              <w:sdtPr>
                <w:rPr>
                  <w:rFonts w:asciiTheme="majorHAnsi" w:hAnsiTheme="majorHAnsi" w:cstheme="majorHAnsi"/>
                  <w:b/>
                </w:rPr>
                <w:id w:val="-1828971492"/>
                <w14:checkbox>
                  <w14:checked w14:val="0"/>
                  <w14:checkedState w14:val="2612" w14:font="MS Gothic"/>
                  <w14:uncheckedState w14:val="2610" w14:font="MS Gothic"/>
                </w14:checkbox>
              </w:sdtPr>
              <w:sdtEndPr/>
              <w:sdtContent>
                <w:r w:rsidR="006E4D18" w:rsidRPr="00226B41">
                  <w:rPr>
                    <w:rFonts w:ascii="Segoe UI Symbol" w:hAnsi="Segoe UI Symbol" w:cs="Segoe UI Symbol"/>
                    <w:sz w:val="22"/>
                    <w:szCs w:val="22"/>
                  </w:rPr>
                  <w:t>☐</w:t>
                </w:r>
              </w:sdtContent>
            </w:sdt>
          </w:p>
        </w:tc>
        <w:tc>
          <w:tcPr>
            <w:tcW w:w="8642" w:type="dxa"/>
            <w:vAlign w:val="center"/>
          </w:tcPr>
          <w:p w14:paraId="148B3830" w14:textId="5C9687DD" w:rsidR="006E4D18" w:rsidRPr="00226B41" w:rsidRDefault="006E4D18" w:rsidP="009B6C0D">
            <w:pPr>
              <w:spacing w:after="0"/>
              <w:ind w:left="239" w:hanging="90"/>
              <w:rPr>
                <w:rFonts w:asciiTheme="majorHAnsi" w:hAnsiTheme="majorHAnsi" w:cstheme="majorHAnsi"/>
                <w:bCs/>
                <w:sz w:val="22"/>
                <w:szCs w:val="22"/>
              </w:rPr>
            </w:pPr>
            <w:r w:rsidRPr="00226B41">
              <w:rPr>
                <w:rFonts w:asciiTheme="majorHAnsi" w:hAnsiTheme="majorHAnsi" w:cstheme="majorHAnsi"/>
                <w:sz w:val="22"/>
                <w:szCs w:val="22"/>
              </w:rPr>
              <w:t>Health Product Management Tool (if applicable)</w:t>
            </w:r>
          </w:p>
        </w:tc>
      </w:tr>
      <w:tr w:rsidR="006E4D18" w:rsidRPr="00226B41" w14:paraId="7D539465" w14:textId="77777777" w:rsidTr="00226B41">
        <w:trPr>
          <w:trHeight w:val="567"/>
        </w:trPr>
        <w:tc>
          <w:tcPr>
            <w:tcW w:w="567" w:type="dxa"/>
            <w:shd w:val="clear" w:color="auto" w:fill="auto"/>
            <w:vAlign w:val="center"/>
          </w:tcPr>
          <w:p w14:paraId="39CEEDBA" w14:textId="77777777" w:rsidR="006E4D18" w:rsidRPr="00226B41" w:rsidRDefault="002975A4" w:rsidP="009B6C0D">
            <w:pPr>
              <w:spacing w:after="0"/>
              <w:ind w:hanging="98"/>
              <w:jc w:val="center"/>
              <w:rPr>
                <w:rFonts w:asciiTheme="majorHAnsi" w:hAnsiTheme="majorHAnsi" w:cstheme="majorHAnsi"/>
                <w:b/>
                <w:sz w:val="22"/>
                <w:szCs w:val="22"/>
              </w:rPr>
            </w:pPr>
            <w:sdt>
              <w:sdtPr>
                <w:rPr>
                  <w:rFonts w:asciiTheme="majorHAnsi" w:hAnsiTheme="majorHAnsi" w:cstheme="majorHAnsi"/>
                </w:rPr>
                <w:id w:val="-784813489"/>
                <w14:checkbox>
                  <w14:checked w14:val="0"/>
                  <w14:checkedState w14:val="2612" w14:font="MS Gothic"/>
                  <w14:uncheckedState w14:val="2610" w14:font="MS Gothic"/>
                </w14:checkbox>
              </w:sdtPr>
              <w:sdtEndPr/>
              <w:sdtContent>
                <w:r w:rsidR="006E4D18" w:rsidRPr="00226B41">
                  <w:rPr>
                    <w:rFonts w:ascii="Segoe UI Symbol" w:hAnsi="Segoe UI Symbol" w:cs="Segoe UI Symbol"/>
                    <w:sz w:val="22"/>
                    <w:szCs w:val="22"/>
                  </w:rPr>
                  <w:t>☐</w:t>
                </w:r>
              </w:sdtContent>
            </w:sdt>
          </w:p>
        </w:tc>
        <w:tc>
          <w:tcPr>
            <w:tcW w:w="8642" w:type="dxa"/>
            <w:vAlign w:val="center"/>
          </w:tcPr>
          <w:p w14:paraId="5282C1D9" w14:textId="77777777" w:rsidR="006E4D18" w:rsidRPr="00226B41" w:rsidRDefault="006E4D18" w:rsidP="009B6C0D">
            <w:pPr>
              <w:spacing w:after="0"/>
              <w:ind w:left="239" w:hanging="90"/>
              <w:rPr>
                <w:rFonts w:asciiTheme="majorHAnsi" w:hAnsiTheme="majorHAnsi" w:cstheme="majorHAnsi"/>
                <w:bCs/>
                <w:sz w:val="22"/>
                <w:szCs w:val="22"/>
              </w:rPr>
            </w:pPr>
            <w:r w:rsidRPr="00226B41">
              <w:rPr>
                <w:rFonts w:asciiTheme="majorHAnsi" w:hAnsiTheme="majorHAnsi" w:cstheme="majorHAnsi"/>
                <w:sz w:val="22"/>
                <w:szCs w:val="22"/>
              </w:rPr>
              <w:t>List of Abbreviations and Annexes</w:t>
            </w:r>
          </w:p>
        </w:tc>
      </w:tr>
      <w:bookmarkEnd w:id="40"/>
    </w:tbl>
    <w:p w14:paraId="2DA8B3FE" w14:textId="77777777" w:rsidR="00FC7EB1" w:rsidRPr="00FC7EB1" w:rsidRDefault="00FC7EB1" w:rsidP="009B6C0D">
      <w:pPr>
        <w:spacing w:after="0"/>
      </w:pPr>
    </w:p>
    <w:sectPr w:rsidR="00FC7EB1" w:rsidRPr="00FC7EB1" w:rsidSect="00B816D4">
      <w:headerReference w:type="default" r:id="rId20"/>
      <w:footerReference w:type="default" r:id="rId21"/>
      <w:pgSz w:w="11906" w:h="16838" w:code="9"/>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1441A" w14:textId="77777777" w:rsidR="002975A4" w:rsidRPr="009F52F1" w:rsidRDefault="002975A4" w:rsidP="0013691B">
      <w:pPr>
        <w:spacing w:after="0" w:line="240" w:lineRule="auto"/>
      </w:pPr>
      <w:r w:rsidRPr="009F52F1">
        <w:separator/>
      </w:r>
    </w:p>
  </w:endnote>
  <w:endnote w:type="continuationSeparator" w:id="0">
    <w:p w14:paraId="27A466F0" w14:textId="77777777" w:rsidR="002975A4" w:rsidRPr="009F52F1" w:rsidRDefault="002975A4" w:rsidP="0013691B">
      <w:pPr>
        <w:spacing w:after="0" w:line="240" w:lineRule="auto"/>
      </w:pPr>
      <w:r w:rsidRPr="009F52F1">
        <w:continuationSeparator/>
      </w:r>
    </w:p>
  </w:endnote>
  <w:endnote w:type="continuationNotice" w:id="1">
    <w:p w14:paraId="52717564" w14:textId="77777777" w:rsidR="002975A4" w:rsidRDefault="002975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BDCE2" w14:textId="77777777" w:rsidR="008D5A79" w:rsidRDefault="008D5A79" w:rsidP="00415BC1">
    <w:pPr>
      <w:spacing w:after="0"/>
      <w:jc w:val="center"/>
      <w:rPr>
        <w:color w:val="A6A6A6" w:themeColor="background1" w:themeShade="A6"/>
        <w:sz w:val="18"/>
        <w:szCs w:val="18"/>
      </w:rPr>
    </w:pPr>
    <w:bookmarkStart w:id="5" w:name="_Hlk15379584"/>
    <w:bookmarkStart w:id="6" w:name="_Hlk15379585"/>
    <w:r w:rsidRPr="00EF23C6">
      <w:rPr>
        <w:color w:val="A6A6A6" w:themeColor="background1" w:themeShade="A6"/>
        <w:sz w:val="18"/>
        <w:szCs w:val="18"/>
      </w:rPr>
      <w:t xml:space="preserve">Funding Request </w:t>
    </w:r>
    <w:r>
      <w:rPr>
        <w:color w:val="A6A6A6" w:themeColor="background1" w:themeShade="A6"/>
        <w:sz w:val="18"/>
        <w:szCs w:val="18"/>
      </w:rPr>
      <w:t>Form</w:t>
    </w:r>
    <w:r w:rsidRPr="00EF23C6">
      <w:rPr>
        <w:color w:val="A6A6A6" w:themeColor="background1" w:themeShade="A6"/>
        <w:sz w:val="18"/>
        <w:szCs w:val="18"/>
      </w:rPr>
      <w:t xml:space="preserve"> </w:t>
    </w:r>
    <w:r>
      <w:rPr>
        <w:color w:val="A6A6A6" w:themeColor="background1" w:themeShade="A6"/>
        <w:sz w:val="18"/>
        <w:szCs w:val="18"/>
      </w:rPr>
      <w:t>–</w:t>
    </w:r>
    <w:r w:rsidRPr="00EF23C6">
      <w:rPr>
        <w:color w:val="A6A6A6" w:themeColor="background1" w:themeShade="A6"/>
        <w:sz w:val="18"/>
        <w:szCs w:val="18"/>
      </w:rPr>
      <w:t xml:space="preserve"> </w:t>
    </w:r>
    <w:r>
      <w:rPr>
        <w:color w:val="A6A6A6" w:themeColor="background1" w:themeShade="A6"/>
        <w:sz w:val="18"/>
        <w:szCs w:val="18"/>
      </w:rPr>
      <w:t>Full Review</w:t>
    </w:r>
  </w:p>
  <w:p w14:paraId="6F754D60" w14:textId="5447E875" w:rsidR="008D5A79" w:rsidRDefault="008D5A79" w:rsidP="00415BC1">
    <w:pPr>
      <w:pStyle w:val="Footer"/>
      <w:jc w:val="center"/>
    </w:pPr>
    <w:r>
      <w:rPr>
        <w:color w:val="A6A6A6" w:themeColor="background1" w:themeShade="A6"/>
        <w:sz w:val="18"/>
        <w:szCs w:val="18"/>
      </w:rPr>
      <w:t>Issue Date: November 2019</w:t>
    </w:r>
    <w:bookmarkEnd w:id="5"/>
    <w:bookmarkEnd w:id="6"/>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735627"/>
      <w:docPartObj>
        <w:docPartGallery w:val="Page Numbers (Bottom of Page)"/>
        <w:docPartUnique/>
      </w:docPartObj>
    </w:sdtPr>
    <w:sdtEndPr>
      <w:rPr>
        <w:noProof/>
      </w:rPr>
    </w:sdtEndPr>
    <w:sdtContent>
      <w:p w14:paraId="0E4B75CA" w14:textId="77777777" w:rsidR="008D5A79" w:rsidRDefault="008D5A79">
        <w:pPr>
          <w:pStyle w:val="Footer"/>
          <w:jc w:val="right"/>
        </w:pPr>
        <w:r>
          <w:rPr>
            <w:noProof/>
          </w:rPr>
          <w:t>2</w:t>
        </w:r>
      </w:p>
    </w:sdtContent>
  </w:sdt>
  <w:p w14:paraId="7FF28758" w14:textId="7D710099" w:rsidR="008D5A79" w:rsidRDefault="008D5A79" w:rsidP="00051A41">
    <w:pPr>
      <w:spacing w:after="0"/>
      <w:jc w:val="center"/>
      <w:rPr>
        <w:color w:val="A6A6A6" w:themeColor="background1" w:themeShade="A6"/>
        <w:sz w:val="18"/>
        <w:szCs w:val="18"/>
      </w:rPr>
    </w:pPr>
    <w:bookmarkStart w:id="42" w:name="_Hlk14420169"/>
    <w:r w:rsidRPr="00EF23C6">
      <w:rPr>
        <w:color w:val="A6A6A6" w:themeColor="background1" w:themeShade="A6"/>
        <w:sz w:val="18"/>
        <w:szCs w:val="18"/>
      </w:rPr>
      <w:t xml:space="preserve">Funding Request </w:t>
    </w:r>
    <w:r>
      <w:rPr>
        <w:color w:val="A6A6A6" w:themeColor="background1" w:themeShade="A6"/>
        <w:sz w:val="18"/>
        <w:szCs w:val="18"/>
      </w:rPr>
      <w:t>Form</w:t>
    </w:r>
    <w:r w:rsidRPr="00EF23C6">
      <w:rPr>
        <w:color w:val="A6A6A6" w:themeColor="background1" w:themeShade="A6"/>
        <w:sz w:val="18"/>
        <w:szCs w:val="18"/>
      </w:rPr>
      <w:t xml:space="preserve"> </w:t>
    </w:r>
    <w:r>
      <w:rPr>
        <w:color w:val="A6A6A6" w:themeColor="background1" w:themeShade="A6"/>
        <w:sz w:val="18"/>
        <w:szCs w:val="18"/>
      </w:rPr>
      <w:t>–</w:t>
    </w:r>
    <w:r w:rsidRPr="00EF23C6">
      <w:rPr>
        <w:color w:val="A6A6A6" w:themeColor="background1" w:themeShade="A6"/>
        <w:sz w:val="18"/>
        <w:szCs w:val="18"/>
      </w:rPr>
      <w:t xml:space="preserve"> </w:t>
    </w:r>
    <w:r>
      <w:rPr>
        <w:color w:val="A6A6A6" w:themeColor="background1" w:themeShade="A6"/>
        <w:sz w:val="18"/>
        <w:szCs w:val="18"/>
      </w:rPr>
      <w:t>Full Review</w:t>
    </w:r>
  </w:p>
  <w:p w14:paraId="163F2751" w14:textId="0111B342" w:rsidR="008D5A79" w:rsidRPr="00415BC1" w:rsidRDefault="008D5A79" w:rsidP="00415BC1">
    <w:pPr>
      <w:spacing w:after="0"/>
      <w:jc w:val="center"/>
      <w:rPr>
        <w:b/>
        <w:color w:val="A6A6A6" w:themeColor="background1" w:themeShade="A6"/>
        <w:sz w:val="18"/>
        <w:szCs w:val="18"/>
      </w:rPr>
    </w:pPr>
    <w:r>
      <w:rPr>
        <w:color w:val="A6A6A6" w:themeColor="background1" w:themeShade="A6"/>
        <w:sz w:val="18"/>
        <w:szCs w:val="18"/>
      </w:rPr>
      <w:t>Issue Date: November 2019</w:t>
    </w:r>
    <w:bookmarkEnd w:id="4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FA08C" w14:textId="77777777" w:rsidR="002975A4" w:rsidRPr="009F52F1" w:rsidRDefault="002975A4" w:rsidP="0013691B">
      <w:pPr>
        <w:spacing w:after="0" w:line="240" w:lineRule="auto"/>
      </w:pPr>
      <w:r w:rsidRPr="009F52F1">
        <w:separator/>
      </w:r>
    </w:p>
  </w:footnote>
  <w:footnote w:type="continuationSeparator" w:id="0">
    <w:p w14:paraId="0BDEC515" w14:textId="77777777" w:rsidR="002975A4" w:rsidRPr="009F52F1" w:rsidRDefault="002975A4" w:rsidP="0013691B">
      <w:pPr>
        <w:spacing w:after="0" w:line="240" w:lineRule="auto"/>
      </w:pPr>
      <w:r w:rsidRPr="009F52F1">
        <w:continuationSeparator/>
      </w:r>
    </w:p>
  </w:footnote>
  <w:footnote w:type="continuationNotice" w:id="1">
    <w:p w14:paraId="0E45A0C7" w14:textId="77777777" w:rsidR="002975A4" w:rsidRDefault="002975A4">
      <w:pPr>
        <w:spacing w:after="0" w:line="240" w:lineRule="auto"/>
      </w:pPr>
    </w:p>
  </w:footnote>
  <w:footnote w:id="2">
    <w:p w14:paraId="5F88253B" w14:textId="77777777" w:rsidR="008D5A79" w:rsidRDefault="008D5A79" w:rsidP="0098553B">
      <w:pPr>
        <w:pStyle w:val="FootnoteText"/>
      </w:pPr>
      <w:r>
        <w:rPr>
          <w:rStyle w:val="FootnoteReference"/>
        </w:rPr>
        <w:footnoteRef/>
      </w:r>
      <w:r>
        <w:t xml:space="preserve"> </w:t>
      </w:r>
      <w:r w:rsidRPr="001358AD">
        <w:rPr>
          <w:szCs w:val="16"/>
        </w:rPr>
        <w:t>PAARs</w:t>
      </w:r>
      <w:r>
        <w:rPr>
          <w:szCs w:val="16"/>
        </w:rPr>
        <w:t xml:space="preserve"> </w:t>
      </w:r>
      <w:r w:rsidRPr="001358AD">
        <w:rPr>
          <w:szCs w:val="16"/>
        </w:rPr>
        <w:t>can only be submitted with the Funding Request. To complete a P</w:t>
      </w:r>
      <w:r>
        <w:rPr>
          <w:szCs w:val="16"/>
        </w:rPr>
        <w:t>AAR, fill-in the</w:t>
      </w:r>
      <w:r w:rsidRPr="001358AD">
        <w:rPr>
          <w:szCs w:val="16"/>
        </w:rPr>
        <w:t xml:space="preserve"> Excel template</w:t>
      </w:r>
      <w:r>
        <w:rPr>
          <w:szCs w:val="16"/>
        </w:rPr>
        <w:t xml:space="preserve"> that you will receive from the Global Fund Secretariat.</w:t>
      </w:r>
    </w:p>
  </w:footnote>
  <w:footnote w:id="3">
    <w:p w14:paraId="05093AC7" w14:textId="2F02B014" w:rsidR="008D5A79" w:rsidRDefault="008D5A79" w:rsidP="0098553B">
      <w:pPr>
        <w:pStyle w:val="FootnoteText"/>
      </w:pPr>
      <w:r>
        <w:rPr>
          <w:rStyle w:val="FootnoteReference"/>
        </w:rPr>
        <w:footnoteRef/>
      </w:r>
      <w:r w:rsidRPr="00890D60">
        <w:t>This is only relevant for applicants with designated matching funds as indicated in the allocation letter.</w:t>
      </w:r>
    </w:p>
    <w:p w14:paraId="1529CB48" w14:textId="77777777" w:rsidR="008D5A79" w:rsidRDefault="008D5A79" w:rsidP="0098553B">
      <w:pPr>
        <w:pStyle w:val="FootnoteText"/>
      </w:pPr>
    </w:p>
  </w:footnote>
  <w:footnote w:id="4">
    <w:p w14:paraId="5DADA8BC" w14:textId="77777777" w:rsidR="008D5A79" w:rsidRDefault="008D5A79" w:rsidP="00CD615D">
      <w:r>
        <w:rPr>
          <w:vertAlign w:val="superscript"/>
        </w:rPr>
        <w:footnoteRef/>
      </w:r>
      <w:r>
        <w:t xml:space="preserve"> </w:t>
      </w:r>
      <w:hyperlink r:id="rId1">
        <w:r>
          <w:rPr>
            <w:color w:val="0563C1"/>
            <w:u w:val="single"/>
          </w:rPr>
          <w:t>https://psa.gov.ph/pnha-press-release</w:t>
        </w:r>
      </w:hyperlink>
    </w:p>
    <w:p w14:paraId="6A2F1D32" w14:textId="77777777" w:rsidR="008D5A79" w:rsidRDefault="008D5A79" w:rsidP="00CD615D">
      <w:pPr>
        <w:pBdr>
          <w:top w:val="nil"/>
          <w:left w:val="nil"/>
          <w:bottom w:val="nil"/>
          <w:right w:val="nil"/>
          <w:between w:val="nil"/>
        </w:pBdr>
        <w:rPr>
          <w:color w:val="000000"/>
          <w:sz w:val="20"/>
          <w:szCs w:val="20"/>
        </w:rPr>
      </w:pPr>
    </w:p>
  </w:footnote>
  <w:footnote w:id="5">
    <w:p w14:paraId="4BF94DE3" w14:textId="76808D5A" w:rsidR="008D5A79" w:rsidRDefault="008D5A79">
      <w:pPr>
        <w:pStyle w:val="FootnoteText"/>
      </w:pPr>
      <w:r>
        <w:rPr>
          <w:rStyle w:val="FootnoteReference"/>
        </w:rPr>
        <w:footnoteRef/>
      </w:r>
      <w:r>
        <w:t xml:space="preserve"> AccessTB Project is supporting a 2020 study on the TB clinical diagnosis practice in the Philippines and the TB Inventory Study. Findings and recommendations from these studies will support the NTP and its implementing partners to enhance strategies and approaches to support quality improvement in the TB patient care pathway.</w:t>
      </w:r>
    </w:p>
  </w:footnote>
  <w:footnote w:id="6">
    <w:p w14:paraId="1C9CE458" w14:textId="33DE2329" w:rsidR="008D5A79" w:rsidRPr="008A7134" w:rsidRDefault="008D5A79">
      <w:pPr>
        <w:pStyle w:val="FootnoteText"/>
      </w:pPr>
      <w:r>
        <w:rPr>
          <w:rStyle w:val="FootnoteReference"/>
        </w:rPr>
        <w:footnoteRef/>
      </w:r>
      <w:r>
        <w:t xml:space="preserve"> </w:t>
      </w:r>
      <w:r w:rsidRPr="008A7134">
        <w:rPr>
          <w:rFonts w:cs="Arial"/>
          <w:color w:val="222222"/>
          <w:shd w:val="clear" w:color="auto" w:fill="FFFFFF"/>
        </w:rPr>
        <w:t>Active case finding </w:t>
      </w:r>
      <w:r>
        <w:rPr>
          <w:rFonts w:cs="Arial"/>
          <w:color w:val="222222"/>
          <w:shd w:val="clear" w:color="auto" w:fill="FFFFFF"/>
        </w:rPr>
        <w:t xml:space="preserve">refers to </w:t>
      </w:r>
      <w:r w:rsidRPr="008A7134">
        <w:rPr>
          <w:rFonts w:cs="Arial"/>
          <w:color w:val="222222"/>
          <w:shd w:val="clear" w:color="auto" w:fill="FFFFFF"/>
        </w:rPr>
        <w:t>systematic</w:t>
      </w:r>
      <w:r>
        <w:rPr>
          <w:rFonts w:cs="Arial"/>
          <w:color w:val="222222"/>
          <w:shd w:val="clear" w:color="auto" w:fill="FFFFFF"/>
        </w:rPr>
        <w:t xml:space="preserve"> screening </w:t>
      </w:r>
      <w:r w:rsidRPr="008A7134">
        <w:rPr>
          <w:rFonts w:cs="Arial"/>
          <w:color w:val="222222"/>
          <w:shd w:val="clear" w:color="auto" w:fill="FFFFFF"/>
        </w:rPr>
        <w:t xml:space="preserve">for cases of active tuberculosis and latent infection </w:t>
      </w:r>
      <w:r>
        <w:rPr>
          <w:rFonts w:cs="Arial"/>
          <w:color w:val="222222"/>
          <w:shd w:val="clear" w:color="auto" w:fill="FFFFFF"/>
        </w:rPr>
        <w:t>among high</w:t>
      </w:r>
      <w:r w:rsidRPr="008A7134">
        <w:rPr>
          <w:rFonts w:cs="Arial"/>
          <w:color w:val="222222"/>
          <w:shd w:val="clear" w:color="auto" w:fill="FFFFFF"/>
        </w:rPr>
        <w:t xml:space="preserve"> risk </w:t>
      </w:r>
      <w:r>
        <w:rPr>
          <w:rFonts w:cs="Arial"/>
          <w:color w:val="222222"/>
          <w:shd w:val="clear" w:color="auto" w:fill="FFFFFF"/>
        </w:rPr>
        <w:t xml:space="preserve">groups </w:t>
      </w:r>
      <w:r w:rsidRPr="008A7134">
        <w:rPr>
          <w:rFonts w:cs="Arial"/>
          <w:color w:val="222222"/>
          <w:shd w:val="clear" w:color="auto" w:fill="FFFFFF"/>
        </w:rPr>
        <w:t>rather than waiting for people to develop symptoms/signs of active disease and present themselves for medical attention (passive case finding)</w:t>
      </w:r>
    </w:p>
  </w:footnote>
  <w:footnote w:id="7">
    <w:p w14:paraId="3BAC7E9D" w14:textId="1793B3FB" w:rsidR="008D5A79" w:rsidRDefault="008D5A79">
      <w:pPr>
        <w:pStyle w:val="FootnoteText"/>
      </w:pPr>
      <w:r>
        <w:rPr>
          <w:rStyle w:val="FootnoteReference"/>
        </w:rPr>
        <w:footnoteRef/>
      </w:r>
      <w:r>
        <w:t xml:space="preserve"> Intensified case finding refers to systematic screening among outpatients in high volume facilities using CxR and referring presumptive cases for TB molecular RDT.   </w:t>
      </w:r>
    </w:p>
  </w:footnote>
  <w:footnote w:id="8">
    <w:p w14:paraId="38ECE46E" w14:textId="69E72A53" w:rsidR="008D5A79" w:rsidRDefault="008D5A79">
      <w:pPr>
        <w:pStyle w:val="FootnoteText"/>
      </w:pPr>
      <w:r>
        <w:rPr>
          <w:rStyle w:val="FootnoteReference"/>
        </w:rPr>
        <w:footnoteRef/>
      </w:r>
      <w:r>
        <w:t xml:space="preserve"> Enhanced case finding refers to use of specimen transport mechanisms which support access to limited TB moelcualr RDTs</w:t>
      </w:r>
    </w:p>
  </w:footnote>
  <w:footnote w:id="9">
    <w:p w14:paraId="60233244" w14:textId="33F26AEF" w:rsidR="008D5A79" w:rsidRPr="00CF13E3" w:rsidRDefault="008D5A79" w:rsidP="00CF13E3">
      <w:pPr>
        <w:pStyle w:val="CommentText"/>
        <w:rPr>
          <w:sz w:val="16"/>
          <w:szCs w:val="16"/>
        </w:rPr>
      </w:pPr>
      <w:r w:rsidRPr="00CF13E3">
        <w:rPr>
          <w:rStyle w:val="FootnoteReference"/>
          <w:sz w:val="16"/>
          <w:szCs w:val="16"/>
        </w:rPr>
        <w:footnoteRef/>
      </w:r>
      <w:r w:rsidRPr="00CF13E3">
        <w:rPr>
          <w:sz w:val="16"/>
          <w:szCs w:val="16"/>
        </w:rPr>
        <w:t xml:space="preserve"> Estimated TB cases attributable to risk factors: 137 000 for malnourishment, 74 000 for smoking, 68000 for harmful use of alcohol, 18 000 for diabetes, and 10 000 for HIV. </w:t>
      </w:r>
    </w:p>
    <w:p w14:paraId="00AAF217" w14:textId="414C4121" w:rsidR="008D5A79" w:rsidRDefault="008D5A79">
      <w:pPr>
        <w:pStyle w:val="FootnoteText"/>
      </w:pPr>
    </w:p>
  </w:footnote>
  <w:footnote w:id="10">
    <w:p w14:paraId="33485A57" w14:textId="1DA3E1C4" w:rsidR="008D5A79" w:rsidRPr="00896E68" w:rsidRDefault="008D5A79" w:rsidP="0024579D">
      <w:pPr>
        <w:autoSpaceDE w:val="0"/>
        <w:autoSpaceDN w:val="0"/>
        <w:spacing w:before="40" w:after="40" w:line="240" w:lineRule="auto"/>
        <w:rPr>
          <w:sz w:val="16"/>
          <w:szCs w:val="16"/>
        </w:rPr>
      </w:pPr>
      <w:r w:rsidRPr="00896E68">
        <w:rPr>
          <w:rStyle w:val="FootnoteReference"/>
          <w:sz w:val="16"/>
          <w:szCs w:val="16"/>
        </w:rPr>
        <w:footnoteRef/>
      </w:r>
      <w:r w:rsidRPr="00896E68">
        <w:rPr>
          <w:sz w:val="16"/>
          <w:szCs w:val="16"/>
        </w:rPr>
        <w:t xml:space="preserve"> An updated implementation arrangement map is </w:t>
      </w:r>
      <w:r w:rsidRPr="00896E68">
        <w:rPr>
          <w:rFonts w:asciiTheme="minorHAnsi" w:hAnsiTheme="minorHAnsi" w:cstheme="minorHAnsi"/>
          <w:sz w:val="16"/>
          <w:szCs w:val="16"/>
        </w:rPr>
        <w:t>mandatory if the program is continuing with the same PR(s). In cases where the PR is changing, the implementation arrangement map may be submitted at the grant-making stage.</w:t>
      </w:r>
      <w:r w:rsidRPr="00896E68">
        <w:rPr>
          <w:rFonts w:ascii="Segoe UI" w:hAnsi="Segoe UI" w:cs="Segoe UI"/>
          <w:color w:val="000000"/>
          <w:sz w:val="16"/>
          <w:szCs w:val="16"/>
        </w:rPr>
        <w:t xml:space="preserve"> </w:t>
      </w:r>
    </w:p>
    <w:p w14:paraId="6C0CD0AE" w14:textId="23CE0FFE" w:rsidR="008D5A79" w:rsidRDefault="008D5A79">
      <w:pPr>
        <w:pStyle w:val="FootnoteText"/>
      </w:pPr>
    </w:p>
  </w:footnote>
  <w:footnote w:id="11">
    <w:p w14:paraId="1CF3FD7C" w14:textId="0161E033" w:rsidR="008D5A79" w:rsidRPr="005C32A6" w:rsidRDefault="008D5A79">
      <w:pPr>
        <w:pStyle w:val="FootnoteText"/>
        <w:rPr>
          <w:rFonts w:asciiTheme="minorHAnsi" w:hAnsiTheme="minorHAnsi" w:cstheme="minorHAnsi"/>
        </w:rPr>
      </w:pPr>
      <w:r w:rsidRPr="005C32A6">
        <w:rPr>
          <w:rStyle w:val="FootnoteReference"/>
          <w:rFonts w:asciiTheme="minorHAnsi" w:hAnsiTheme="minorHAnsi" w:cstheme="minorHAnsi"/>
        </w:rPr>
        <w:footnoteRef/>
      </w:r>
      <w:r w:rsidRPr="005C32A6">
        <w:rPr>
          <w:rFonts w:asciiTheme="minorHAnsi" w:hAnsiTheme="minorHAnsi" w:cstheme="minorHAnsi"/>
        </w:rPr>
        <w:t xml:space="preserve"> </w:t>
      </w:r>
      <w:r>
        <w:rPr>
          <w:rFonts w:asciiTheme="minorHAnsi" w:hAnsiTheme="minorHAnsi" w:cstheme="minorHAnsi"/>
          <w:iCs/>
        </w:rPr>
        <w:t>N</w:t>
      </w:r>
      <w:r w:rsidRPr="005C32A6">
        <w:rPr>
          <w:rFonts w:asciiTheme="minorHAnsi" w:hAnsiTheme="minorHAnsi" w:cstheme="minorHAnsi"/>
          <w:iCs/>
        </w:rPr>
        <w:t>ote that information derived from the supporting documentation provided in response to the questions below, including information on funding landscape or domestic commitments, may be made publicly available by the Global Fund</w:t>
      </w:r>
      <w:r w:rsidRPr="005C32A6">
        <w:rPr>
          <w:rFonts w:asciiTheme="minorHAnsi" w:hAnsiTheme="minorHAnsi" w:cstheme="minorHAnsi"/>
        </w:rPr>
        <w:t>.</w:t>
      </w:r>
    </w:p>
  </w:footnote>
  <w:footnote w:id="12">
    <w:p w14:paraId="21F48937" w14:textId="77777777" w:rsidR="008D5A79" w:rsidRPr="00325935" w:rsidRDefault="008D5A79" w:rsidP="00AC4477">
      <w:pPr>
        <w:pStyle w:val="FootnoteText"/>
        <w:rPr>
          <w:rFonts w:ascii="Arial Narrow" w:hAnsi="Arial Narrow"/>
          <w:szCs w:val="16"/>
        </w:rPr>
      </w:pPr>
      <w:r w:rsidRPr="00325935">
        <w:rPr>
          <w:rStyle w:val="FootnoteReference"/>
          <w:rFonts w:ascii="Arial Narrow" w:hAnsi="Arial Narrow"/>
          <w:szCs w:val="16"/>
        </w:rPr>
        <w:footnoteRef/>
      </w:r>
      <w:r w:rsidRPr="00325935">
        <w:rPr>
          <w:rFonts w:ascii="Arial Narrow" w:hAnsi="Arial Narrow"/>
          <w:szCs w:val="16"/>
        </w:rPr>
        <w:t xml:space="preserve"> G.R. No. 199802, July 3, 2018</w:t>
      </w:r>
    </w:p>
    <w:p w14:paraId="3D40D8EC" w14:textId="77777777" w:rsidR="008D5A79" w:rsidRPr="00325935" w:rsidRDefault="008D5A79" w:rsidP="00AC4477">
      <w:pPr>
        <w:pStyle w:val="FootnoteText"/>
        <w:rPr>
          <w:rFonts w:ascii="Arial Narrow" w:hAnsi="Arial Narrow"/>
          <w:szCs w:val="16"/>
        </w:rPr>
      </w:pPr>
    </w:p>
  </w:footnote>
  <w:footnote w:id="13">
    <w:p w14:paraId="54A2E437" w14:textId="77777777" w:rsidR="008D5A79" w:rsidRPr="00896E68" w:rsidRDefault="008D5A79" w:rsidP="00226B41">
      <w:pPr>
        <w:pStyle w:val="FootnoteText"/>
        <w:rPr>
          <w:szCs w:val="16"/>
        </w:rPr>
      </w:pPr>
      <w:r w:rsidRPr="00896E68">
        <w:rPr>
          <w:rStyle w:val="FootnoteReference"/>
          <w:szCs w:val="16"/>
        </w:rPr>
        <w:footnoteRef/>
      </w:r>
      <w:r w:rsidRPr="00896E68">
        <w:rPr>
          <w:szCs w:val="16"/>
        </w:rPr>
        <w:t xml:space="preserve"> </w:t>
      </w:r>
      <w:bookmarkStart w:id="41" w:name="_Hlk14776208"/>
      <w:r w:rsidRPr="00896E68">
        <w:rPr>
          <w:szCs w:val="16"/>
        </w:rPr>
        <w:t>An updated implementation arrangement map is mandatory if the program is continuing with the same PR(s). In cases where the PR is changing, the implementation arrangement map may be submitted at the grant-making stage.</w:t>
      </w:r>
      <w:bookmarkEnd w:id="4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1B8A" w14:textId="38A720E3" w:rsidR="008D5A79" w:rsidRPr="009F52F1" w:rsidRDefault="002975A4" w:rsidP="00D642CC">
    <w:pPr>
      <w:pStyle w:val="HeaderHidden"/>
    </w:pPr>
    <w:sdt>
      <w:sdtPr>
        <w:alias w:val="Form.ReportLocation"/>
        <w:tag w:val="{&quot;templafy&quot;:{&quot;id&quot;:&quot;df3addba-5040-40ab-9b8a-156bd632013e&quot;}}"/>
        <w:id w:val="-2087220409"/>
        <w:placeholder>
          <w:docPart w:val="184E481C97614ACFA5029A0F885399E6"/>
        </w:placeholder>
      </w:sdtPr>
      <w:sdtEndPr/>
      <w:sdtContent>
        <w:r w:rsidR="008D5A79" w:rsidRPr="009F52F1">
          <w:t>Geneva</w:t>
        </w:r>
      </w:sdtContent>
    </w:sdt>
    <w:r w:rsidR="008D5A79" w:rsidRPr="009F52F1">
      <w:t xml:space="preserve">   </w:t>
    </w:r>
    <w:sdt>
      <w:sdtPr>
        <w:alias w:val="Form.ReportCountry"/>
        <w:tag w:val="{&quot;templafy&quot;:{&quot;id&quot;:&quot;c0e2ba74-3394-4c55-b0cc-2fc8a393067e&quot;}}"/>
        <w:id w:val="2010402108"/>
        <w:placeholder>
          <w:docPart w:val="DefaultPlaceholder_-1854013440"/>
        </w:placeholder>
      </w:sdtPr>
      <w:sdtEndPr/>
      <w:sdtContent>
        <w:r w:rsidR="008D5A79" w:rsidRPr="009F52F1">
          <w:t>Switzerland</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77263" w14:textId="77777777" w:rsidR="008D5A79" w:rsidRDefault="008D5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76A59F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B22611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D3E66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90E7E8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A04B29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C414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0E5A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D252B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88E76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19CAA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45F1C"/>
    <w:multiLevelType w:val="hybridMultilevel"/>
    <w:tmpl w:val="DF06A244"/>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11" w15:restartNumberingAfterBreak="0">
    <w:nsid w:val="03951BB2"/>
    <w:multiLevelType w:val="multilevel"/>
    <w:tmpl w:val="8F7AD060"/>
    <w:styleLink w:val="NumbLstBullet"/>
    <w:lvl w:ilvl="0">
      <w:start w:val="1"/>
      <w:numFmt w:val="bullet"/>
      <w:pStyle w:val="Bullet1"/>
      <w:lvlText w:val=""/>
      <w:lvlJc w:val="left"/>
      <w:pPr>
        <w:tabs>
          <w:tab w:val="num" w:pos="397"/>
        </w:tabs>
        <w:ind w:left="397" w:hanging="397"/>
      </w:pPr>
      <w:rPr>
        <w:rFonts w:ascii="Wingdings" w:hAnsi="Wingdings" w:cs="Times New Roman" w:hint="default"/>
        <w:color w:val="auto"/>
      </w:rPr>
    </w:lvl>
    <w:lvl w:ilvl="1">
      <w:start w:val="1"/>
      <w:numFmt w:val="bullet"/>
      <w:pStyle w:val="Bullet2"/>
      <w:lvlText w:val=""/>
      <w:lvlJc w:val="left"/>
      <w:pPr>
        <w:tabs>
          <w:tab w:val="num" w:pos="794"/>
        </w:tabs>
        <w:ind w:left="794" w:hanging="397"/>
      </w:pPr>
      <w:rPr>
        <w:rFonts w:ascii="Wingdings" w:hAnsi="Wingdings" w:cs="Times New Roman" w:hint="default"/>
        <w:color w:val="auto"/>
      </w:rPr>
    </w:lvl>
    <w:lvl w:ilvl="2">
      <w:start w:val="1"/>
      <w:numFmt w:val="bullet"/>
      <w:pStyle w:val="Bullet3"/>
      <w:lvlText w:val=""/>
      <w:lvlJc w:val="left"/>
      <w:pPr>
        <w:tabs>
          <w:tab w:val="num" w:pos="1191"/>
        </w:tabs>
        <w:ind w:left="1191" w:hanging="397"/>
      </w:pPr>
      <w:rPr>
        <w:rFonts w:ascii="Wingdings" w:hAnsi="Wingdings" w:cs="Wingdings" w:hint="default"/>
        <w:color w:val="auto"/>
      </w:rPr>
    </w:lvl>
    <w:lvl w:ilvl="3">
      <w:start w:val="1"/>
      <w:numFmt w:val="none"/>
      <w:suff w:val="nothing"/>
      <w:lvlText w:val=""/>
      <w:lvlJc w:val="left"/>
      <w:pPr>
        <w:ind w:left="1134" w:firstLine="0"/>
      </w:pPr>
      <w:rPr>
        <w:rFonts w:hint="default"/>
      </w:rPr>
    </w:lvl>
    <w:lvl w:ilvl="4">
      <w:start w:val="1"/>
      <w:numFmt w:val="none"/>
      <w:suff w:val="nothing"/>
      <w:lvlText w:val=""/>
      <w:lvlJc w:val="left"/>
      <w:pPr>
        <w:ind w:left="1361" w:firstLine="0"/>
      </w:pPr>
      <w:rPr>
        <w:rFonts w:hint="default"/>
      </w:rPr>
    </w:lvl>
    <w:lvl w:ilvl="5">
      <w:start w:val="1"/>
      <w:numFmt w:val="none"/>
      <w:suff w:val="nothing"/>
      <w:lvlText w:val=""/>
      <w:lvlJc w:val="left"/>
      <w:pPr>
        <w:ind w:left="1134" w:firstLine="0"/>
      </w:pPr>
      <w:rPr>
        <w:rFonts w:hint="default"/>
      </w:rPr>
    </w:lvl>
    <w:lvl w:ilvl="6">
      <w:start w:val="1"/>
      <w:numFmt w:val="none"/>
      <w:suff w:val="nothing"/>
      <w:lvlText w:val=""/>
      <w:lvlJc w:val="left"/>
      <w:pPr>
        <w:ind w:left="1134" w:firstLine="0"/>
      </w:pPr>
      <w:rPr>
        <w:rFonts w:hint="default"/>
      </w:rPr>
    </w:lvl>
    <w:lvl w:ilvl="7">
      <w:start w:val="1"/>
      <w:numFmt w:val="none"/>
      <w:suff w:val="nothing"/>
      <w:lvlText w:val=""/>
      <w:lvlJc w:val="left"/>
      <w:pPr>
        <w:ind w:left="1134" w:firstLine="0"/>
      </w:pPr>
      <w:rPr>
        <w:rFonts w:hint="default"/>
      </w:rPr>
    </w:lvl>
    <w:lvl w:ilvl="8">
      <w:start w:val="1"/>
      <w:numFmt w:val="none"/>
      <w:suff w:val="nothing"/>
      <w:lvlText w:val=""/>
      <w:lvlJc w:val="left"/>
      <w:pPr>
        <w:ind w:left="1134" w:firstLine="0"/>
      </w:pPr>
      <w:rPr>
        <w:rFonts w:hint="default"/>
      </w:rPr>
    </w:lvl>
  </w:abstractNum>
  <w:abstractNum w:abstractNumId="12" w15:restartNumberingAfterBreak="0">
    <w:nsid w:val="044C0A03"/>
    <w:multiLevelType w:val="hybridMultilevel"/>
    <w:tmpl w:val="7462429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15:restartNumberingAfterBreak="0">
    <w:nsid w:val="05FE0668"/>
    <w:multiLevelType w:val="hybridMultilevel"/>
    <w:tmpl w:val="6D2E16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9A81B61"/>
    <w:multiLevelType w:val="hybridMultilevel"/>
    <w:tmpl w:val="FB82369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0BEF0046"/>
    <w:multiLevelType w:val="hybridMultilevel"/>
    <w:tmpl w:val="4D6EE22E"/>
    <w:lvl w:ilvl="0" w:tplc="7ADA8DCC">
      <w:start w:val="1"/>
      <w:numFmt w:val="decimal"/>
      <w:lvlText w:val="%1."/>
      <w:lvlJc w:val="left"/>
      <w:pPr>
        <w:ind w:left="720" w:hanging="360"/>
      </w:pPr>
      <w:rPr>
        <w:rFonts w:ascii="Arial" w:hAnsi="Aria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119B09D4"/>
    <w:multiLevelType w:val="hybridMultilevel"/>
    <w:tmpl w:val="96DAD4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4344584"/>
    <w:multiLevelType w:val="hybridMultilevel"/>
    <w:tmpl w:val="94A4F502"/>
    <w:lvl w:ilvl="0" w:tplc="04090017">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DB92F2D8">
      <w:start w:val="1"/>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576D6B"/>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1C1A5492"/>
    <w:multiLevelType w:val="hybridMultilevel"/>
    <w:tmpl w:val="F3A219E2"/>
    <w:lvl w:ilvl="0" w:tplc="C2E8BC58">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1F843B3E"/>
    <w:multiLevelType w:val="hybridMultilevel"/>
    <w:tmpl w:val="085E37D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2B3C5A3D"/>
    <w:multiLevelType w:val="multilevel"/>
    <w:tmpl w:val="1E0632DE"/>
    <w:styleLink w:val="NumHeadingsLst"/>
    <w:lvl w:ilvl="0">
      <w:start w:val="1"/>
      <w:numFmt w:val="decimal"/>
      <w:pStyle w:val="Heading1"/>
      <w:lvlText w:val="%1."/>
      <w:lvlJc w:val="left"/>
      <w:pPr>
        <w:ind w:left="4077" w:hanging="567"/>
      </w:pPr>
      <w:rPr>
        <w:rFonts w:hint="default"/>
      </w:rPr>
    </w:lvl>
    <w:lvl w:ilvl="1">
      <w:start w:val="1"/>
      <w:numFmt w:val="decimal"/>
      <w:pStyle w:val="Heading2"/>
      <w:lvlText w:val="%1.%2"/>
      <w:lvlJc w:val="left"/>
      <w:pPr>
        <w:ind w:left="567" w:hanging="567"/>
      </w:pPr>
      <w:rPr>
        <w:rFonts w:hint="default"/>
      </w:rPr>
    </w:lvl>
    <w:lvl w:ilvl="2">
      <w:start w:val="1"/>
      <w:numFmt w:val="none"/>
      <w:lvlText w:val=""/>
      <w:lvlJc w:val="left"/>
      <w:pPr>
        <w:ind w:left="567" w:firstLine="0"/>
      </w:pPr>
      <w:rPr>
        <w:rFonts w:hint="default"/>
      </w:rPr>
    </w:lvl>
    <w:lvl w:ilvl="3">
      <w:start w:val="1"/>
      <w:numFmt w:val="none"/>
      <w:lvlText w:val=""/>
      <w:lvlJc w:val="left"/>
      <w:pPr>
        <w:ind w:left="567" w:firstLine="0"/>
      </w:pPr>
      <w:rPr>
        <w:rFonts w:hint="default"/>
      </w:rPr>
    </w:lvl>
    <w:lvl w:ilvl="4">
      <w:start w:val="1"/>
      <w:numFmt w:val="none"/>
      <w:lvlText w:val=""/>
      <w:lvlJc w:val="left"/>
      <w:pPr>
        <w:ind w:left="567" w:firstLine="0"/>
      </w:pPr>
      <w:rPr>
        <w:rFonts w:hint="default"/>
      </w:rPr>
    </w:lvl>
    <w:lvl w:ilvl="5">
      <w:start w:val="1"/>
      <w:numFmt w:val="none"/>
      <w:lvlText w:val=""/>
      <w:lvlJc w:val="left"/>
      <w:pPr>
        <w:ind w:left="567" w:firstLine="0"/>
      </w:pPr>
      <w:rPr>
        <w:rFonts w:hint="default"/>
      </w:rPr>
    </w:lvl>
    <w:lvl w:ilvl="6">
      <w:start w:val="1"/>
      <w:numFmt w:val="none"/>
      <w:lvlText w:val=""/>
      <w:lvlJc w:val="left"/>
      <w:pPr>
        <w:ind w:left="567" w:firstLine="0"/>
      </w:pPr>
      <w:rPr>
        <w:rFonts w:hint="default"/>
      </w:rPr>
    </w:lvl>
    <w:lvl w:ilvl="7">
      <w:start w:val="1"/>
      <w:numFmt w:val="none"/>
      <w:lvlText w:val=""/>
      <w:lvlJc w:val="left"/>
      <w:pPr>
        <w:ind w:left="567" w:firstLine="0"/>
      </w:pPr>
      <w:rPr>
        <w:rFonts w:hint="default"/>
      </w:rPr>
    </w:lvl>
    <w:lvl w:ilvl="8">
      <w:start w:val="1"/>
      <w:numFmt w:val="none"/>
      <w:lvlText w:val=""/>
      <w:lvlJc w:val="left"/>
      <w:pPr>
        <w:ind w:left="567" w:firstLine="0"/>
      </w:pPr>
      <w:rPr>
        <w:rFonts w:hint="default"/>
      </w:rPr>
    </w:lvl>
  </w:abstractNum>
  <w:abstractNum w:abstractNumId="22" w15:restartNumberingAfterBreak="0">
    <w:nsid w:val="2E3C7F30"/>
    <w:multiLevelType w:val="hybridMultilevel"/>
    <w:tmpl w:val="3BE2C2F0"/>
    <w:lvl w:ilvl="0" w:tplc="2C58A81A">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F0A3BFB"/>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F447071"/>
    <w:multiLevelType w:val="hybridMultilevel"/>
    <w:tmpl w:val="F71458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306F4DF2"/>
    <w:multiLevelType w:val="hybridMultilevel"/>
    <w:tmpl w:val="08420C2E"/>
    <w:lvl w:ilvl="0" w:tplc="04090017">
      <w:start w:val="1"/>
      <w:numFmt w:val="lowerLetter"/>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EB0913"/>
    <w:multiLevelType w:val="hybridMultilevel"/>
    <w:tmpl w:val="B5C6E54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7" w15:restartNumberingAfterBreak="0">
    <w:nsid w:val="37C23EBD"/>
    <w:multiLevelType w:val="hybridMultilevel"/>
    <w:tmpl w:val="7916DB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3AB20786"/>
    <w:multiLevelType w:val="multilevel"/>
    <w:tmpl w:val="A17A51C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ADD5D21"/>
    <w:multiLevelType w:val="hybridMultilevel"/>
    <w:tmpl w:val="F2B6BB68"/>
    <w:lvl w:ilvl="0" w:tplc="3409000F">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0" w15:restartNumberingAfterBreak="0">
    <w:nsid w:val="3DC26A19"/>
    <w:multiLevelType w:val="hybridMultilevel"/>
    <w:tmpl w:val="2C065386"/>
    <w:lvl w:ilvl="0" w:tplc="34090001">
      <w:start w:val="1"/>
      <w:numFmt w:val="bullet"/>
      <w:lvlText w:val=""/>
      <w:lvlJc w:val="left"/>
      <w:pPr>
        <w:ind w:left="750" w:hanging="360"/>
      </w:pPr>
      <w:rPr>
        <w:rFonts w:ascii="Symbol" w:hAnsi="Symbol" w:hint="default"/>
      </w:rPr>
    </w:lvl>
    <w:lvl w:ilvl="1" w:tplc="34090003" w:tentative="1">
      <w:start w:val="1"/>
      <w:numFmt w:val="bullet"/>
      <w:lvlText w:val="o"/>
      <w:lvlJc w:val="left"/>
      <w:pPr>
        <w:ind w:left="1470" w:hanging="360"/>
      </w:pPr>
      <w:rPr>
        <w:rFonts w:ascii="Courier New" w:hAnsi="Courier New" w:cs="Courier New" w:hint="default"/>
      </w:rPr>
    </w:lvl>
    <w:lvl w:ilvl="2" w:tplc="34090005" w:tentative="1">
      <w:start w:val="1"/>
      <w:numFmt w:val="bullet"/>
      <w:lvlText w:val=""/>
      <w:lvlJc w:val="left"/>
      <w:pPr>
        <w:ind w:left="2190" w:hanging="360"/>
      </w:pPr>
      <w:rPr>
        <w:rFonts w:ascii="Wingdings" w:hAnsi="Wingdings" w:hint="default"/>
      </w:rPr>
    </w:lvl>
    <w:lvl w:ilvl="3" w:tplc="34090001" w:tentative="1">
      <w:start w:val="1"/>
      <w:numFmt w:val="bullet"/>
      <w:lvlText w:val=""/>
      <w:lvlJc w:val="left"/>
      <w:pPr>
        <w:ind w:left="2910" w:hanging="360"/>
      </w:pPr>
      <w:rPr>
        <w:rFonts w:ascii="Symbol" w:hAnsi="Symbol" w:hint="default"/>
      </w:rPr>
    </w:lvl>
    <w:lvl w:ilvl="4" w:tplc="34090003" w:tentative="1">
      <w:start w:val="1"/>
      <w:numFmt w:val="bullet"/>
      <w:lvlText w:val="o"/>
      <w:lvlJc w:val="left"/>
      <w:pPr>
        <w:ind w:left="3630" w:hanging="360"/>
      </w:pPr>
      <w:rPr>
        <w:rFonts w:ascii="Courier New" w:hAnsi="Courier New" w:cs="Courier New" w:hint="default"/>
      </w:rPr>
    </w:lvl>
    <w:lvl w:ilvl="5" w:tplc="34090005" w:tentative="1">
      <w:start w:val="1"/>
      <w:numFmt w:val="bullet"/>
      <w:lvlText w:val=""/>
      <w:lvlJc w:val="left"/>
      <w:pPr>
        <w:ind w:left="4350" w:hanging="360"/>
      </w:pPr>
      <w:rPr>
        <w:rFonts w:ascii="Wingdings" w:hAnsi="Wingdings" w:hint="default"/>
      </w:rPr>
    </w:lvl>
    <w:lvl w:ilvl="6" w:tplc="34090001" w:tentative="1">
      <w:start w:val="1"/>
      <w:numFmt w:val="bullet"/>
      <w:lvlText w:val=""/>
      <w:lvlJc w:val="left"/>
      <w:pPr>
        <w:ind w:left="5070" w:hanging="360"/>
      </w:pPr>
      <w:rPr>
        <w:rFonts w:ascii="Symbol" w:hAnsi="Symbol" w:hint="default"/>
      </w:rPr>
    </w:lvl>
    <w:lvl w:ilvl="7" w:tplc="34090003" w:tentative="1">
      <w:start w:val="1"/>
      <w:numFmt w:val="bullet"/>
      <w:lvlText w:val="o"/>
      <w:lvlJc w:val="left"/>
      <w:pPr>
        <w:ind w:left="5790" w:hanging="360"/>
      </w:pPr>
      <w:rPr>
        <w:rFonts w:ascii="Courier New" w:hAnsi="Courier New" w:cs="Courier New" w:hint="default"/>
      </w:rPr>
    </w:lvl>
    <w:lvl w:ilvl="8" w:tplc="34090005" w:tentative="1">
      <w:start w:val="1"/>
      <w:numFmt w:val="bullet"/>
      <w:lvlText w:val=""/>
      <w:lvlJc w:val="left"/>
      <w:pPr>
        <w:ind w:left="6510" w:hanging="360"/>
      </w:pPr>
      <w:rPr>
        <w:rFonts w:ascii="Wingdings" w:hAnsi="Wingdings" w:hint="default"/>
      </w:rPr>
    </w:lvl>
  </w:abstractNum>
  <w:abstractNum w:abstractNumId="31" w15:restartNumberingAfterBreak="0">
    <w:nsid w:val="46A43806"/>
    <w:multiLevelType w:val="multilevel"/>
    <w:tmpl w:val="E00CD05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7500DFC"/>
    <w:multiLevelType w:val="hybridMultilevel"/>
    <w:tmpl w:val="59B4C5FC"/>
    <w:lvl w:ilvl="0" w:tplc="04090017">
      <w:start w:val="1"/>
      <w:numFmt w:val="lowerLetter"/>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81DD1"/>
    <w:multiLevelType w:val="hybridMultilevel"/>
    <w:tmpl w:val="319A2A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48FF131A"/>
    <w:multiLevelType w:val="multilevel"/>
    <w:tmpl w:val="17A0D06E"/>
    <w:styleLink w:val="NumbListAlpha"/>
    <w:lvl w:ilvl="0">
      <w:start w:val="1"/>
      <w:numFmt w:val="lowerLetter"/>
      <w:pStyle w:val="AlphaList1"/>
      <w:lvlText w:val="%1."/>
      <w:lvlJc w:val="left"/>
      <w:pPr>
        <w:tabs>
          <w:tab w:val="num" w:pos="397"/>
        </w:tabs>
        <w:ind w:left="397" w:hanging="397"/>
      </w:pPr>
      <w:rPr>
        <w:rFonts w:hint="default"/>
      </w:rPr>
    </w:lvl>
    <w:lvl w:ilvl="1">
      <w:start w:val="1"/>
      <w:numFmt w:val="lowerRoman"/>
      <w:pStyle w:val="AlphaList2"/>
      <w:lvlText w:val="%2."/>
      <w:lvlJc w:val="left"/>
      <w:pPr>
        <w:tabs>
          <w:tab w:val="num" w:pos="794"/>
        </w:tabs>
        <w:ind w:left="794" w:hanging="397"/>
      </w:pPr>
      <w:rPr>
        <w:rFonts w:hint="default"/>
      </w:rPr>
    </w:lvl>
    <w:lvl w:ilvl="2">
      <w:start w:val="1"/>
      <w:numFmt w:val="none"/>
      <w:suff w:val="nothing"/>
      <w:lvlText w:val=""/>
      <w:lvlJc w:val="left"/>
      <w:pPr>
        <w:ind w:left="794" w:hanging="397"/>
      </w:pPr>
      <w:rPr>
        <w:rFonts w:hint="default"/>
      </w:rPr>
    </w:lvl>
    <w:lvl w:ilvl="3">
      <w:start w:val="1"/>
      <w:numFmt w:val="none"/>
      <w:suff w:val="nothing"/>
      <w:lvlText w:val=""/>
      <w:lvlJc w:val="left"/>
      <w:pPr>
        <w:ind w:left="794" w:hanging="397"/>
      </w:pPr>
      <w:rPr>
        <w:rFonts w:hint="default"/>
      </w:rPr>
    </w:lvl>
    <w:lvl w:ilvl="4">
      <w:start w:val="1"/>
      <w:numFmt w:val="none"/>
      <w:suff w:val="nothing"/>
      <w:lvlText w:val=""/>
      <w:lvlJc w:val="left"/>
      <w:pPr>
        <w:ind w:left="794" w:hanging="397"/>
      </w:pPr>
      <w:rPr>
        <w:rFonts w:hint="default"/>
      </w:rPr>
    </w:lvl>
    <w:lvl w:ilvl="5">
      <w:start w:val="1"/>
      <w:numFmt w:val="none"/>
      <w:suff w:val="nothing"/>
      <w:lvlText w:val=""/>
      <w:lvlJc w:val="left"/>
      <w:pPr>
        <w:ind w:left="794" w:hanging="397"/>
      </w:pPr>
      <w:rPr>
        <w:rFonts w:hint="default"/>
      </w:rPr>
    </w:lvl>
    <w:lvl w:ilvl="6">
      <w:start w:val="1"/>
      <w:numFmt w:val="none"/>
      <w:suff w:val="nothing"/>
      <w:lvlText w:val=""/>
      <w:lvlJc w:val="left"/>
      <w:pPr>
        <w:ind w:left="794" w:hanging="397"/>
      </w:pPr>
      <w:rPr>
        <w:rFonts w:hint="default"/>
      </w:rPr>
    </w:lvl>
    <w:lvl w:ilvl="7">
      <w:start w:val="1"/>
      <w:numFmt w:val="none"/>
      <w:suff w:val="nothing"/>
      <w:lvlText w:val=""/>
      <w:lvlJc w:val="left"/>
      <w:pPr>
        <w:ind w:left="794" w:hanging="397"/>
      </w:pPr>
      <w:rPr>
        <w:rFonts w:hint="default"/>
      </w:rPr>
    </w:lvl>
    <w:lvl w:ilvl="8">
      <w:start w:val="1"/>
      <w:numFmt w:val="none"/>
      <w:lvlRestart w:val="3"/>
      <w:suff w:val="nothing"/>
      <w:lvlText w:val=""/>
      <w:lvlJc w:val="left"/>
      <w:pPr>
        <w:ind w:left="794" w:hanging="397"/>
      </w:pPr>
      <w:rPr>
        <w:rFonts w:hint="default"/>
      </w:rPr>
    </w:lvl>
  </w:abstractNum>
  <w:abstractNum w:abstractNumId="35" w15:restartNumberingAfterBreak="0">
    <w:nsid w:val="4CAB0BA9"/>
    <w:multiLevelType w:val="hybridMultilevel"/>
    <w:tmpl w:val="2A2E706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6" w15:restartNumberingAfterBreak="0">
    <w:nsid w:val="4D447071"/>
    <w:multiLevelType w:val="hybridMultilevel"/>
    <w:tmpl w:val="D50A5BF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7" w15:restartNumberingAfterBreak="0">
    <w:nsid w:val="4ECF31C0"/>
    <w:multiLevelType w:val="multilevel"/>
    <w:tmpl w:val="17A0D06E"/>
    <w:numStyleLink w:val="NumbListAlpha"/>
  </w:abstractNum>
  <w:abstractNum w:abstractNumId="38" w15:restartNumberingAfterBreak="0">
    <w:nsid w:val="50EB2012"/>
    <w:multiLevelType w:val="multilevel"/>
    <w:tmpl w:val="09C073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8C95E70"/>
    <w:multiLevelType w:val="hybridMultilevel"/>
    <w:tmpl w:val="51246342"/>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0" w15:restartNumberingAfterBreak="0">
    <w:nsid w:val="58FF6F8E"/>
    <w:multiLevelType w:val="hybridMultilevel"/>
    <w:tmpl w:val="F38258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5ABD464E"/>
    <w:multiLevelType w:val="hybridMultilevel"/>
    <w:tmpl w:val="BB948D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5B06318B"/>
    <w:multiLevelType w:val="hybridMultilevel"/>
    <w:tmpl w:val="CDF25F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5C1A19AF"/>
    <w:multiLevelType w:val="hybridMultilevel"/>
    <w:tmpl w:val="2D0C8D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5C881F4F"/>
    <w:multiLevelType w:val="hybridMultilevel"/>
    <w:tmpl w:val="02D861E6"/>
    <w:lvl w:ilvl="0" w:tplc="04090017">
      <w:start w:val="1"/>
      <w:numFmt w:val="lowerLetter"/>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D8617DF"/>
    <w:multiLevelType w:val="hybridMultilevel"/>
    <w:tmpl w:val="18CCB2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5D8629BB"/>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60747B73"/>
    <w:multiLevelType w:val="hybridMultilevel"/>
    <w:tmpl w:val="794CE40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8" w15:restartNumberingAfterBreak="0">
    <w:nsid w:val="64D22995"/>
    <w:multiLevelType w:val="hybridMultilevel"/>
    <w:tmpl w:val="EAFA26A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9" w15:restartNumberingAfterBreak="0">
    <w:nsid w:val="657F7515"/>
    <w:multiLevelType w:val="hybridMultilevel"/>
    <w:tmpl w:val="131A510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0" w15:restartNumberingAfterBreak="0">
    <w:nsid w:val="67A61F8E"/>
    <w:multiLevelType w:val="hybridMultilevel"/>
    <w:tmpl w:val="73EE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E80A85"/>
    <w:multiLevelType w:val="hybridMultilevel"/>
    <w:tmpl w:val="9AC2B27A"/>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314DBC"/>
    <w:multiLevelType w:val="hybridMultilevel"/>
    <w:tmpl w:val="0B3C4D3E"/>
    <w:lvl w:ilvl="0" w:tplc="784C861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582565E"/>
    <w:multiLevelType w:val="hybridMultilevel"/>
    <w:tmpl w:val="4044BA3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4" w15:restartNumberingAfterBreak="0">
    <w:nsid w:val="79592B8E"/>
    <w:multiLevelType w:val="hybridMultilevel"/>
    <w:tmpl w:val="D59EC5E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7BE43D49"/>
    <w:multiLevelType w:val="hybridMultilevel"/>
    <w:tmpl w:val="922293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7D1438F3"/>
    <w:multiLevelType w:val="hybridMultilevel"/>
    <w:tmpl w:val="F8EAD2B2"/>
    <w:lvl w:ilvl="0" w:tplc="8A0A223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7D8811CA"/>
    <w:multiLevelType w:val="hybridMultilevel"/>
    <w:tmpl w:val="466AB1C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8" w15:restartNumberingAfterBreak="0">
    <w:nsid w:val="7EFD739E"/>
    <w:multiLevelType w:val="hybridMultilevel"/>
    <w:tmpl w:val="A05C790A"/>
    <w:lvl w:ilvl="0" w:tplc="2DEC0854">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4"/>
  </w:num>
  <w:num w:numId="13">
    <w:abstractNumId w:val="21"/>
  </w:num>
  <w:num w:numId="14">
    <w:abstractNumId w:val="37"/>
  </w:num>
  <w:num w:numId="15">
    <w:abstractNumId w:val="23"/>
  </w:num>
  <w:num w:numId="16">
    <w:abstractNumId w:val="46"/>
  </w:num>
  <w:num w:numId="17">
    <w:abstractNumId w:val="18"/>
  </w:num>
  <w:num w:numId="18">
    <w:abstractNumId w:val="17"/>
  </w:num>
  <w:num w:numId="19">
    <w:abstractNumId w:val="44"/>
  </w:num>
  <w:num w:numId="20">
    <w:abstractNumId w:val="32"/>
  </w:num>
  <w:num w:numId="21">
    <w:abstractNumId w:val="42"/>
  </w:num>
  <w:num w:numId="22">
    <w:abstractNumId w:val="25"/>
  </w:num>
  <w:num w:numId="23">
    <w:abstractNumId w:val="50"/>
  </w:num>
  <w:num w:numId="24">
    <w:abstractNumId w:val="38"/>
  </w:num>
  <w:num w:numId="25">
    <w:abstractNumId w:val="31"/>
  </w:num>
  <w:num w:numId="26">
    <w:abstractNumId w:val="28"/>
  </w:num>
  <w:num w:numId="27">
    <w:abstractNumId w:val="51"/>
  </w:num>
  <w:num w:numId="28">
    <w:abstractNumId w:val="19"/>
  </w:num>
  <w:num w:numId="29">
    <w:abstractNumId w:val="24"/>
  </w:num>
  <w:num w:numId="30">
    <w:abstractNumId w:val="20"/>
  </w:num>
  <w:num w:numId="31">
    <w:abstractNumId w:val="49"/>
  </w:num>
  <w:num w:numId="32">
    <w:abstractNumId w:val="27"/>
  </w:num>
  <w:num w:numId="33">
    <w:abstractNumId w:val="43"/>
  </w:num>
  <w:num w:numId="34">
    <w:abstractNumId w:val="15"/>
  </w:num>
  <w:num w:numId="35">
    <w:abstractNumId w:val="52"/>
  </w:num>
  <w:num w:numId="36">
    <w:abstractNumId w:val="58"/>
  </w:num>
  <w:num w:numId="37">
    <w:abstractNumId w:val="22"/>
  </w:num>
  <w:num w:numId="38">
    <w:abstractNumId w:val="30"/>
  </w:num>
  <w:num w:numId="39">
    <w:abstractNumId w:val="39"/>
  </w:num>
  <w:num w:numId="40">
    <w:abstractNumId w:val="29"/>
  </w:num>
  <w:num w:numId="41">
    <w:abstractNumId w:val="36"/>
  </w:num>
  <w:num w:numId="42">
    <w:abstractNumId w:val="26"/>
  </w:num>
  <w:num w:numId="43">
    <w:abstractNumId w:val="35"/>
  </w:num>
  <w:num w:numId="44">
    <w:abstractNumId w:val="12"/>
  </w:num>
  <w:num w:numId="45">
    <w:abstractNumId w:val="47"/>
  </w:num>
  <w:num w:numId="46">
    <w:abstractNumId w:val="53"/>
  </w:num>
  <w:num w:numId="47">
    <w:abstractNumId w:val="14"/>
  </w:num>
  <w:num w:numId="48">
    <w:abstractNumId w:val="57"/>
  </w:num>
  <w:num w:numId="49">
    <w:abstractNumId w:val="41"/>
  </w:num>
  <w:num w:numId="50">
    <w:abstractNumId w:val="48"/>
  </w:num>
  <w:num w:numId="51">
    <w:abstractNumId w:val="56"/>
  </w:num>
  <w:num w:numId="52">
    <w:abstractNumId w:val="54"/>
  </w:num>
  <w:num w:numId="53">
    <w:abstractNumId w:val="33"/>
  </w:num>
  <w:num w:numId="54">
    <w:abstractNumId w:val="13"/>
  </w:num>
  <w:num w:numId="55">
    <w:abstractNumId w:val="55"/>
  </w:num>
  <w:num w:numId="56">
    <w:abstractNumId w:val="45"/>
  </w:num>
  <w:num w:numId="57">
    <w:abstractNumId w:val="16"/>
  </w:num>
  <w:num w:numId="58">
    <w:abstractNumId w:val="40"/>
  </w:num>
  <w:num w:numId="59">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hdrShapeDefaults>
    <o:shapedefaults v:ext="edit" spidmax="2049"/>
  </w:hdrShapeDefaults>
  <w:footnotePr>
    <w:footnote w:id="-1"/>
    <w:footnote w:id="0"/>
    <w:footnote w:id="1"/>
  </w:footnotePr>
  <w:endnotePr>
    <w:numFmt w:val="chicago"/>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Type" w:val="ReportCol1"/>
    <w:docVar w:name="Template" w:val="GF Report Template 1 Column.dotx"/>
  </w:docVars>
  <w:rsids>
    <w:rsidRoot w:val="00D8465B"/>
    <w:rsid w:val="000010E9"/>
    <w:rsid w:val="00001408"/>
    <w:rsid w:val="000027DE"/>
    <w:rsid w:val="00003615"/>
    <w:rsid w:val="000066A3"/>
    <w:rsid w:val="000067A2"/>
    <w:rsid w:val="000067AC"/>
    <w:rsid w:val="0000735D"/>
    <w:rsid w:val="00007809"/>
    <w:rsid w:val="00010133"/>
    <w:rsid w:val="00011D89"/>
    <w:rsid w:val="00012D5F"/>
    <w:rsid w:val="000226A7"/>
    <w:rsid w:val="00024539"/>
    <w:rsid w:val="00024DFE"/>
    <w:rsid w:val="0002593E"/>
    <w:rsid w:val="00025B85"/>
    <w:rsid w:val="00026B43"/>
    <w:rsid w:val="0002709B"/>
    <w:rsid w:val="00027A77"/>
    <w:rsid w:val="00027D89"/>
    <w:rsid w:val="00030097"/>
    <w:rsid w:val="00031C81"/>
    <w:rsid w:val="00034984"/>
    <w:rsid w:val="00036627"/>
    <w:rsid w:val="0003674B"/>
    <w:rsid w:val="000451C3"/>
    <w:rsid w:val="00047C4F"/>
    <w:rsid w:val="00051A41"/>
    <w:rsid w:val="00052207"/>
    <w:rsid w:val="00052C3F"/>
    <w:rsid w:val="00054E5F"/>
    <w:rsid w:val="00057F5E"/>
    <w:rsid w:val="0006089C"/>
    <w:rsid w:val="00064171"/>
    <w:rsid w:val="00070F3D"/>
    <w:rsid w:val="00071982"/>
    <w:rsid w:val="0007555F"/>
    <w:rsid w:val="000824DB"/>
    <w:rsid w:val="00084F72"/>
    <w:rsid w:val="000875D3"/>
    <w:rsid w:val="000939CC"/>
    <w:rsid w:val="00097473"/>
    <w:rsid w:val="0009776D"/>
    <w:rsid w:val="000B01EB"/>
    <w:rsid w:val="000B0A5E"/>
    <w:rsid w:val="000B29EC"/>
    <w:rsid w:val="000B3D06"/>
    <w:rsid w:val="000B5746"/>
    <w:rsid w:val="000C27E7"/>
    <w:rsid w:val="000C377B"/>
    <w:rsid w:val="000C4145"/>
    <w:rsid w:val="000C4A65"/>
    <w:rsid w:val="000C647F"/>
    <w:rsid w:val="000C6718"/>
    <w:rsid w:val="000D0B32"/>
    <w:rsid w:val="000D3875"/>
    <w:rsid w:val="000D447C"/>
    <w:rsid w:val="000D4C1A"/>
    <w:rsid w:val="000E257D"/>
    <w:rsid w:val="000E4E8B"/>
    <w:rsid w:val="000E4EBC"/>
    <w:rsid w:val="000E5BFC"/>
    <w:rsid w:val="000F1DDA"/>
    <w:rsid w:val="000F55C3"/>
    <w:rsid w:val="000F5BD5"/>
    <w:rsid w:val="000F67F9"/>
    <w:rsid w:val="000F74ED"/>
    <w:rsid w:val="001052B0"/>
    <w:rsid w:val="00107095"/>
    <w:rsid w:val="00110820"/>
    <w:rsid w:val="001155D7"/>
    <w:rsid w:val="0012085B"/>
    <w:rsid w:val="00122D1D"/>
    <w:rsid w:val="00131851"/>
    <w:rsid w:val="00133325"/>
    <w:rsid w:val="0013691B"/>
    <w:rsid w:val="00137E99"/>
    <w:rsid w:val="00142FE7"/>
    <w:rsid w:val="00146F18"/>
    <w:rsid w:val="001476CB"/>
    <w:rsid w:val="00147DD4"/>
    <w:rsid w:val="00150362"/>
    <w:rsid w:val="00151A3B"/>
    <w:rsid w:val="001526C6"/>
    <w:rsid w:val="001529A6"/>
    <w:rsid w:val="0015388D"/>
    <w:rsid w:val="001540E2"/>
    <w:rsid w:val="001608C9"/>
    <w:rsid w:val="00166732"/>
    <w:rsid w:val="00166801"/>
    <w:rsid w:val="00171C99"/>
    <w:rsid w:val="00172A9E"/>
    <w:rsid w:val="00173750"/>
    <w:rsid w:val="00173817"/>
    <w:rsid w:val="00175C83"/>
    <w:rsid w:val="0017600E"/>
    <w:rsid w:val="0018557F"/>
    <w:rsid w:val="00187E3E"/>
    <w:rsid w:val="00193972"/>
    <w:rsid w:val="00194445"/>
    <w:rsid w:val="001947A2"/>
    <w:rsid w:val="00195605"/>
    <w:rsid w:val="00196C55"/>
    <w:rsid w:val="00197AE7"/>
    <w:rsid w:val="00197EF1"/>
    <w:rsid w:val="001A1211"/>
    <w:rsid w:val="001A1A15"/>
    <w:rsid w:val="001B0AEA"/>
    <w:rsid w:val="001B19F1"/>
    <w:rsid w:val="001B4CC6"/>
    <w:rsid w:val="001B52C3"/>
    <w:rsid w:val="001C2F6B"/>
    <w:rsid w:val="001C3DD1"/>
    <w:rsid w:val="001C4A0C"/>
    <w:rsid w:val="001C4F53"/>
    <w:rsid w:val="001D0181"/>
    <w:rsid w:val="001D4280"/>
    <w:rsid w:val="001D6936"/>
    <w:rsid w:val="001E309E"/>
    <w:rsid w:val="001F3BE7"/>
    <w:rsid w:val="001F4252"/>
    <w:rsid w:val="00201E26"/>
    <w:rsid w:val="0020377F"/>
    <w:rsid w:val="0021156A"/>
    <w:rsid w:val="002137C2"/>
    <w:rsid w:val="00213865"/>
    <w:rsid w:val="00214BAD"/>
    <w:rsid w:val="00221598"/>
    <w:rsid w:val="00221BD7"/>
    <w:rsid w:val="002234D1"/>
    <w:rsid w:val="00225203"/>
    <w:rsid w:val="0022691A"/>
    <w:rsid w:val="00226B41"/>
    <w:rsid w:val="002279BE"/>
    <w:rsid w:val="0023031E"/>
    <w:rsid w:val="0023295B"/>
    <w:rsid w:val="00233EAC"/>
    <w:rsid w:val="00235BB3"/>
    <w:rsid w:val="00235CA2"/>
    <w:rsid w:val="00236822"/>
    <w:rsid w:val="002368D8"/>
    <w:rsid w:val="0024020E"/>
    <w:rsid w:val="00243FB2"/>
    <w:rsid w:val="0024579D"/>
    <w:rsid w:val="00250AD1"/>
    <w:rsid w:val="0025351E"/>
    <w:rsid w:val="00254D2F"/>
    <w:rsid w:val="00255C18"/>
    <w:rsid w:val="00266AEC"/>
    <w:rsid w:val="0027163F"/>
    <w:rsid w:val="00273746"/>
    <w:rsid w:val="00274301"/>
    <w:rsid w:val="002759B2"/>
    <w:rsid w:val="00276608"/>
    <w:rsid w:val="00280403"/>
    <w:rsid w:val="00281B38"/>
    <w:rsid w:val="00284808"/>
    <w:rsid w:val="00286387"/>
    <w:rsid w:val="002938CB"/>
    <w:rsid w:val="002960DD"/>
    <w:rsid w:val="002975A4"/>
    <w:rsid w:val="0029796C"/>
    <w:rsid w:val="002A1D61"/>
    <w:rsid w:val="002A378C"/>
    <w:rsid w:val="002A4684"/>
    <w:rsid w:val="002A4F08"/>
    <w:rsid w:val="002A525A"/>
    <w:rsid w:val="002A5B89"/>
    <w:rsid w:val="002A6BB0"/>
    <w:rsid w:val="002A72DB"/>
    <w:rsid w:val="002A7635"/>
    <w:rsid w:val="002A79E1"/>
    <w:rsid w:val="002B07E9"/>
    <w:rsid w:val="002B0F35"/>
    <w:rsid w:val="002B3677"/>
    <w:rsid w:val="002C35FE"/>
    <w:rsid w:val="002C3CEB"/>
    <w:rsid w:val="002C587D"/>
    <w:rsid w:val="002D08F9"/>
    <w:rsid w:val="002D2E13"/>
    <w:rsid w:val="002E17EC"/>
    <w:rsid w:val="002E353B"/>
    <w:rsid w:val="002E7AA7"/>
    <w:rsid w:val="002F10A1"/>
    <w:rsid w:val="002F1E39"/>
    <w:rsid w:val="002F1FE6"/>
    <w:rsid w:val="002F23B7"/>
    <w:rsid w:val="002F2F7C"/>
    <w:rsid w:val="002F3609"/>
    <w:rsid w:val="002F38C0"/>
    <w:rsid w:val="002F44D7"/>
    <w:rsid w:val="002F6CF4"/>
    <w:rsid w:val="002F7706"/>
    <w:rsid w:val="002F7EEC"/>
    <w:rsid w:val="00303F18"/>
    <w:rsid w:val="00304EE8"/>
    <w:rsid w:val="003068C1"/>
    <w:rsid w:val="00311EA8"/>
    <w:rsid w:val="003122A9"/>
    <w:rsid w:val="003122E8"/>
    <w:rsid w:val="00313D6E"/>
    <w:rsid w:val="00314800"/>
    <w:rsid w:val="00315BCF"/>
    <w:rsid w:val="003162BA"/>
    <w:rsid w:val="00320211"/>
    <w:rsid w:val="003211C2"/>
    <w:rsid w:val="003276AB"/>
    <w:rsid w:val="00332A8A"/>
    <w:rsid w:val="00341B45"/>
    <w:rsid w:val="003440ED"/>
    <w:rsid w:val="003456D3"/>
    <w:rsid w:val="0034679C"/>
    <w:rsid w:val="00351972"/>
    <w:rsid w:val="00357159"/>
    <w:rsid w:val="00360127"/>
    <w:rsid w:val="00364326"/>
    <w:rsid w:val="00364347"/>
    <w:rsid w:val="003752FE"/>
    <w:rsid w:val="00380977"/>
    <w:rsid w:val="0038486D"/>
    <w:rsid w:val="00385DDA"/>
    <w:rsid w:val="00386FFD"/>
    <w:rsid w:val="00387FB7"/>
    <w:rsid w:val="00394066"/>
    <w:rsid w:val="00395135"/>
    <w:rsid w:val="003958BE"/>
    <w:rsid w:val="003A0F8A"/>
    <w:rsid w:val="003A12AD"/>
    <w:rsid w:val="003A1F32"/>
    <w:rsid w:val="003A4459"/>
    <w:rsid w:val="003A5EB1"/>
    <w:rsid w:val="003A7307"/>
    <w:rsid w:val="003A76B4"/>
    <w:rsid w:val="003B09C8"/>
    <w:rsid w:val="003B19BC"/>
    <w:rsid w:val="003B4F1C"/>
    <w:rsid w:val="003C1B00"/>
    <w:rsid w:val="003C20C5"/>
    <w:rsid w:val="003C4F1B"/>
    <w:rsid w:val="003C5187"/>
    <w:rsid w:val="003C734E"/>
    <w:rsid w:val="003C7B23"/>
    <w:rsid w:val="003D4795"/>
    <w:rsid w:val="003D64DD"/>
    <w:rsid w:val="003D6A5B"/>
    <w:rsid w:val="003D70F4"/>
    <w:rsid w:val="003D767C"/>
    <w:rsid w:val="003E1DB0"/>
    <w:rsid w:val="003E5DCA"/>
    <w:rsid w:val="003E6503"/>
    <w:rsid w:val="003F167F"/>
    <w:rsid w:val="003F2658"/>
    <w:rsid w:val="003F3B7B"/>
    <w:rsid w:val="003F4F26"/>
    <w:rsid w:val="004010BD"/>
    <w:rsid w:val="00401BAE"/>
    <w:rsid w:val="00404332"/>
    <w:rsid w:val="004070A9"/>
    <w:rsid w:val="00410AD8"/>
    <w:rsid w:val="00412E24"/>
    <w:rsid w:val="00413D25"/>
    <w:rsid w:val="00415BC1"/>
    <w:rsid w:val="00421004"/>
    <w:rsid w:val="00421608"/>
    <w:rsid w:val="00424998"/>
    <w:rsid w:val="00425DE1"/>
    <w:rsid w:val="00430BC4"/>
    <w:rsid w:val="004345DC"/>
    <w:rsid w:val="0043699F"/>
    <w:rsid w:val="00437DC3"/>
    <w:rsid w:val="00441578"/>
    <w:rsid w:val="00442F9B"/>
    <w:rsid w:val="004431F4"/>
    <w:rsid w:val="004456B9"/>
    <w:rsid w:val="004476BB"/>
    <w:rsid w:val="00451CBE"/>
    <w:rsid w:val="00453C7D"/>
    <w:rsid w:val="004544BB"/>
    <w:rsid w:val="004551D2"/>
    <w:rsid w:val="00456AC4"/>
    <w:rsid w:val="00460061"/>
    <w:rsid w:val="00464F55"/>
    <w:rsid w:val="00466F35"/>
    <w:rsid w:val="00472475"/>
    <w:rsid w:val="00475F45"/>
    <w:rsid w:val="00477290"/>
    <w:rsid w:val="004807FB"/>
    <w:rsid w:val="00480AE0"/>
    <w:rsid w:val="00480D8A"/>
    <w:rsid w:val="00483352"/>
    <w:rsid w:val="00485066"/>
    <w:rsid w:val="00485B14"/>
    <w:rsid w:val="004863A9"/>
    <w:rsid w:val="0048691F"/>
    <w:rsid w:val="00487844"/>
    <w:rsid w:val="00490205"/>
    <w:rsid w:val="004929D4"/>
    <w:rsid w:val="00497BDB"/>
    <w:rsid w:val="004A2539"/>
    <w:rsid w:val="004A2FF8"/>
    <w:rsid w:val="004A424F"/>
    <w:rsid w:val="004A4DDC"/>
    <w:rsid w:val="004A4EF9"/>
    <w:rsid w:val="004A7723"/>
    <w:rsid w:val="004B1885"/>
    <w:rsid w:val="004B4C1B"/>
    <w:rsid w:val="004B50E0"/>
    <w:rsid w:val="004B567E"/>
    <w:rsid w:val="004B5869"/>
    <w:rsid w:val="004D0212"/>
    <w:rsid w:val="004D08D4"/>
    <w:rsid w:val="004D2A15"/>
    <w:rsid w:val="004D3350"/>
    <w:rsid w:val="004D4827"/>
    <w:rsid w:val="004E38A9"/>
    <w:rsid w:val="004E4FE2"/>
    <w:rsid w:val="004E521E"/>
    <w:rsid w:val="004F1255"/>
    <w:rsid w:val="004F1A3A"/>
    <w:rsid w:val="004F2E1A"/>
    <w:rsid w:val="004F750D"/>
    <w:rsid w:val="005022FF"/>
    <w:rsid w:val="0051025D"/>
    <w:rsid w:val="00512C7B"/>
    <w:rsid w:val="00513DDC"/>
    <w:rsid w:val="005147D1"/>
    <w:rsid w:val="00515207"/>
    <w:rsid w:val="00515F88"/>
    <w:rsid w:val="0051717E"/>
    <w:rsid w:val="0051770C"/>
    <w:rsid w:val="00520E7E"/>
    <w:rsid w:val="00520F5A"/>
    <w:rsid w:val="00522349"/>
    <w:rsid w:val="00522C74"/>
    <w:rsid w:val="00523F67"/>
    <w:rsid w:val="00531873"/>
    <w:rsid w:val="00532812"/>
    <w:rsid w:val="005377B6"/>
    <w:rsid w:val="0053784E"/>
    <w:rsid w:val="005422B6"/>
    <w:rsid w:val="005432BD"/>
    <w:rsid w:val="005441EB"/>
    <w:rsid w:val="00544283"/>
    <w:rsid w:val="00546AF1"/>
    <w:rsid w:val="00551E26"/>
    <w:rsid w:val="00554CC7"/>
    <w:rsid w:val="0055523F"/>
    <w:rsid w:val="00556795"/>
    <w:rsid w:val="005578E8"/>
    <w:rsid w:val="00560074"/>
    <w:rsid w:val="00560096"/>
    <w:rsid w:val="00560302"/>
    <w:rsid w:val="0056189C"/>
    <w:rsid w:val="00562B3D"/>
    <w:rsid w:val="005659E0"/>
    <w:rsid w:val="00572198"/>
    <w:rsid w:val="0057536C"/>
    <w:rsid w:val="00576254"/>
    <w:rsid w:val="005768AD"/>
    <w:rsid w:val="0058415B"/>
    <w:rsid w:val="0058495D"/>
    <w:rsid w:val="00591596"/>
    <w:rsid w:val="005926DE"/>
    <w:rsid w:val="00592ECA"/>
    <w:rsid w:val="005934BD"/>
    <w:rsid w:val="0059650E"/>
    <w:rsid w:val="005A02BE"/>
    <w:rsid w:val="005A3055"/>
    <w:rsid w:val="005A32E0"/>
    <w:rsid w:val="005A4F46"/>
    <w:rsid w:val="005A6B19"/>
    <w:rsid w:val="005A7DE2"/>
    <w:rsid w:val="005B03D1"/>
    <w:rsid w:val="005C25F4"/>
    <w:rsid w:val="005C32A6"/>
    <w:rsid w:val="005C4C3E"/>
    <w:rsid w:val="005C5CCF"/>
    <w:rsid w:val="005C7854"/>
    <w:rsid w:val="005D02D2"/>
    <w:rsid w:val="005D1488"/>
    <w:rsid w:val="005D2037"/>
    <w:rsid w:val="005D2909"/>
    <w:rsid w:val="005D2FFB"/>
    <w:rsid w:val="005D52EF"/>
    <w:rsid w:val="005D63AE"/>
    <w:rsid w:val="005D7ECD"/>
    <w:rsid w:val="005E0753"/>
    <w:rsid w:val="005E0AB3"/>
    <w:rsid w:val="005E0F31"/>
    <w:rsid w:val="005E6229"/>
    <w:rsid w:val="005F24F9"/>
    <w:rsid w:val="005F6D34"/>
    <w:rsid w:val="00601832"/>
    <w:rsid w:val="006076B3"/>
    <w:rsid w:val="00610AD8"/>
    <w:rsid w:val="0061267C"/>
    <w:rsid w:val="00615CE4"/>
    <w:rsid w:val="006211D0"/>
    <w:rsid w:val="00622D6C"/>
    <w:rsid w:val="006253D6"/>
    <w:rsid w:val="0063467F"/>
    <w:rsid w:val="00640174"/>
    <w:rsid w:val="006422A3"/>
    <w:rsid w:val="0064296D"/>
    <w:rsid w:val="00643710"/>
    <w:rsid w:val="00644ADF"/>
    <w:rsid w:val="0064597B"/>
    <w:rsid w:val="00647EC6"/>
    <w:rsid w:val="00651AFC"/>
    <w:rsid w:val="006533BD"/>
    <w:rsid w:val="00667DF0"/>
    <w:rsid w:val="0067155A"/>
    <w:rsid w:val="00672B5C"/>
    <w:rsid w:val="00673318"/>
    <w:rsid w:val="00673D5D"/>
    <w:rsid w:val="00675C66"/>
    <w:rsid w:val="00681ABF"/>
    <w:rsid w:val="00682891"/>
    <w:rsid w:val="00684FD7"/>
    <w:rsid w:val="00691D08"/>
    <w:rsid w:val="00691D78"/>
    <w:rsid w:val="006928DF"/>
    <w:rsid w:val="006939E9"/>
    <w:rsid w:val="006A5D03"/>
    <w:rsid w:val="006A64BD"/>
    <w:rsid w:val="006B080F"/>
    <w:rsid w:val="006B2E0B"/>
    <w:rsid w:val="006B5836"/>
    <w:rsid w:val="006C1655"/>
    <w:rsid w:val="006C728E"/>
    <w:rsid w:val="006D0956"/>
    <w:rsid w:val="006D25DA"/>
    <w:rsid w:val="006D2E9A"/>
    <w:rsid w:val="006D65C9"/>
    <w:rsid w:val="006D6C8E"/>
    <w:rsid w:val="006D7841"/>
    <w:rsid w:val="006D7EAB"/>
    <w:rsid w:val="006E0942"/>
    <w:rsid w:val="006E3AE9"/>
    <w:rsid w:val="006E3D54"/>
    <w:rsid w:val="006E4D18"/>
    <w:rsid w:val="006E6875"/>
    <w:rsid w:val="006E7C05"/>
    <w:rsid w:val="00703453"/>
    <w:rsid w:val="007043C7"/>
    <w:rsid w:val="00706357"/>
    <w:rsid w:val="00706746"/>
    <w:rsid w:val="007067E7"/>
    <w:rsid w:val="00706EAC"/>
    <w:rsid w:val="00707097"/>
    <w:rsid w:val="00710A12"/>
    <w:rsid w:val="00710EB5"/>
    <w:rsid w:val="00720B79"/>
    <w:rsid w:val="00721D89"/>
    <w:rsid w:val="007346DA"/>
    <w:rsid w:val="00735505"/>
    <w:rsid w:val="007418FD"/>
    <w:rsid w:val="00742AD4"/>
    <w:rsid w:val="00744405"/>
    <w:rsid w:val="007447B4"/>
    <w:rsid w:val="007543E4"/>
    <w:rsid w:val="007556DE"/>
    <w:rsid w:val="00755878"/>
    <w:rsid w:val="00756D32"/>
    <w:rsid w:val="0075707F"/>
    <w:rsid w:val="00760AF4"/>
    <w:rsid w:val="007662E4"/>
    <w:rsid w:val="00766D19"/>
    <w:rsid w:val="00770955"/>
    <w:rsid w:val="00772384"/>
    <w:rsid w:val="00774C5A"/>
    <w:rsid w:val="007751BD"/>
    <w:rsid w:val="00777F70"/>
    <w:rsid w:val="00781D5D"/>
    <w:rsid w:val="00786DDE"/>
    <w:rsid w:val="00793928"/>
    <w:rsid w:val="00794135"/>
    <w:rsid w:val="00794CE6"/>
    <w:rsid w:val="00795A51"/>
    <w:rsid w:val="007972DC"/>
    <w:rsid w:val="00797B90"/>
    <w:rsid w:val="007A440D"/>
    <w:rsid w:val="007A59CE"/>
    <w:rsid w:val="007A5D57"/>
    <w:rsid w:val="007A6BAA"/>
    <w:rsid w:val="007B0B7A"/>
    <w:rsid w:val="007B37C1"/>
    <w:rsid w:val="007B4F8C"/>
    <w:rsid w:val="007B5B88"/>
    <w:rsid w:val="007B7223"/>
    <w:rsid w:val="007C0508"/>
    <w:rsid w:val="007C08CC"/>
    <w:rsid w:val="007C72C8"/>
    <w:rsid w:val="007D1372"/>
    <w:rsid w:val="007E0555"/>
    <w:rsid w:val="007E2CEB"/>
    <w:rsid w:val="007F1274"/>
    <w:rsid w:val="007F213F"/>
    <w:rsid w:val="007F6CC2"/>
    <w:rsid w:val="0080189C"/>
    <w:rsid w:val="00805279"/>
    <w:rsid w:val="008129C4"/>
    <w:rsid w:val="00815D39"/>
    <w:rsid w:val="00822D0E"/>
    <w:rsid w:val="00823A34"/>
    <w:rsid w:val="00824C2F"/>
    <w:rsid w:val="00834516"/>
    <w:rsid w:val="008345B1"/>
    <w:rsid w:val="00834B6F"/>
    <w:rsid w:val="00834D2F"/>
    <w:rsid w:val="00835265"/>
    <w:rsid w:val="008361DB"/>
    <w:rsid w:val="00842145"/>
    <w:rsid w:val="00843FE4"/>
    <w:rsid w:val="00844368"/>
    <w:rsid w:val="008514B0"/>
    <w:rsid w:val="00851B9B"/>
    <w:rsid w:val="00853B22"/>
    <w:rsid w:val="00856EB2"/>
    <w:rsid w:val="00860110"/>
    <w:rsid w:val="00861A97"/>
    <w:rsid w:val="00861D41"/>
    <w:rsid w:val="00863E9E"/>
    <w:rsid w:val="0086619D"/>
    <w:rsid w:val="008664A6"/>
    <w:rsid w:val="00866542"/>
    <w:rsid w:val="00866651"/>
    <w:rsid w:val="00870EAC"/>
    <w:rsid w:val="00876489"/>
    <w:rsid w:val="00883367"/>
    <w:rsid w:val="008846BB"/>
    <w:rsid w:val="0089117B"/>
    <w:rsid w:val="00896E68"/>
    <w:rsid w:val="008A22E1"/>
    <w:rsid w:val="008A2F57"/>
    <w:rsid w:val="008A7134"/>
    <w:rsid w:val="008B0651"/>
    <w:rsid w:val="008B3BF5"/>
    <w:rsid w:val="008B4CC6"/>
    <w:rsid w:val="008B79EF"/>
    <w:rsid w:val="008C0962"/>
    <w:rsid w:val="008C3117"/>
    <w:rsid w:val="008C3BB6"/>
    <w:rsid w:val="008C3DFE"/>
    <w:rsid w:val="008C4D9D"/>
    <w:rsid w:val="008C4FE0"/>
    <w:rsid w:val="008C7619"/>
    <w:rsid w:val="008C7F6A"/>
    <w:rsid w:val="008D252C"/>
    <w:rsid w:val="008D56C7"/>
    <w:rsid w:val="008D5732"/>
    <w:rsid w:val="008D5A79"/>
    <w:rsid w:val="008D6BD9"/>
    <w:rsid w:val="008E45FF"/>
    <w:rsid w:val="008F586B"/>
    <w:rsid w:val="009026A1"/>
    <w:rsid w:val="00903374"/>
    <w:rsid w:val="00904DE4"/>
    <w:rsid w:val="0090611F"/>
    <w:rsid w:val="00906555"/>
    <w:rsid w:val="00910134"/>
    <w:rsid w:val="00910C10"/>
    <w:rsid w:val="00916962"/>
    <w:rsid w:val="009203E3"/>
    <w:rsid w:val="009209C9"/>
    <w:rsid w:val="00925FA8"/>
    <w:rsid w:val="00931AFF"/>
    <w:rsid w:val="009341F1"/>
    <w:rsid w:val="0093555B"/>
    <w:rsid w:val="009377B1"/>
    <w:rsid w:val="00940386"/>
    <w:rsid w:val="0094052E"/>
    <w:rsid w:val="0094167C"/>
    <w:rsid w:val="00945196"/>
    <w:rsid w:val="009479D6"/>
    <w:rsid w:val="00953A8B"/>
    <w:rsid w:val="00954B54"/>
    <w:rsid w:val="00955E1A"/>
    <w:rsid w:val="009560EB"/>
    <w:rsid w:val="00957A4D"/>
    <w:rsid w:val="00961000"/>
    <w:rsid w:val="0096404A"/>
    <w:rsid w:val="00965128"/>
    <w:rsid w:val="00966EBC"/>
    <w:rsid w:val="00973F14"/>
    <w:rsid w:val="009755A2"/>
    <w:rsid w:val="00975D66"/>
    <w:rsid w:val="009769DF"/>
    <w:rsid w:val="0098274C"/>
    <w:rsid w:val="0098553B"/>
    <w:rsid w:val="00985BF5"/>
    <w:rsid w:val="00986301"/>
    <w:rsid w:val="0098682A"/>
    <w:rsid w:val="0099505A"/>
    <w:rsid w:val="009A2715"/>
    <w:rsid w:val="009A28E5"/>
    <w:rsid w:val="009A321C"/>
    <w:rsid w:val="009A6DE4"/>
    <w:rsid w:val="009B2486"/>
    <w:rsid w:val="009B6729"/>
    <w:rsid w:val="009B6C0D"/>
    <w:rsid w:val="009B73A4"/>
    <w:rsid w:val="009C277F"/>
    <w:rsid w:val="009C367D"/>
    <w:rsid w:val="009C57B7"/>
    <w:rsid w:val="009C738A"/>
    <w:rsid w:val="009D0432"/>
    <w:rsid w:val="009D3CF6"/>
    <w:rsid w:val="009D46E1"/>
    <w:rsid w:val="009D671C"/>
    <w:rsid w:val="009E38E1"/>
    <w:rsid w:val="009E3DA0"/>
    <w:rsid w:val="009E42A0"/>
    <w:rsid w:val="009E6642"/>
    <w:rsid w:val="009E7ACD"/>
    <w:rsid w:val="009E7C62"/>
    <w:rsid w:val="009F0C9D"/>
    <w:rsid w:val="009F1A4B"/>
    <w:rsid w:val="009F1F7D"/>
    <w:rsid w:val="009F52F1"/>
    <w:rsid w:val="009F5972"/>
    <w:rsid w:val="00A01F5E"/>
    <w:rsid w:val="00A0282C"/>
    <w:rsid w:val="00A07BC3"/>
    <w:rsid w:val="00A07CAF"/>
    <w:rsid w:val="00A10DAE"/>
    <w:rsid w:val="00A110FB"/>
    <w:rsid w:val="00A11297"/>
    <w:rsid w:val="00A12F60"/>
    <w:rsid w:val="00A13A2F"/>
    <w:rsid w:val="00A13C52"/>
    <w:rsid w:val="00A1688D"/>
    <w:rsid w:val="00A200CE"/>
    <w:rsid w:val="00A24EE3"/>
    <w:rsid w:val="00A321C0"/>
    <w:rsid w:val="00A33760"/>
    <w:rsid w:val="00A3464D"/>
    <w:rsid w:val="00A34F88"/>
    <w:rsid w:val="00A35A9D"/>
    <w:rsid w:val="00A372CB"/>
    <w:rsid w:val="00A40C93"/>
    <w:rsid w:val="00A41305"/>
    <w:rsid w:val="00A415C0"/>
    <w:rsid w:val="00A41D96"/>
    <w:rsid w:val="00A425D8"/>
    <w:rsid w:val="00A42939"/>
    <w:rsid w:val="00A436FD"/>
    <w:rsid w:val="00A442E6"/>
    <w:rsid w:val="00A4492A"/>
    <w:rsid w:val="00A46C72"/>
    <w:rsid w:val="00A51458"/>
    <w:rsid w:val="00A541A4"/>
    <w:rsid w:val="00A54AAB"/>
    <w:rsid w:val="00A578F2"/>
    <w:rsid w:val="00A57DEB"/>
    <w:rsid w:val="00A6316D"/>
    <w:rsid w:val="00A6327A"/>
    <w:rsid w:val="00A64736"/>
    <w:rsid w:val="00A64740"/>
    <w:rsid w:val="00A70C41"/>
    <w:rsid w:val="00A77129"/>
    <w:rsid w:val="00A77789"/>
    <w:rsid w:val="00A77CCB"/>
    <w:rsid w:val="00A801B7"/>
    <w:rsid w:val="00A80BD5"/>
    <w:rsid w:val="00A85062"/>
    <w:rsid w:val="00A87402"/>
    <w:rsid w:val="00A912A7"/>
    <w:rsid w:val="00A92F15"/>
    <w:rsid w:val="00AA1E00"/>
    <w:rsid w:val="00AA4898"/>
    <w:rsid w:val="00AA502B"/>
    <w:rsid w:val="00AA58BE"/>
    <w:rsid w:val="00AA6133"/>
    <w:rsid w:val="00AB08B6"/>
    <w:rsid w:val="00AB0B50"/>
    <w:rsid w:val="00AB3709"/>
    <w:rsid w:val="00AB5ACA"/>
    <w:rsid w:val="00AC4477"/>
    <w:rsid w:val="00AC650A"/>
    <w:rsid w:val="00AC7D1A"/>
    <w:rsid w:val="00AD3A31"/>
    <w:rsid w:val="00AD462A"/>
    <w:rsid w:val="00AD7D8D"/>
    <w:rsid w:val="00AE164B"/>
    <w:rsid w:val="00AE3D2A"/>
    <w:rsid w:val="00AE7DD0"/>
    <w:rsid w:val="00AF0843"/>
    <w:rsid w:val="00AF19B0"/>
    <w:rsid w:val="00AF2473"/>
    <w:rsid w:val="00AF3E13"/>
    <w:rsid w:val="00AF4770"/>
    <w:rsid w:val="00B02C16"/>
    <w:rsid w:val="00B05D13"/>
    <w:rsid w:val="00B05D67"/>
    <w:rsid w:val="00B072B0"/>
    <w:rsid w:val="00B11236"/>
    <w:rsid w:val="00B175AC"/>
    <w:rsid w:val="00B20D45"/>
    <w:rsid w:val="00B21C86"/>
    <w:rsid w:val="00B25E0F"/>
    <w:rsid w:val="00B266D3"/>
    <w:rsid w:val="00B27189"/>
    <w:rsid w:val="00B271DB"/>
    <w:rsid w:val="00B27A84"/>
    <w:rsid w:val="00B305C8"/>
    <w:rsid w:val="00B3405A"/>
    <w:rsid w:val="00B36CC3"/>
    <w:rsid w:val="00B44E2C"/>
    <w:rsid w:val="00B45357"/>
    <w:rsid w:val="00B46BEF"/>
    <w:rsid w:val="00B501E9"/>
    <w:rsid w:val="00B57683"/>
    <w:rsid w:val="00B57FC0"/>
    <w:rsid w:val="00B60A27"/>
    <w:rsid w:val="00B60E99"/>
    <w:rsid w:val="00B64B1F"/>
    <w:rsid w:val="00B64FBE"/>
    <w:rsid w:val="00B6504E"/>
    <w:rsid w:val="00B654E1"/>
    <w:rsid w:val="00B656A9"/>
    <w:rsid w:val="00B677ED"/>
    <w:rsid w:val="00B70B7D"/>
    <w:rsid w:val="00B70D24"/>
    <w:rsid w:val="00B74C16"/>
    <w:rsid w:val="00B75931"/>
    <w:rsid w:val="00B75BB0"/>
    <w:rsid w:val="00B77834"/>
    <w:rsid w:val="00B816D4"/>
    <w:rsid w:val="00B84EB2"/>
    <w:rsid w:val="00B87E2A"/>
    <w:rsid w:val="00B91E32"/>
    <w:rsid w:val="00B9648E"/>
    <w:rsid w:val="00BA0F29"/>
    <w:rsid w:val="00BA4B58"/>
    <w:rsid w:val="00BA7795"/>
    <w:rsid w:val="00BB15FA"/>
    <w:rsid w:val="00BB49C8"/>
    <w:rsid w:val="00BB5FEF"/>
    <w:rsid w:val="00BB64AA"/>
    <w:rsid w:val="00BB6500"/>
    <w:rsid w:val="00BB77C6"/>
    <w:rsid w:val="00BB782B"/>
    <w:rsid w:val="00BC19AC"/>
    <w:rsid w:val="00BC1AE2"/>
    <w:rsid w:val="00BC3C41"/>
    <w:rsid w:val="00BC5A41"/>
    <w:rsid w:val="00BC7B0F"/>
    <w:rsid w:val="00BD1700"/>
    <w:rsid w:val="00BD19BF"/>
    <w:rsid w:val="00BD6B50"/>
    <w:rsid w:val="00BE52BE"/>
    <w:rsid w:val="00BE6DED"/>
    <w:rsid w:val="00BE70C9"/>
    <w:rsid w:val="00BF1A33"/>
    <w:rsid w:val="00BF5547"/>
    <w:rsid w:val="00BF55BF"/>
    <w:rsid w:val="00C0756B"/>
    <w:rsid w:val="00C11349"/>
    <w:rsid w:val="00C13468"/>
    <w:rsid w:val="00C163FA"/>
    <w:rsid w:val="00C164E6"/>
    <w:rsid w:val="00C16F89"/>
    <w:rsid w:val="00C17564"/>
    <w:rsid w:val="00C21AC9"/>
    <w:rsid w:val="00C23D32"/>
    <w:rsid w:val="00C245A7"/>
    <w:rsid w:val="00C24EAA"/>
    <w:rsid w:val="00C25475"/>
    <w:rsid w:val="00C26026"/>
    <w:rsid w:val="00C26F82"/>
    <w:rsid w:val="00C35B9F"/>
    <w:rsid w:val="00C35C8C"/>
    <w:rsid w:val="00C37470"/>
    <w:rsid w:val="00C40841"/>
    <w:rsid w:val="00C44A18"/>
    <w:rsid w:val="00C47397"/>
    <w:rsid w:val="00C551FC"/>
    <w:rsid w:val="00C60793"/>
    <w:rsid w:val="00C61D1A"/>
    <w:rsid w:val="00C62BDC"/>
    <w:rsid w:val="00C63E92"/>
    <w:rsid w:val="00C6570A"/>
    <w:rsid w:val="00C66623"/>
    <w:rsid w:val="00C66B90"/>
    <w:rsid w:val="00C715E9"/>
    <w:rsid w:val="00C7401B"/>
    <w:rsid w:val="00C75ACA"/>
    <w:rsid w:val="00C777B7"/>
    <w:rsid w:val="00C86414"/>
    <w:rsid w:val="00C8719A"/>
    <w:rsid w:val="00C90482"/>
    <w:rsid w:val="00C963FA"/>
    <w:rsid w:val="00C96624"/>
    <w:rsid w:val="00C96EAB"/>
    <w:rsid w:val="00CA1714"/>
    <w:rsid w:val="00CA1FEA"/>
    <w:rsid w:val="00CA301B"/>
    <w:rsid w:val="00CA5409"/>
    <w:rsid w:val="00CA6B16"/>
    <w:rsid w:val="00CB63FE"/>
    <w:rsid w:val="00CB6CCD"/>
    <w:rsid w:val="00CC0D95"/>
    <w:rsid w:val="00CC21C3"/>
    <w:rsid w:val="00CC3DFB"/>
    <w:rsid w:val="00CC54AE"/>
    <w:rsid w:val="00CC5931"/>
    <w:rsid w:val="00CC59CB"/>
    <w:rsid w:val="00CD0C20"/>
    <w:rsid w:val="00CD5B57"/>
    <w:rsid w:val="00CD615D"/>
    <w:rsid w:val="00CD7709"/>
    <w:rsid w:val="00CE4050"/>
    <w:rsid w:val="00CE446A"/>
    <w:rsid w:val="00CE665B"/>
    <w:rsid w:val="00CE7E29"/>
    <w:rsid w:val="00CF13E3"/>
    <w:rsid w:val="00CF2EAA"/>
    <w:rsid w:val="00D004AC"/>
    <w:rsid w:val="00D0186A"/>
    <w:rsid w:val="00D02225"/>
    <w:rsid w:val="00D02C53"/>
    <w:rsid w:val="00D0317A"/>
    <w:rsid w:val="00D0543D"/>
    <w:rsid w:val="00D06ADA"/>
    <w:rsid w:val="00D06C7F"/>
    <w:rsid w:val="00D13BC3"/>
    <w:rsid w:val="00D13C2D"/>
    <w:rsid w:val="00D20451"/>
    <w:rsid w:val="00D2069F"/>
    <w:rsid w:val="00D209BE"/>
    <w:rsid w:val="00D20F68"/>
    <w:rsid w:val="00D238F6"/>
    <w:rsid w:val="00D23F5A"/>
    <w:rsid w:val="00D2636D"/>
    <w:rsid w:val="00D30BFB"/>
    <w:rsid w:val="00D42C6A"/>
    <w:rsid w:val="00D44243"/>
    <w:rsid w:val="00D4560E"/>
    <w:rsid w:val="00D474E6"/>
    <w:rsid w:val="00D55974"/>
    <w:rsid w:val="00D61ABD"/>
    <w:rsid w:val="00D63B62"/>
    <w:rsid w:val="00D63E4B"/>
    <w:rsid w:val="00D642CC"/>
    <w:rsid w:val="00D65437"/>
    <w:rsid w:val="00D6565D"/>
    <w:rsid w:val="00D66BDA"/>
    <w:rsid w:val="00D7359E"/>
    <w:rsid w:val="00D74DA7"/>
    <w:rsid w:val="00D75120"/>
    <w:rsid w:val="00D76A4C"/>
    <w:rsid w:val="00D77EFF"/>
    <w:rsid w:val="00D80307"/>
    <w:rsid w:val="00D840CF"/>
    <w:rsid w:val="00D8465B"/>
    <w:rsid w:val="00D91478"/>
    <w:rsid w:val="00D95C97"/>
    <w:rsid w:val="00D966AC"/>
    <w:rsid w:val="00D96D3F"/>
    <w:rsid w:val="00D96E24"/>
    <w:rsid w:val="00DA0545"/>
    <w:rsid w:val="00DA07D7"/>
    <w:rsid w:val="00DA17A9"/>
    <w:rsid w:val="00DA49EE"/>
    <w:rsid w:val="00DB0AA5"/>
    <w:rsid w:val="00DB3E5B"/>
    <w:rsid w:val="00DC0E46"/>
    <w:rsid w:val="00DC2641"/>
    <w:rsid w:val="00DC27B4"/>
    <w:rsid w:val="00DC5808"/>
    <w:rsid w:val="00DC5840"/>
    <w:rsid w:val="00DC6662"/>
    <w:rsid w:val="00DC71F2"/>
    <w:rsid w:val="00DD0245"/>
    <w:rsid w:val="00DD1D6F"/>
    <w:rsid w:val="00DD689D"/>
    <w:rsid w:val="00DE0328"/>
    <w:rsid w:val="00DE08EB"/>
    <w:rsid w:val="00DE0B02"/>
    <w:rsid w:val="00DE1608"/>
    <w:rsid w:val="00DE431B"/>
    <w:rsid w:val="00DE5CEF"/>
    <w:rsid w:val="00DE5E60"/>
    <w:rsid w:val="00DF075F"/>
    <w:rsid w:val="00DF7C81"/>
    <w:rsid w:val="00E008F5"/>
    <w:rsid w:val="00E0219C"/>
    <w:rsid w:val="00E02815"/>
    <w:rsid w:val="00E05205"/>
    <w:rsid w:val="00E07C20"/>
    <w:rsid w:val="00E07FAA"/>
    <w:rsid w:val="00E10689"/>
    <w:rsid w:val="00E13ED4"/>
    <w:rsid w:val="00E140FE"/>
    <w:rsid w:val="00E14128"/>
    <w:rsid w:val="00E1577B"/>
    <w:rsid w:val="00E15857"/>
    <w:rsid w:val="00E15CFA"/>
    <w:rsid w:val="00E16227"/>
    <w:rsid w:val="00E17D58"/>
    <w:rsid w:val="00E230C4"/>
    <w:rsid w:val="00E24EE0"/>
    <w:rsid w:val="00E25DEF"/>
    <w:rsid w:val="00E2715B"/>
    <w:rsid w:val="00E27819"/>
    <w:rsid w:val="00E30518"/>
    <w:rsid w:val="00E31A96"/>
    <w:rsid w:val="00E35386"/>
    <w:rsid w:val="00E362B7"/>
    <w:rsid w:val="00E36636"/>
    <w:rsid w:val="00E415B6"/>
    <w:rsid w:val="00E42F93"/>
    <w:rsid w:val="00E46296"/>
    <w:rsid w:val="00E477AC"/>
    <w:rsid w:val="00E50833"/>
    <w:rsid w:val="00E5183C"/>
    <w:rsid w:val="00E523EB"/>
    <w:rsid w:val="00E60C81"/>
    <w:rsid w:val="00E6338B"/>
    <w:rsid w:val="00E636B5"/>
    <w:rsid w:val="00E65784"/>
    <w:rsid w:val="00E670D8"/>
    <w:rsid w:val="00E70A08"/>
    <w:rsid w:val="00E75DCB"/>
    <w:rsid w:val="00E81432"/>
    <w:rsid w:val="00E82646"/>
    <w:rsid w:val="00E860FD"/>
    <w:rsid w:val="00E862D6"/>
    <w:rsid w:val="00E87A94"/>
    <w:rsid w:val="00E9087D"/>
    <w:rsid w:val="00E9266F"/>
    <w:rsid w:val="00E929DC"/>
    <w:rsid w:val="00E9580C"/>
    <w:rsid w:val="00E95969"/>
    <w:rsid w:val="00E96334"/>
    <w:rsid w:val="00E9752D"/>
    <w:rsid w:val="00E97A2E"/>
    <w:rsid w:val="00EA1162"/>
    <w:rsid w:val="00EA1625"/>
    <w:rsid w:val="00EA186C"/>
    <w:rsid w:val="00EA2920"/>
    <w:rsid w:val="00EA59D0"/>
    <w:rsid w:val="00EA6611"/>
    <w:rsid w:val="00EA6E13"/>
    <w:rsid w:val="00EA75F4"/>
    <w:rsid w:val="00EB1EF9"/>
    <w:rsid w:val="00EB2C8A"/>
    <w:rsid w:val="00EB51A7"/>
    <w:rsid w:val="00EC2522"/>
    <w:rsid w:val="00EC4612"/>
    <w:rsid w:val="00ED0256"/>
    <w:rsid w:val="00ED0430"/>
    <w:rsid w:val="00ED424B"/>
    <w:rsid w:val="00ED6E10"/>
    <w:rsid w:val="00EE2777"/>
    <w:rsid w:val="00EE2E56"/>
    <w:rsid w:val="00EE3358"/>
    <w:rsid w:val="00EF3548"/>
    <w:rsid w:val="00EF7EA4"/>
    <w:rsid w:val="00F04BFB"/>
    <w:rsid w:val="00F10338"/>
    <w:rsid w:val="00F1127F"/>
    <w:rsid w:val="00F140FF"/>
    <w:rsid w:val="00F20EFD"/>
    <w:rsid w:val="00F21724"/>
    <w:rsid w:val="00F21DC8"/>
    <w:rsid w:val="00F22610"/>
    <w:rsid w:val="00F253A4"/>
    <w:rsid w:val="00F34650"/>
    <w:rsid w:val="00F34F88"/>
    <w:rsid w:val="00F35FFF"/>
    <w:rsid w:val="00F37BF5"/>
    <w:rsid w:val="00F40C3B"/>
    <w:rsid w:val="00F42618"/>
    <w:rsid w:val="00F43E5B"/>
    <w:rsid w:val="00F45578"/>
    <w:rsid w:val="00F46906"/>
    <w:rsid w:val="00F527CC"/>
    <w:rsid w:val="00F53018"/>
    <w:rsid w:val="00F60782"/>
    <w:rsid w:val="00F63A8D"/>
    <w:rsid w:val="00F63C52"/>
    <w:rsid w:val="00F707A5"/>
    <w:rsid w:val="00F70A6C"/>
    <w:rsid w:val="00F715EE"/>
    <w:rsid w:val="00F73F07"/>
    <w:rsid w:val="00F806A3"/>
    <w:rsid w:val="00F829E7"/>
    <w:rsid w:val="00F86B1B"/>
    <w:rsid w:val="00F86FCA"/>
    <w:rsid w:val="00F90F48"/>
    <w:rsid w:val="00F92C44"/>
    <w:rsid w:val="00FA04B6"/>
    <w:rsid w:val="00FA285D"/>
    <w:rsid w:val="00FA3C03"/>
    <w:rsid w:val="00FA3D5E"/>
    <w:rsid w:val="00FA4331"/>
    <w:rsid w:val="00FA4FCC"/>
    <w:rsid w:val="00FA73DE"/>
    <w:rsid w:val="00FB015B"/>
    <w:rsid w:val="00FB1373"/>
    <w:rsid w:val="00FB1677"/>
    <w:rsid w:val="00FB3731"/>
    <w:rsid w:val="00FB41EC"/>
    <w:rsid w:val="00FB4D40"/>
    <w:rsid w:val="00FB699D"/>
    <w:rsid w:val="00FB78EC"/>
    <w:rsid w:val="00FB7C99"/>
    <w:rsid w:val="00FC1EBC"/>
    <w:rsid w:val="00FC311E"/>
    <w:rsid w:val="00FC5A59"/>
    <w:rsid w:val="00FC5FCB"/>
    <w:rsid w:val="00FC7EB1"/>
    <w:rsid w:val="00FD0B0D"/>
    <w:rsid w:val="00FD1D2C"/>
    <w:rsid w:val="00FD28F4"/>
    <w:rsid w:val="00FD38A6"/>
    <w:rsid w:val="00FD4536"/>
    <w:rsid w:val="00FE0E7D"/>
    <w:rsid w:val="00FE115A"/>
    <w:rsid w:val="00FE4242"/>
    <w:rsid w:val="00FF01F7"/>
    <w:rsid w:val="00FF0907"/>
    <w:rsid w:val="00FF252B"/>
    <w:rsid w:val="00FF3E54"/>
    <w:rsid w:val="00FF57B2"/>
    <w:rsid w:val="00FF57CD"/>
    <w:rsid w:val="11463A1D"/>
    <w:rsid w:val="40124884"/>
    <w:rsid w:val="477BDD52"/>
    <w:rsid w:val="5011C52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9E2BB"/>
  <w15:chartTrackingRefBased/>
  <w15:docId w15:val="{8CB24C11-B67B-4AD6-A9E4-3EAA99BA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GB" w:eastAsia="en-US" w:bidi="ar-SA"/>
      </w:rPr>
    </w:rPrDefault>
    <w:pPrDefault>
      <w:pPr>
        <w:spacing w:after="160" w:line="0" w:lineRule="auto"/>
      </w:pPr>
    </w:pPrDefault>
  </w:docDefaults>
  <w:latentStyles w:defLockedState="0" w:defUIPriority="99" w:defSemiHidden="0" w:defUnhideWhenUsed="0" w:defQFormat="0" w:count="376">
    <w:lsdException w:name="Normal" w:uiPriority="5"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34"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34"/>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3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F527CC"/>
    <w:pPr>
      <w:spacing w:after="120" w:line="240" w:lineRule="atLeast"/>
    </w:pPr>
    <w:rPr>
      <w:lang w:val="en-US"/>
    </w:rPr>
  </w:style>
  <w:style w:type="paragraph" w:styleId="Heading1">
    <w:name w:val="heading 1"/>
    <w:basedOn w:val="Normal"/>
    <w:next w:val="Normal"/>
    <w:link w:val="Heading1Char"/>
    <w:uiPriority w:val="9"/>
    <w:qFormat/>
    <w:rsid w:val="0098274C"/>
    <w:pPr>
      <w:keepNext/>
      <w:keepLines/>
      <w:numPr>
        <w:numId w:val="13"/>
      </w:numPr>
      <w:pBdr>
        <w:top w:val="single" w:sz="6" w:space="1" w:color="D9D9D9" w:themeColor="background1" w:themeShade="D9"/>
        <w:left w:val="single" w:sz="6" w:space="4" w:color="D9D9D9" w:themeColor="background1" w:themeShade="D9"/>
        <w:bottom w:val="single" w:sz="6" w:space="1" w:color="D9D9D9" w:themeColor="background1" w:themeShade="D9"/>
        <w:right w:val="single" w:sz="6" w:space="4" w:color="D9D9D9" w:themeColor="background1" w:themeShade="D9"/>
      </w:pBdr>
      <w:shd w:val="clear" w:color="auto" w:fill="D9D9D9" w:themeFill="background1" w:themeFillShade="D9"/>
      <w:spacing w:before="120" w:after="0" w:line="420" w:lineRule="atLeast"/>
      <w:ind w:left="567"/>
      <w:contextualSpacing/>
      <w:outlineLvl w:val="0"/>
    </w:pPr>
    <w:rPr>
      <w:rFonts w:eastAsiaTheme="majorEastAsia" w:cs="Arial"/>
      <w:b/>
      <w:bCs/>
      <w:noProof/>
      <w:sz w:val="30"/>
      <w:szCs w:val="30"/>
    </w:rPr>
  </w:style>
  <w:style w:type="paragraph" w:styleId="Heading2">
    <w:name w:val="heading 2"/>
    <w:basedOn w:val="Normal"/>
    <w:next w:val="Normal"/>
    <w:link w:val="Heading2Char"/>
    <w:uiPriority w:val="9"/>
    <w:qFormat/>
    <w:rsid w:val="00F527CC"/>
    <w:pPr>
      <w:keepNext/>
      <w:keepLines/>
      <w:numPr>
        <w:ilvl w:val="1"/>
        <w:numId w:val="13"/>
      </w:numPr>
      <w:spacing w:before="260" w:after="220"/>
      <w:outlineLvl w:val="1"/>
    </w:pPr>
    <w:rPr>
      <w:rFonts w:eastAsiaTheme="majorEastAsia" w:cs="Arial"/>
      <w:b/>
      <w:bCs/>
      <w:noProof/>
    </w:rPr>
  </w:style>
  <w:style w:type="paragraph" w:styleId="Heading3">
    <w:name w:val="heading 3"/>
    <w:basedOn w:val="Normal"/>
    <w:next w:val="Normal"/>
    <w:link w:val="Heading3Char"/>
    <w:uiPriority w:val="9"/>
    <w:semiHidden/>
    <w:qFormat/>
    <w:rsid w:val="00F527CC"/>
    <w:pPr>
      <w:keepNext/>
      <w:keepLines/>
      <w:spacing w:before="260" w:after="220"/>
      <w:ind w:left="567" w:hanging="567"/>
      <w:outlineLvl w:val="2"/>
    </w:pPr>
    <w:rPr>
      <w:rFonts w:eastAsiaTheme="majorEastAsia" w:cs="Arial"/>
      <w:b/>
      <w:szCs w:val="24"/>
    </w:rPr>
  </w:style>
  <w:style w:type="paragraph" w:styleId="Heading4">
    <w:name w:val="heading 4"/>
    <w:basedOn w:val="Normal"/>
    <w:next w:val="Normal"/>
    <w:link w:val="Heading4Char"/>
    <w:uiPriority w:val="9"/>
    <w:semiHidden/>
    <w:unhideWhenUsed/>
    <w:qFormat/>
    <w:rsid w:val="00F527CC"/>
    <w:pPr>
      <w:keepNext/>
      <w:keepLines/>
      <w:spacing w:before="40" w:after="0"/>
      <w:outlineLvl w:val="3"/>
    </w:pPr>
    <w:rPr>
      <w:rFonts w:eastAsiaTheme="majorEastAsia" w:cs="Arial"/>
      <w:i/>
      <w:iCs/>
      <w:color w:val="939599" w:themeColor="accent1" w:themeShade="BF"/>
    </w:rPr>
  </w:style>
  <w:style w:type="paragraph" w:styleId="Heading5">
    <w:name w:val="heading 5"/>
    <w:basedOn w:val="Normal"/>
    <w:next w:val="Normal"/>
    <w:link w:val="Heading5Char"/>
    <w:uiPriority w:val="9"/>
    <w:semiHidden/>
    <w:unhideWhenUsed/>
    <w:qFormat/>
    <w:rsid w:val="00F527CC"/>
    <w:pPr>
      <w:keepNext/>
      <w:keepLines/>
      <w:spacing w:before="40" w:after="0"/>
      <w:outlineLvl w:val="4"/>
    </w:pPr>
    <w:rPr>
      <w:rFonts w:eastAsiaTheme="majorEastAsia" w:cs="Arial"/>
      <w:color w:val="939599" w:themeColor="accent1" w:themeShade="BF"/>
    </w:rPr>
  </w:style>
  <w:style w:type="paragraph" w:styleId="Heading6">
    <w:name w:val="heading 6"/>
    <w:basedOn w:val="Normal"/>
    <w:next w:val="Normal"/>
    <w:link w:val="Heading6Char"/>
    <w:uiPriority w:val="9"/>
    <w:semiHidden/>
    <w:unhideWhenUsed/>
    <w:qFormat/>
    <w:rsid w:val="00F527CC"/>
    <w:pPr>
      <w:keepNext/>
      <w:keepLines/>
      <w:spacing w:before="40" w:after="0"/>
      <w:outlineLvl w:val="5"/>
    </w:pPr>
    <w:rPr>
      <w:rFonts w:eastAsiaTheme="majorEastAsia" w:cs="Arial"/>
      <w:color w:val="616266" w:themeColor="accent1" w:themeShade="7F"/>
    </w:rPr>
  </w:style>
  <w:style w:type="paragraph" w:styleId="Heading7">
    <w:name w:val="heading 7"/>
    <w:basedOn w:val="Normal"/>
    <w:next w:val="Normal"/>
    <w:link w:val="Heading7Char"/>
    <w:uiPriority w:val="9"/>
    <w:semiHidden/>
    <w:unhideWhenUsed/>
    <w:qFormat/>
    <w:rsid w:val="00F527CC"/>
    <w:pPr>
      <w:keepNext/>
      <w:keepLines/>
      <w:spacing w:before="40" w:after="0"/>
      <w:outlineLvl w:val="6"/>
    </w:pPr>
    <w:rPr>
      <w:rFonts w:eastAsiaTheme="majorEastAsia" w:cs="Arial"/>
      <w:i/>
      <w:iCs/>
      <w:color w:val="616266" w:themeColor="accent1" w:themeShade="7F"/>
    </w:rPr>
  </w:style>
  <w:style w:type="paragraph" w:styleId="Heading8">
    <w:name w:val="heading 8"/>
    <w:basedOn w:val="Normal"/>
    <w:next w:val="Normal"/>
    <w:link w:val="Heading8Char"/>
    <w:uiPriority w:val="9"/>
    <w:semiHidden/>
    <w:unhideWhenUsed/>
    <w:qFormat/>
    <w:rsid w:val="00F527CC"/>
    <w:pPr>
      <w:keepNext/>
      <w:keepLines/>
      <w:spacing w:before="40" w:after="0"/>
      <w:outlineLvl w:val="7"/>
    </w:pPr>
    <w:rPr>
      <w:rFonts w:eastAsiaTheme="majorEastAsia" w:cs="Arial"/>
      <w:color w:val="5D5D5D" w:themeColor="text1" w:themeTint="D8"/>
      <w:sz w:val="21"/>
      <w:szCs w:val="21"/>
    </w:rPr>
  </w:style>
  <w:style w:type="paragraph" w:styleId="Heading9">
    <w:name w:val="heading 9"/>
    <w:basedOn w:val="Normal"/>
    <w:next w:val="Normal"/>
    <w:link w:val="Heading9Char"/>
    <w:uiPriority w:val="9"/>
    <w:semiHidden/>
    <w:unhideWhenUsed/>
    <w:qFormat/>
    <w:rsid w:val="00F527CC"/>
    <w:pPr>
      <w:keepNext/>
      <w:keepLines/>
      <w:spacing w:before="40" w:after="0"/>
      <w:outlineLvl w:val="8"/>
    </w:pPr>
    <w:rPr>
      <w:rFonts w:eastAsiaTheme="majorEastAsia" w:cs="Arial"/>
      <w:i/>
      <w:iCs/>
      <w:color w:val="5D5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27CC"/>
    <w:pPr>
      <w:tabs>
        <w:tab w:val="center" w:pos="4513"/>
        <w:tab w:val="right" w:pos="9026"/>
      </w:tabs>
      <w:spacing w:after="220" w:line="240" w:lineRule="auto"/>
    </w:pPr>
  </w:style>
  <w:style w:type="character" w:customStyle="1" w:styleId="HeaderChar">
    <w:name w:val="Header Char"/>
    <w:basedOn w:val="DefaultParagraphFont"/>
    <w:link w:val="Header"/>
    <w:uiPriority w:val="99"/>
    <w:rsid w:val="00F527CC"/>
    <w:rPr>
      <w:lang w:val="en-US"/>
    </w:rPr>
  </w:style>
  <w:style w:type="paragraph" w:styleId="Footer">
    <w:name w:val="footer"/>
    <w:basedOn w:val="Normal"/>
    <w:link w:val="FooterChar"/>
    <w:uiPriority w:val="99"/>
    <w:rsid w:val="00F527CC"/>
    <w:pPr>
      <w:tabs>
        <w:tab w:val="right" w:pos="9638"/>
      </w:tabs>
      <w:spacing w:after="0" w:line="240" w:lineRule="auto"/>
    </w:pPr>
    <w:rPr>
      <w:sz w:val="16"/>
      <w:szCs w:val="16"/>
    </w:rPr>
  </w:style>
  <w:style w:type="character" w:customStyle="1" w:styleId="FooterChar">
    <w:name w:val="Footer Char"/>
    <w:basedOn w:val="DefaultParagraphFont"/>
    <w:link w:val="Footer"/>
    <w:uiPriority w:val="99"/>
    <w:rsid w:val="00F527CC"/>
    <w:rPr>
      <w:sz w:val="16"/>
      <w:szCs w:val="16"/>
      <w:lang w:val="en-US"/>
    </w:rPr>
  </w:style>
  <w:style w:type="table" w:styleId="TableGrid">
    <w:name w:val="Table Grid"/>
    <w:basedOn w:val="TableNormal"/>
    <w:uiPriority w:val="39"/>
    <w:rsid w:val="00F52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semiHidden/>
    <w:qFormat/>
    <w:rsid w:val="00F527CC"/>
    <w:pPr>
      <w:spacing w:after="0" w:line="180" w:lineRule="atLeast"/>
    </w:pPr>
    <w:rPr>
      <w:noProof/>
      <w:sz w:val="15"/>
    </w:rPr>
  </w:style>
  <w:style w:type="paragraph" w:customStyle="1" w:styleId="Ourref">
    <w:name w:val="Our ref"/>
    <w:basedOn w:val="Normal"/>
    <w:uiPriority w:val="1"/>
    <w:semiHidden/>
    <w:rsid w:val="00F527CC"/>
    <w:pPr>
      <w:spacing w:after="520"/>
    </w:pPr>
  </w:style>
  <w:style w:type="paragraph" w:styleId="Date">
    <w:name w:val="Date"/>
    <w:basedOn w:val="Normal"/>
    <w:next w:val="Normal"/>
    <w:link w:val="DateChar"/>
    <w:uiPriority w:val="2"/>
    <w:semiHidden/>
    <w:rsid w:val="00F527CC"/>
    <w:pPr>
      <w:spacing w:before="520" w:after="520"/>
    </w:pPr>
  </w:style>
  <w:style w:type="character" w:customStyle="1" w:styleId="DateChar">
    <w:name w:val="Date Char"/>
    <w:basedOn w:val="DefaultParagraphFont"/>
    <w:link w:val="Date"/>
    <w:uiPriority w:val="2"/>
    <w:semiHidden/>
    <w:rsid w:val="00F527CC"/>
    <w:rPr>
      <w:lang w:val="en-US"/>
    </w:rPr>
  </w:style>
  <w:style w:type="paragraph" w:customStyle="1" w:styleId="RecipientAddress">
    <w:name w:val="Recipient Address"/>
    <w:basedOn w:val="Normal"/>
    <w:semiHidden/>
    <w:qFormat/>
    <w:rsid w:val="00F527CC"/>
    <w:pPr>
      <w:spacing w:after="0"/>
    </w:pPr>
  </w:style>
  <w:style w:type="paragraph" w:customStyle="1" w:styleId="Yours">
    <w:name w:val="Yours"/>
    <w:basedOn w:val="Normal"/>
    <w:next w:val="Author"/>
    <w:uiPriority w:val="6"/>
    <w:semiHidden/>
    <w:qFormat/>
    <w:rsid w:val="00F527CC"/>
    <w:pPr>
      <w:keepNext/>
      <w:keepLines/>
      <w:spacing w:before="520" w:after="1000" w:line="276" w:lineRule="auto"/>
    </w:pPr>
    <w:rPr>
      <w:szCs w:val="20"/>
    </w:rPr>
  </w:style>
  <w:style w:type="paragraph" w:customStyle="1" w:styleId="Author">
    <w:name w:val="Author"/>
    <w:basedOn w:val="Normal"/>
    <w:next w:val="JobTitle"/>
    <w:uiPriority w:val="7"/>
    <w:semiHidden/>
    <w:qFormat/>
    <w:rsid w:val="00F527CC"/>
    <w:pPr>
      <w:keepNext/>
      <w:keepLines/>
      <w:spacing w:after="0" w:line="276" w:lineRule="auto"/>
    </w:pPr>
    <w:rPr>
      <w:szCs w:val="20"/>
    </w:rPr>
  </w:style>
  <w:style w:type="paragraph" w:customStyle="1" w:styleId="JobTitle">
    <w:name w:val="JobTitle"/>
    <w:basedOn w:val="Normal"/>
    <w:uiPriority w:val="8"/>
    <w:semiHidden/>
    <w:qFormat/>
    <w:rsid w:val="00F527CC"/>
    <w:pPr>
      <w:keepNext/>
      <w:keepLines/>
      <w:spacing w:after="240" w:line="276" w:lineRule="auto"/>
      <w:contextualSpacing/>
    </w:pPr>
    <w:rPr>
      <w:szCs w:val="20"/>
    </w:rPr>
  </w:style>
  <w:style w:type="paragraph" w:customStyle="1" w:styleId="Dear">
    <w:name w:val="Dear"/>
    <w:basedOn w:val="Normal"/>
    <w:next w:val="Normal"/>
    <w:uiPriority w:val="4"/>
    <w:semiHidden/>
    <w:rsid w:val="00F527CC"/>
    <w:pPr>
      <w:spacing w:before="520" w:after="260"/>
    </w:pPr>
  </w:style>
  <w:style w:type="character" w:customStyle="1" w:styleId="Subject">
    <w:name w:val="Subject"/>
    <w:basedOn w:val="DefaultParagraphFont"/>
    <w:uiPriority w:val="1"/>
    <w:semiHidden/>
    <w:rsid w:val="00F527CC"/>
    <w:rPr>
      <w:b/>
      <w:caps/>
      <w:smallCaps w:val="0"/>
      <w:lang w:val="en-US"/>
    </w:rPr>
  </w:style>
  <w:style w:type="table" w:customStyle="1" w:styleId="GlobalFund">
    <w:name w:val="Global Fund"/>
    <w:basedOn w:val="TableNormal"/>
    <w:uiPriority w:val="99"/>
    <w:rsid w:val="00F527CC"/>
    <w:pPr>
      <w:spacing w:after="0" w:line="240" w:lineRule="auto"/>
    </w:pPr>
    <w:rPr>
      <w:color w:val="828282" w:themeColor="text1" w:themeTint="A6"/>
    </w:rPr>
    <w:tblPr>
      <w:tblStyleRowBandSize w:val="1"/>
      <w:tblCellMar>
        <w:left w:w="0" w:type="dxa"/>
      </w:tblCellMar>
    </w:tblPr>
    <w:tcPr>
      <w:vAlign w:val="center"/>
    </w:tcPr>
    <w:tblStylePr w:type="firstRow">
      <w:pPr>
        <w:jc w:val="left"/>
      </w:pPr>
      <w:rPr>
        <w:rFonts w:ascii="Arial" w:hAnsi="Arial"/>
        <w:b w:val="0"/>
        <w:i w:val="0"/>
        <w:caps/>
        <w:smallCaps w:val="0"/>
        <w:color w:val="6F6F6F" w:themeColor="text1" w:themeTint="BF"/>
      </w:rPr>
      <w:tblPr/>
      <w:tcPr>
        <w:tcBorders>
          <w:bottom w:val="single" w:sz="6" w:space="0" w:color="6F6F6F" w:themeColor="text1" w:themeTint="BF"/>
        </w:tcBorders>
      </w:tcPr>
    </w:tblStylePr>
    <w:tblStylePr w:type="lastRow">
      <w:pPr>
        <w:jc w:val="left"/>
      </w:pPr>
      <w:rPr>
        <w:rFonts w:ascii="Arial" w:hAnsi="Arial"/>
        <w:color w:val="404040" w:themeColor="text1"/>
      </w:rPr>
      <w:tblPr/>
      <w:tcPr>
        <w:tcBorders>
          <w:top w:val="single" w:sz="6" w:space="0" w:color="5C5C5C" w:themeColor="text1" w:themeTint="D9"/>
          <w:left w:val="nil"/>
          <w:bottom w:val="single" w:sz="6" w:space="0" w:color="5C5C5C" w:themeColor="text1" w:themeTint="D9"/>
          <w:right w:val="nil"/>
          <w:insideH w:val="nil"/>
          <w:insideV w:val="nil"/>
          <w:tl2br w:val="nil"/>
          <w:tr2bl w:val="nil"/>
        </w:tcBorders>
      </w:tcPr>
    </w:tblStylePr>
    <w:tblStylePr w:type="band1Horz">
      <w:pPr>
        <w:jc w:val="left"/>
      </w:pPr>
      <w:rPr>
        <w:color w:val="6F6F6F" w:themeColor="text1" w:themeTint="BF"/>
      </w:rPr>
      <w:tblPr/>
      <w:tcPr>
        <w:tcBorders>
          <w:top w:val="nil"/>
          <w:left w:val="nil"/>
          <w:bottom w:val="single" w:sz="2" w:space="0" w:color="BFBFBF" w:themeColor="background1" w:themeShade="BF"/>
          <w:right w:val="nil"/>
          <w:insideH w:val="nil"/>
          <w:insideV w:val="nil"/>
          <w:tl2br w:val="nil"/>
          <w:tr2bl w:val="nil"/>
        </w:tcBorders>
      </w:tcPr>
    </w:tblStylePr>
    <w:tblStylePr w:type="band2Horz">
      <w:pPr>
        <w:jc w:val="left"/>
      </w:pPr>
      <w:rPr>
        <w:color w:val="828282" w:themeColor="text1" w:themeTint="A6"/>
      </w:rPr>
      <w:tblPr/>
      <w:tcPr>
        <w:tcBorders>
          <w:top w:val="nil"/>
          <w:left w:val="nil"/>
          <w:bottom w:val="single" w:sz="2" w:space="0" w:color="BFBFBF" w:themeColor="background1" w:themeShade="BF"/>
          <w:right w:val="nil"/>
          <w:insideH w:val="nil"/>
          <w:insideV w:val="nil"/>
          <w:tl2br w:val="nil"/>
          <w:tr2bl w:val="nil"/>
        </w:tcBorders>
      </w:tcPr>
    </w:tblStylePr>
  </w:style>
  <w:style w:type="character" w:customStyle="1" w:styleId="Heading1Char">
    <w:name w:val="Heading 1 Char"/>
    <w:basedOn w:val="DefaultParagraphFont"/>
    <w:link w:val="Heading1"/>
    <w:uiPriority w:val="9"/>
    <w:rsid w:val="0098274C"/>
    <w:rPr>
      <w:rFonts w:eastAsiaTheme="majorEastAsia" w:cs="Arial"/>
      <w:b/>
      <w:bCs/>
      <w:noProof/>
      <w:sz w:val="30"/>
      <w:szCs w:val="30"/>
      <w:shd w:val="clear" w:color="auto" w:fill="D9D9D9" w:themeFill="background1" w:themeFillShade="D9"/>
      <w:lang w:val="en-US"/>
    </w:rPr>
  </w:style>
  <w:style w:type="character" w:customStyle="1" w:styleId="Heading2Char">
    <w:name w:val="Heading 2 Char"/>
    <w:basedOn w:val="DefaultParagraphFont"/>
    <w:link w:val="Heading2"/>
    <w:uiPriority w:val="9"/>
    <w:rsid w:val="00F527CC"/>
    <w:rPr>
      <w:rFonts w:eastAsiaTheme="majorEastAsia" w:cs="Arial"/>
      <w:b/>
      <w:bCs/>
      <w:noProof/>
      <w:lang w:val="en-US"/>
    </w:rPr>
  </w:style>
  <w:style w:type="paragraph" w:customStyle="1" w:styleId="NormalNoSpace">
    <w:name w:val="NormalNoSpace"/>
    <w:basedOn w:val="Normal"/>
    <w:next w:val="Normal"/>
    <w:uiPriority w:val="5"/>
    <w:qFormat/>
    <w:rsid w:val="00F527CC"/>
    <w:pPr>
      <w:spacing w:after="0"/>
    </w:pPr>
  </w:style>
  <w:style w:type="paragraph" w:customStyle="1" w:styleId="Note">
    <w:name w:val="Note"/>
    <w:basedOn w:val="Normal"/>
    <w:next w:val="Normal"/>
    <w:uiPriority w:val="29"/>
    <w:qFormat/>
    <w:rsid w:val="00F527CC"/>
    <w:pPr>
      <w:spacing w:line="220" w:lineRule="atLeast"/>
    </w:pPr>
    <w:rPr>
      <w:sz w:val="16"/>
      <w:szCs w:val="16"/>
    </w:rPr>
  </w:style>
  <w:style w:type="paragraph" w:styleId="FootnoteText">
    <w:name w:val="footnote text"/>
    <w:aliases w:val="fn,Footnote ak,footnote text,fn Char,footnote text Char,Footnotes Char,Footnote ak Char,ft,fn cafc,Footnotes Char Char,Footnote Text Char Char,fn Char Char,footnote text Char Char Char Ch,Footnote Text English"/>
    <w:basedOn w:val="Normal"/>
    <w:link w:val="FootnoteTextChar"/>
    <w:uiPriority w:val="99"/>
    <w:unhideWhenUsed/>
    <w:rsid w:val="00F527CC"/>
    <w:pPr>
      <w:spacing w:after="0" w:line="240" w:lineRule="auto"/>
    </w:pPr>
    <w:rPr>
      <w:sz w:val="16"/>
      <w:szCs w:val="20"/>
    </w:rPr>
  </w:style>
  <w:style w:type="character" w:customStyle="1" w:styleId="FootnoteTextChar">
    <w:name w:val="Footnote Text Char"/>
    <w:aliases w:val="fn Char1,Footnote ak Char1,footnote text Char1,fn Char Char1,footnote text Char Char,Footnotes Char Char1,Footnote ak Char Char,ft Char,fn cafc Char,Footnotes Char Char Char,Footnote Text Char Char Char,fn Char Char Char"/>
    <w:basedOn w:val="DefaultParagraphFont"/>
    <w:link w:val="FootnoteText"/>
    <w:uiPriority w:val="99"/>
    <w:rsid w:val="00F527CC"/>
    <w:rPr>
      <w:sz w:val="16"/>
      <w:szCs w:val="20"/>
      <w:lang w:val="en-US"/>
    </w:rPr>
  </w:style>
  <w:style w:type="character" w:styleId="FootnoteReference">
    <w:name w:val="footnote reference"/>
    <w:aliases w:val="ftref"/>
    <w:basedOn w:val="DefaultParagraphFont"/>
    <w:uiPriority w:val="99"/>
    <w:unhideWhenUsed/>
    <w:rsid w:val="00F527CC"/>
    <w:rPr>
      <w:vertAlign w:val="superscript"/>
      <w:lang w:val="en-US"/>
    </w:rPr>
  </w:style>
  <w:style w:type="paragraph" w:styleId="NoSpacing">
    <w:name w:val="No Spacing"/>
    <w:link w:val="NoSpacingChar"/>
    <w:uiPriority w:val="1"/>
    <w:qFormat/>
    <w:rsid w:val="00F527CC"/>
    <w:pPr>
      <w:spacing w:after="0" w:line="240" w:lineRule="auto"/>
    </w:pPr>
    <w:rPr>
      <w:lang w:val="en-US"/>
    </w:rPr>
  </w:style>
  <w:style w:type="paragraph" w:styleId="EndnoteText">
    <w:name w:val="endnote text"/>
    <w:basedOn w:val="Normal"/>
    <w:link w:val="EndnoteTextChar"/>
    <w:uiPriority w:val="99"/>
    <w:semiHidden/>
    <w:unhideWhenUsed/>
    <w:rsid w:val="00F527CC"/>
    <w:pPr>
      <w:spacing w:after="0" w:line="240" w:lineRule="auto"/>
    </w:pPr>
    <w:rPr>
      <w:sz w:val="16"/>
      <w:szCs w:val="16"/>
    </w:rPr>
  </w:style>
  <w:style w:type="character" w:customStyle="1" w:styleId="EndnoteTextChar">
    <w:name w:val="Endnote Text Char"/>
    <w:basedOn w:val="DefaultParagraphFont"/>
    <w:link w:val="EndnoteText"/>
    <w:uiPriority w:val="99"/>
    <w:semiHidden/>
    <w:rsid w:val="00F527CC"/>
    <w:rPr>
      <w:sz w:val="16"/>
      <w:szCs w:val="16"/>
      <w:lang w:val="en-US"/>
    </w:rPr>
  </w:style>
  <w:style w:type="character" w:styleId="EndnoteReference">
    <w:name w:val="endnote reference"/>
    <w:basedOn w:val="DefaultParagraphFont"/>
    <w:uiPriority w:val="99"/>
    <w:semiHidden/>
    <w:unhideWhenUsed/>
    <w:rsid w:val="00F527CC"/>
    <w:rPr>
      <w:vertAlign w:val="superscript"/>
      <w:lang w:val="en-US"/>
    </w:rPr>
  </w:style>
  <w:style w:type="table" w:customStyle="1" w:styleId="GlobalFund1">
    <w:name w:val="Global Fund 1"/>
    <w:basedOn w:val="GlobalFund"/>
    <w:uiPriority w:val="99"/>
    <w:rsid w:val="00F527CC"/>
    <w:rPr>
      <w:color w:val="6F6F6F" w:themeColor="text1" w:themeTint="BF"/>
    </w:rPr>
    <w:tblPr>
      <w:tblCellMar>
        <w:top w:w="108" w:type="dxa"/>
        <w:bottom w:w="108" w:type="dxa"/>
      </w:tblCellMar>
    </w:tblPr>
    <w:tblStylePr w:type="firstRow">
      <w:pPr>
        <w:jc w:val="left"/>
      </w:pPr>
      <w:rPr>
        <w:rFonts w:ascii="Arial" w:hAnsi="Arial"/>
        <w:b w:val="0"/>
        <w:i w:val="0"/>
        <w:caps/>
        <w:smallCaps w:val="0"/>
        <w:color w:val="6F6F6F" w:themeColor="text1" w:themeTint="BF"/>
      </w:rPr>
      <w:tblPr/>
      <w:tcPr>
        <w:tcBorders>
          <w:bottom w:val="single" w:sz="6" w:space="0" w:color="6F6F6F" w:themeColor="text1" w:themeTint="BF"/>
        </w:tcBorders>
      </w:tcPr>
    </w:tblStylePr>
    <w:tblStylePr w:type="lastRow">
      <w:pPr>
        <w:jc w:val="left"/>
      </w:pPr>
      <w:rPr>
        <w:rFonts w:ascii="Arial" w:hAnsi="Arial"/>
        <w:color w:val="404040" w:themeColor="text1"/>
      </w:rPr>
      <w:tblPr/>
      <w:tcPr>
        <w:tcBorders>
          <w:top w:val="single" w:sz="6" w:space="0" w:color="404040" w:themeColor="text1"/>
          <w:left w:val="nil"/>
          <w:bottom w:val="single" w:sz="6" w:space="0" w:color="404040" w:themeColor="text1"/>
          <w:right w:val="nil"/>
          <w:insideH w:val="nil"/>
          <w:insideV w:val="nil"/>
          <w:tl2br w:val="nil"/>
          <w:tr2bl w:val="nil"/>
        </w:tcBorders>
      </w:tcPr>
    </w:tblStylePr>
    <w:tblStylePr w:type="band1Horz">
      <w:pPr>
        <w:jc w:val="left"/>
      </w:pPr>
      <w:rPr>
        <w:color w:val="6F6F6F" w:themeColor="text1" w:themeTint="BF"/>
      </w:rPr>
      <w:tblPr/>
      <w:tcPr>
        <w:tcBorders>
          <w:top w:val="nil"/>
          <w:left w:val="nil"/>
          <w:bottom w:val="single" w:sz="2" w:space="0" w:color="BFBFBF" w:themeColor="background1" w:themeShade="BF"/>
          <w:right w:val="nil"/>
          <w:insideH w:val="nil"/>
          <w:insideV w:val="nil"/>
          <w:tl2br w:val="nil"/>
          <w:tr2bl w:val="nil"/>
        </w:tcBorders>
      </w:tcPr>
    </w:tblStylePr>
    <w:tblStylePr w:type="band2Horz">
      <w:pPr>
        <w:jc w:val="left"/>
      </w:pPr>
      <w:rPr>
        <w:color w:val="6F6F6F" w:themeColor="text1" w:themeTint="BF"/>
      </w:rPr>
      <w:tblPr/>
      <w:tcPr>
        <w:tcBorders>
          <w:top w:val="nil"/>
          <w:left w:val="nil"/>
          <w:bottom w:val="single" w:sz="2" w:space="0" w:color="BFBFBF" w:themeColor="background1" w:themeShade="BF"/>
          <w:right w:val="nil"/>
          <w:insideH w:val="nil"/>
          <w:insideV w:val="nil"/>
          <w:tl2br w:val="nil"/>
          <w:tr2bl w:val="nil"/>
        </w:tcBorders>
      </w:tcPr>
    </w:tblStylePr>
  </w:style>
  <w:style w:type="paragraph" w:customStyle="1" w:styleId="TableTrailer">
    <w:name w:val="TableTrailer"/>
    <w:basedOn w:val="Normal"/>
    <w:next w:val="Normal"/>
    <w:uiPriority w:val="15"/>
    <w:semiHidden/>
    <w:rsid w:val="00F527CC"/>
    <w:pPr>
      <w:spacing w:after="0" w:line="240" w:lineRule="auto"/>
    </w:pPr>
    <w:rPr>
      <w:noProof/>
      <w:sz w:val="2"/>
    </w:rPr>
  </w:style>
  <w:style w:type="character" w:styleId="PlaceholderText">
    <w:name w:val="Placeholder Text"/>
    <w:basedOn w:val="DefaultParagraphFont"/>
    <w:uiPriority w:val="99"/>
    <w:semiHidden/>
    <w:rsid w:val="00F527CC"/>
    <w:rPr>
      <w:color w:val="808080"/>
      <w:lang w:val="en-US"/>
    </w:rPr>
  </w:style>
  <w:style w:type="paragraph" w:customStyle="1" w:styleId="AddressTopLine">
    <w:name w:val="AddressTopLine"/>
    <w:basedOn w:val="Address"/>
    <w:semiHidden/>
    <w:qFormat/>
    <w:rsid w:val="00F527CC"/>
    <w:pPr>
      <w:spacing w:after="180"/>
      <w:contextualSpacing/>
    </w:pPr>
  </w:style>
  <w:style w:type="paragraph" w:customStyle="1" w:styleId="AddressTopLineSmall">
    <w:name w:val="AddressTopLineSmall"/>
    <w:basedOn w:val="AddressTopLine"/>
    <w:semiHidden/>
    <w:qFormat/>
    <w:rsid w:val="00F527CC"/>
    <w:pPr>
      <w:spacing w:line="140" w:lineRule="atLeast"/>
    </w:pPr>
    <w:rPr>
      <w:sz w:val="12"/>
    </w:rPr>
  </w:style>
  <w:style w:type="paragraph" w:customStyle="1" w:styleId="AddressSmall">
    <w:name w:val="AddressSmall"/>
    <w:basedOn w:val="Address"/>
    <w:semiHidden/>
    <w:qFormat/>
    <w:rsid w:val="00F527CC"/>
    <w:pPr>
      <w:spacing w:line="140" w:lineRule="atLeast"/>
    </w:pPr>
    <w:rPr>
      <w:sz w:val="12"/>
    </w:rPr>
  </w:style>
  <w:style w:type="paragraph" w:customStyle="1" w:styleId="Tiny">
    <w:name w:val="Tiny"/>
    <w:basedOn w:val="Normal"/>
    <w:uiPriority w:val="15"/>
    <w:semiHidden/>
    <w:qFormat/>
    <w:rsid w:val="00F527CC"/>
    <w:pPr>
      <w:spacing w:after="0" w:line="240" w:lineRule="auto"/>
    </w:pPr>
    <w:rPr>
      <w:sz w:val="2"/>
    </w:rPr>
  </w:style>
  <w:style w:type="paragraph" w:styleId="Title">
    <w:name w:val="Title"/>
    <w:basedOn w:val="Normal"/>
    <w:next w:val="Subtitle"/>
    <w:link w:val="TitleChar"/>
    <w:uiPriority w:val="10"/>
    <w:qFormat/>
    <w:rsid w:val="00F527CC"/>
    <w:pPr>
      <w:spacing w:after="567" w:line="240" w:lineRule="auto"/>
      <w:contextualSpacing/>
    </w:pPr>
    <w:rPr>
      <w:rFonts w:eastAsiaTheme="majorEastAsia" w:cstheme="majorBidi"/>
      <w:kern w:val="28"/>
      <w:sz w:val="48"/>
      <w:szCs w:val="48"/>
    </w:rPr>
  </w:style>
  <w:style w:type="character" w:customStyle="1" w:styleId="TitleChar">
    <w:name w:val="Title Char"/>
    <w:basedOn w:val="DefaultParagraphFont"/>
    <w:link w:val="Title"/>
    <w:uiPriority w:val="10"/>
    <w:rsid w:val="00F527CC"/>
    <w:rPr>
      <w:rFonts w:eastAsiaTheme="majorEastAsia" w:cstheme="majorBidi"/>
      <w:kern w:val="28"/>
      <w:sz w:val="48"/>
      <w:szCs w:val="48"/>
      <w:lang w:val="en-US"/>
    </w:rPr>
  </w:style>
  <w:style w:type="paragraph" w:styleId="Subtitle">
    <w:name w:val="Subtitle"/>
    <w:basedOn w:val="Normal"/>
    <w:next w:val="Normal"/>
    <w:link w:val="SubtitleChar"/>
    <w:uiPriority w:val="11"/>
    <w:qFormat/>
    <w:rsid w:val="00F527CC"/>
    <w:pPr>
      <w:numPr>
        <w:ilvl w:val="1"/>
      </w:numPr>
      <w:spacing w:line="440" w:lineRule="atLeast"/>
    </w:pPr>
    <w:rPr>
      <w:rFonts w:eastAsiaTheme="minorEastAsia"/>
      <w:spacing w:val="15"/>
      <w:sz w:val="36"/>
      <w:szCs w:val="36"/>
    </w:rPr>
  </w:style>
  <w:style w:type="character" w:customStyle="1" w:styleId="SubtitleChar">
    <w:name w:val="Subtitle Char"/>
    <w:basedOn w:val="DefaultParagraphFont"/>
    <w:link w:val="Subtitle"/>
    <w:uiPriority w:val="11"/>
    <w:rsid w:val="00F527CC"/>
    <w:rPr>
      <w:rFonts w:eastAsiaTheme="minorEastAsia"/>
      <w:spacing w:val="15"/>
      <w:sz w:val="36"/>
      <w:szCs w:val="36"/>
      <w:lang w:val="en-US"/>
    </w:rPr>
  </w:style>
  <w:style w:type="paragraph" w:customStyle="1" w:styleId="Bullet1">
    <w:name w:val="Bullet 1"/>
    <w:basedOn w:val="Normal"/>
    <w:uiPriority w:val="32"/>
    <w:qFormat/>
    <w:rsid w:val="00F527CC"/>
    <w:pPr>
      <w:numPr>
        <w:numId w:val="11"/>
      </w:numPr>
      <w:spacing w:after="160" w:line="260" w:lineRule="atLeast"/>
    </w:pPr>
    <w:rPr>
      <w:szCs w:val="20"/>
    </w:rPr>
  </w:style>
  <w:style w:type="paragraph" w:customStyle="1" w:styleId="Bullet2">
    <w:name w:val="Bullet 2"/>
    <w:basedOn w:val="Normal"/>
    <w:uiPriority w:val="32"/>
    <w:qFormat/>
    <w:rsid w:val="00F527CC"/>
    <w:pPr>
      <w:numPr>
        <w:ilvl w:val="1"/>
        <w:numId w:val="11"/>
      </w:numPr>
      <w:spacing w:after="160" w:line="260" w:lineRule="atLeast"/>
    </w:pPr>
    <w:rPr>
      <w:szCs w:val="20"/>
    </w:rPr>
  </w:style>
  <w:style w:type="numbering" w:customStyle="1" w:styleId="NumbLstBullet">
    <w:name w:val="NumbLstBullet"/>
    <w:uiPriority w:val="99"/>
    <w:rsid w:val="00F527CC"/>
    <w:pPr>
      <w:numPr>
        <w:numId w:val="11"/>
      </w:numPr>
    </w:pPr>
  </w:style>
  <w:style w:type="paragraph" w:customStyle="1" w:styleId="AlphaList1">
    <w:name w:val="AlphaList 1"/>
    <w:basedOn w:val="Normal"/>
    <w:uiPriority w:val="31"/>
    <w:qFormat/>
    <w:rsid w:val="00F527CC"/>
    <w:pPr>
      <w:numPr>
        <w:numId w:val="14"/>
      </w:numPr>
      <w:spacing w:after="160" w:line="260" w:lineRule="atLeast"/>
    </w:pPr>
    <w:rPr>
      <w:szCs w:val="20"/>
    </w:rPr>
  </w:style>
  <w:style w:type="paragraph" w:customStyle="1" w:styleId="AlphaList2">
    <w:name w:val="AlphaList 2"/>
    <w:basedOn w:val="Normal"/>
    <w:uiPriority w:val="31"/>
    <w:qFormat/>
    <w:rsid w:val="00F527CC"/>
    <w:pPr>
      <w:numPr>
        <w:ilvl w:val="1"/>
        <w:numId w:val="14"/>
      </w:numPr>
      <w:spacing w:after="160" w:line="260" w:lineRule="atLeast"/>
    </w:pPr>
    <w:rPr>
      <w:szCs w:val="20"/>
    </w:rPr>
  </w:style>
  <w:style w:type="numbering" w:customStyle="1" w:styleId="NumbListAlpha">
    <w:name w:val="NumbListAlpha"/>
    <w:uiPriority w:val="99"/>
    <w:rsid w:val="00F527CC"/>
    <w:pPr>
      <w:numPr>
        <w:numId w:val="12"/>
      </w:numPr>
    </w:pPr>
  </w:style>
  <w:style w:type="paragraph" w:customStyle="1" w:styleId="Bullet3">
    <w:name w:val="Bullet 3"/>
    <w:basedOn w:val="Normal"/>
    <w:uiPriority w:val="32"/>
    <w:rsid w:val="00F527CC"/>
    <w:pPr>
      <w:numPr>
        <w:ilvl w:val="2"/>
        <w:numId w:val="11"/>
      </w:numPr>
      <w:jc w:val="both"/>
    </w:pPr>
    <w:rPr>
      <w:szCs w:val="20"/>
    </w:rPr>
  </w:style>
  <w:style w:type="numbering" w:customStyle="1" w:styleId="NumHeadingsLst">
    <w:name w:val="NumHeadingsLst"/>
    <w:uiPriority w:val="99"/>
    <w:rsid w:val="00F527CC"/>
    <w:pPr>
      <w:numPr>
        <w:numId w:val="13"/>
      </w:numPr>
    </w:pPr>
  </w:style>
  <w:style w:type="paragraph" w:styleId="Quote">
    <w:name w:val="Quote"/>
    <w:basedOn w:val="Normal"/>
    <w:next w:val="Normal"/>
    <w:link w:val="QuoteChar"/>
    <w:uiPriority w:val="39"/>
    <w:unhideWhenUsed/>
    <w:qFormat/>
    <w:rsid w:val="00F527CC"/>
    <w:pPr>
      <w:spacing w:before="200"/>
      <w:ind w:left="794" w:right="794"/>
    </w:pPr>
  </w:style>
  <w:style w:type="character" w:customStyle="1" w:styleId="QuoteChar">
    <w:name w:val="Quote Char"/>
    <w:basedOn w:val="DefaultParagraphFont"/>
    <w:link w:val="Quote"/>
    <w:uiPriority w:val="39"/>
    <w:rsid w:val="00F527CC"/>
    <w:rPr>
      <w:lang w:val="en-US"/>
    </w:rPr>
  </w:style>
  <w:style w:type="paragraph" w:styleId="TOC1">
    <w:name w:val="toc 1"/>
    <w:basedOn w:val="Normal"/>
    <w:next w:val="Normal"/>
    <w:autoRedefine/>
    <w:uiPriority w:val="39"/>
    <w:rsid w:val="00F527CC"/>
    <w:pPr>
      <w:tabs>
        <w:tab w:val="left" w:pos="567"/>
        <w:tab w:val="right" w:pos="9628"/>
      </w:tabs>
      <w:spacing w:before="540" w:after="100" w:line="420" w:lineRule="atLeast"/>
      <w:ind w:left="567" w:right="567" w:hanging="567"/>
    </w:pPr>
    <w:rPr>
      <w:noProof/>
      <w:sz w:val="36"/>
      <w:szCs w:val="36"/>
    </w:rPr>
  </w:style>
  <w:style w:type="paragraph" w:styleId="TOC2">
    <w:name w:val="toc 2"/>
    <w:basedOn w:val="Normal"/>
    <w:next w:val="Normal"/>
    <w:autoRedefine/>
    <w:uiPriority w:val="39"/>
    <w:rsid w:val="00F527CC"/>
    <w:pPr>
      <w:tabs>
        <w:tab w:val="left" w:pos="567"/>
      </w:tabs>
      <w:spacing w:after="100" w:line="300" w:lineRule="atLeast"/>
      <w:ind w:left="567" w:right="567" w:hanging="567"/>
    </w:pPr>
    <w:rPr>
      <w:szCs w:val="20"/>
    </w:rPr>
  </w:style>
  <w:style w:type="character" w:styleId="Hyperlink">
    <w:name w:val="Hyperlink"/>
    <w:basedOn w:val="DefaultParagraphFont"/>
    <w:uiPriority w:val="99"/>
    <w:rsid w:val="00F527CC"/>
    <w:rPr>
      <w:color w:val="0563C1" w:themeColor="hyperlink"/>
      <w:u w:val="single"/>
      <w:lang w:val="en-US"/>
    </w:rPr>
  </w:style>
  <w:style w:type="paragraph" w:styleId="TOC3">
    <w:name w:val="toc 3"/>
    <w:basedOn w:val="Normal"/>
    <w:next w:val="Normal"/>
    <w:autoRedefine/>
    <w:uiPriority w:val="39"/>
    <w:semiHidden/>
    <w:unhideWhenUsed/>
    <w:rsid w:val="00F527CC"/>
    <w:pPr>
      <w:spacing w:after="100"/>
      <w:ind w:left="440"/>
    </w:pPr>
  </w:style>
  <w:style w:type="paragraph" w:styleId="TOC4">
    <w:name w:val="toc 4"/>
    <w:basedOn w:val="Normal"/>
    <w:next w:val="Normal"/>
    <w:autoRedefine/>
    <w:uiPriority w:val="39"/>
    <w:semiHidden/>
    <w:unhideWhenUsed/>
    <w:rsid w:val="00F527CC"/>
    <w:pPr>
      <w:spacing w:after="100"/>
      <w:ind w:left="660"/>
    </w:pPr>
  </w:style>
  <w:style w:type="paragraph" w:customStyle="1" w:styleId="Heading1NonNumbNoTOC">
    <w:name w:val="Heading 1 Non Numb No TOC"/>
    <w:basedOn w:val="Normal"/>
    <w:next w:val="Normal"/>
    <w:uiPriority w:val="10"/>
    <w:unhideWhenUsed/>
    <w:qFormat/>
    <w:rsid w:val="00F527CC"/>
    <w:pPr>
      <w:keepNext/>
      <w:pageBreakBefore/>
      <w:spacing w:before="260" w:after="1000" w:line="420" w:lineRule="atLeast"/>
    </w:pPr>
    <w:rPr>
      <w:rFonts w:cs="Arial"/>
      <w:sz w:val="36"/>
      <w:szCs w:val="36"/>
    </w:rPr>
  </w:style>
  <w:style w:type="paragraph" w:customStyle="1" w:styleId="CoverPageTitle">
    <w:name w:val="Cover Page Title"/>
    <w:basedOn w:val="Normal"/>
    <w:uiPriority w:val="53"/>
    <w:qFormat/>
    <w:rsid w:val="00F527CC"/>
    <w:pPr>
      <w:spacing w:before="200" w:after="200"/>
      <w:contextualSpacing/>
      <w:jc w:val="center"/>
    </w:pPr>
    <w:rPr>
      <w:bCs/>
      <w:color w:val="1E1E1E" w:themeColor="background2"/>
      <w:kern w:val="40"/>
      <w:sz w:val="80"/>
      <w:szCs w:val="80"/>
    </w:rPr>
  </w:style>
  <w:style w:type="paragraph" w:customStyle="1" w:styleId="CoverPageDate">
    <w:name w:val="Cover Page Date"/>
    <w:basedOn w:val="Normal"/>
    <w:uiPriority w:val="53"/>
    <w:qFormat/>
    <w:rsid w:val="00F527CC"/>
    <w:pPr>
      <w:jc w:val="center"/>
    </w:pPr>
    <w:rPr>
      <w:b/>
      <w:caps/>
    </w:rPr>
  </w:style>
  <w:style w:type="paragraph" w:styleId="BalloonText">
    <w:name w:val="Balloon Text"/>
    <w:basedOn w:val="Normal"/>
    <w:link w:val="BalloonTextChar"/>
    <w:uiPriority w:val="99"/>
    <w:semiHidden/>
    <w:unhideWhenUsed/>
    <w:rsid w:val="00F52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7CC"/>
    <w:rPr>
      <w:rFonts w:ascii="Segoe UI" w:hAnsi="Segoe UI" w:cs="Segoe UI"/>
      <w:sz w:val="18"/>
      <w:szCs w:val="18"/>
      <w:lang w:val="en-US"/>
    </w:rPr>
  </w:style>
  <w:style w:type="paragraph" w:styleId="BodyTextIndent">
    <w:name w:val="Body Text Indent"/>
    <w:basedOn w:val="Normal"/>
    <w:link w:val="BodyTextIndentChar"/>
    <w:uiPriority w:val="34"/>
    <w:rsid w:val="00F527CC"/>
    <w:pPr>
      <w:ind w:left="397"/>
    </w:pPr>
    <w:rPr>
      <w:noProof/>
    </w:rPr>
  </w:style>
  <w:style w:type="character" w:customStyle="1" w:styleId="BodyTextIndentChar">
    <w:name w:val="Body Text Indent Char"/>
    <w:basedOn w:val="DefaultParagraphFont"/>
    <w:link w:val="BodyTextIndent"/>
    <w:uiPriority w:val="34"/>
    <w:rsid w:val="00F527CC"/>
    <w:rPr>
      <w:noProof/>
      <w:lang w:val="en-US"/>
    </w:rPr>
  </w:style>
  <w:style w:type="paragraph" w:styleId="BodyTextIndent2">
    <w:name w:val="Body Text Indent 2"/>
    <w:basedOn w:val="BodyTextIndent"/>
    <w:link w:val="BodyTextIndent2Char"/>
    <w:uiPriority w:val="34"/>
    <w:rsid w:val="00F527CC"/>
    <w:pPr>
      <w:ind w:left="794"/>
    </w:pPr>
  </w:style>
  <w:style w:type="character" w:customStyle="1" w:styleId="BodyTextIndent2Char">
    <w:name w:val="Body Text Indent 2 Char"/>
    <w:basedOn w:val="DefaultParagraphFont"/>
    <w:link w:val="BodyTextIndent2"/>
    <w:uiPriority w:val="34"/>
    <w:rsid w:val="00F527CC"/>
    <w:rPr>
      <w:noProof/>
      <w:lang w:val="en-US"/>
    </w:rPr>
  </w:style>
  <w:style w:type="paragraph" w:customStyle="1" w:styleId="HeaderHidden">
    <w:name w:val="HeaderHidden"/>
    <w:basedOn w:val="Header"/>
    <w:uiPriority w:val="5"/>
    <w:qFormat/>
    <w:rsid w:val="00F527CC"/>
    <w:rPr>
      <w:color w:val="FFFFFF" w:themeColor="text2"/>
    </w:rPr>
  </w:style>
  <w:style w:type="character" w:customStyle="1" w:styleId="Heading3Char">
    <w:name w:val="Heading 3 Char"/>
    <w:basedOn w:val="DefaultParagraphFont"/>
    <w:link w:val="Heading3"/>
    <w:uiPriority w:val="9"/>
    <w:semiHidden/>
    <w:rsid w:val="00F527CC"/>
    <w:rPr>
      <w:rFonts w:eastAsiaTheme="majorEastAsia" w:cs="Arial"/>
      <w:b/>
      <w:szCs w:val="24"/>
      <w:lang w:val="en-US"/>
    </w:rPr>
  </w:style>
  <w:style w:type="character" w:customStyle="1" w:styleId="Heading4Char">
    <w:name w:val="Heading 4 Char"/>
    <w:basedOn w:val="DefaultParagraphFont"/>
    <w:link w:val="Heading4"/>
    <w:uiPriority w:val="9"/>
    <w:semiHidden/>
    <w:rsid w:val="00F527CC"/>
    <w:rPr>
      <w:rFonts w:eastAsiaTheme="majorEastAsia" w:cs="Arial"/>
      <w:i/>
      <w:iCs/>
      <w:color w:val="939599" w:themeColor="accent1" w:themeShade="BF"/>
      <w:lang w:val="en-US"/>
    </w:rPr>
  </w:style>
  <w:style w:type="character" w:customStyle="1" w:styleId="Heading5Char">
    <w:name w:val="Heading 5 Char"/>
    <w:basedOn w:val="DefaultParagraphFont"/>
    <w:link w:val="Heading5"/>
    <w:uiPriority w:val="9"/>
    <w:semiHidden/>
    <w:rsid w:val="00F527CC"/>
    <w:rPr>
      <w:rFonts w:eastAsiaTheme="majorEastAsia" w:cs="Arial"/>
      <w:color w:val="939599" w:themeColor="accent1" w:themeShade="BF"/>
      <w:lang w:val="en-US"/>
    </w:rPr>
  </w:style>
  <w:style w:type="character" w:customStyle="1" w:styleId="Heading6Char">
    <w:name w:val="Heading 6 Char"/>
    <w:basedOn w:val="DefaultParagraphFont"/>
    <w:link w:val="Heading6"/>
    <w:uiPriority w:val="9"/>
    <w:semiHidden/>
    <w:rsid w:val="00F527CC"/>
    <w:rPr>
      <w:rFonts w:eastAsiaTheme="majorEastAsia" w:cs="Arial"/>
      <w:color w:val="616266" w:themeColor="accent1" w:themeShade="7F"/>
      <w:lang w:val="en-US"/>
    </w:rPr>
  </w:style>
  <w:style w:type="character" w:customStyle="1" w:styleId="Heading7Char">
    <w:name w:val="Heading 7 Char"/>
    <w:basedOn w:val="DefaultParagraphFont"/>
    <w:link w:val="Heading7"/>
    <w:uiPriority w:val="9"/>
    <w:semiHidden/>
    <w:rsid w:val="00F527CC"/>
    <w:rPr>
      <w:rFonts w:eastAsiaTheme="majorEastAsia" w:cs="Arial"/>
      <w:i/>
      <w:iCs/>
      <w:color w:val="616266" w:themeColor="accent1" w:themeShade="7F"/>
      <w:lang w:val="en-US"/>
    </w:rPr>
  </w:style>
  <w:style w:type="character" w:customStyle="1" w:styleId="Heading8Char">
    <w:name w:val="Heading 8 Char"/>
    <w:basedOn w:val="DefaultParagraphFont"/>
    <w:link w:val="Heading8"/>
    <w:uiPriority w:val="9"/>
    <w:semiHidden/>
    <w:rsid w:val="00F527CC"/>
    <w:rPr>
      <w:rFonts w:eastAsiaTheme="majorEastAsia" w:cs="Arial"/>
      <w:color w:val="5D5D5D" w:themeColor="text1" w:themeTint="D8"/>
      <w:sz w:val="21"/>
      <w:szCs w:val="21"/>
      <w:lang w:val="en-US"/>
    </w:rPr>
  </w:style>
  <w:style w:type="character" w:customStyle="1" w:styleId="Heading9Char">
    <w:name w:val="Heading 9 Char"/>
    <w:basedOn w:val="DefaultParagraphFont"/>
    <w:link w:val="Heading9"/>
    <w:uiPriority w:val="9"/>
    <w:semiHidden/>
    <w:rsid w:val="00F527CC"/>
    <w:rPr>
      <w:rFonts w:eastAsiaTheme="majorEastAsia" w:cs="Arial"/>
      <w:i/>
      <w:iCs/>
      <w:color w:val="5D5D5D" w:themeColor="text1" w:themeTint="D8"/>
      <w:sz w:val="21"/>
      <w:szCs w:val="21"/>
      <w:lang w:val="en-US"/>
    </w:rPr>
  </w:style>
  <w:style w:type="numbering" w:styleId="111111">
    <w:name w:val="Outline List 2"/>
    <w:basedOn w:val="NoList"/>
    <w:uiPriority w:val="99"/>
    <w:semiHidden/>
    <w:unhideWhenUsed/>
    <w:rsid w:val="00F527CC"/>
    <w:pPr>
      <w:numPr>
        <w:numId w:val="15"/>
      </w:numPr>
    </w:pPr>
  </w:style>
  <w:style w:type="numbering" w:styleId="1ai">
    <w:name w:val="Outline List 1"/>
    <w:basedOn w:val="NoList"/>
    <w:uiPriority w:val="99"/>
    <w:semiHidden/>
    <w:unhideWhenUsed/>
    <w:rsid w:val="00F527CC"/>
    <w:pPr>
      <w:numPr>
        <w:numId w:val="16"/>
      </w:numPr>
    </w:pPr>
  </w:style>
  <w:style w:type="numbering" w:styleId="ArticleSection">
    <w:name w:val="Outline List 3"/>
    <w:basedOn w:val="NoList"/>
    <w:uiPriority w:val="99"/>
    <w:semiHidden/>
    <w:unhideWhenUsed/>
    <w:rsid w:val="00F527CC"/>
    <w:pPr>
      <w:numPr>
        <w:numId w:val="17"/>
      </w:numPr>
    </w:pPr>
  </w:style>
  <w:style w:type="paragraph" w:styleId="Bibliography">
    <w:name w:val="Bibliography"/>
    <w:basedOn w:val="Normal"/>
    <w:next w:val="Normal"/>
    <w:uiPriority w:val="37"/>
    <w:semiHidden/>
    <w:unhideWhenUsed/>
    <w:rsid w:val="00F527CC"/>
  </w:style>
  <w:style w:type="paragraph" w:styleId="BlockText">
    <w:name w:val="Block Text"/>
    <w:basedOn w:val="Normal"/>
    <w:uiPriority w:val="99"/>
    <w:semiHidden/>
    <w:unhideWhenUsed/>
    <w:rsid w:val="00F527CC"/>
    <w:pPr>
      <w:pBdr>
        <w:top w:val="single" w:sz="2" w:space="10" w:color="C7C8CA" w:themeColor="accent1" w:frame="1"/>
        <w:left w:val="single" w:sz="2" w:space="10" w:color="C7C8CA" w:themeColor="accent1" w:frame="1"/>
        <w:bottom w:val="single" w:sz="2" w:space="10" w:color="C7C8CA" w:themeColor="accent1" w:frame="1"/>
        <w:right w:val="single" w:sz="2" w:space="10" w:color="C7C8CA" w:themeColor="accent1" w:frame="1"/>
      </w:pBdr>
      <w:ind w:left="1152" w:right="1152"/>
    </w:pPr>
    <w:rPr>
      <w:rFonts w:eastAsiaTheme="minorEastAsia" w:cs="Arial"/>
      <w:i/>
      <w:iCs/>
      <w:color w:val="C7C8CA" w:themeColor="accent1"/>
    </w:rPr>
  </w:style>
  <w:style w:type="paragraph" w:styleId="BodyText">
    <w:name w:val="Body Text"/>
    <w:basedOn w:val="Normal"/>
    <w:link w:val="BodyTextChar"/>
    <w:uiPriority w:val="99"/>
    <w:semiHidden/>
    <w:unhideWhenUsed/>
    <w:rsid w:val="00F527CC"/>
  </w:style>
  <w:style w:type="character" w:customStyle="1" w:styleId="BodyTextChar">
    <w:name w:val="Body Text Char"/>
    <w:basedOn w:val="DefaultParagraphFont"/>
    <w:link w:val="BodyText"/>
    <w:uiPriority w:val="99"/>
    <w:semiHidden/>
    <w:rsid w:val="00F527CC"/>
    <w:rPr>
      <w:lang w:val="en-US"/>
    </w:rPr>
  </w:style>
  <w:style w:type="paragraph" w:styleId="BodyText2">
    <w:name w:val="Body Text 2"/>
    <w:basedOn w:val="Normal"/>
    <w:link w:val="BodyText2Char"/>
    <w:uiPriority w:val="99"/>
    <w:semiHidden/>
    <w:unhideWhenUsed/>
    <w:rsid w:val="00F527CC"/>
    <w:pPr>
      <w:spacing w:line="480" w:lineRule="auto"/>
    </w:pPr>
  </w:style>
  <w:style w:type="character" w:customStyle="1" w:styleId="BodyText2Char">
    <w:name w:val="Body Text 2 Char"/>
    <w:basedOn w:val="DefaultParagraphFont"/>
    <w:link w:val="BodyText2"/>
    <w:uiPriority w:val="99"/>
    <w:semiHidden/>
    <w:rsid w:val="00F527CC"/>
    <w:rPr>
      <w:lang w:val="en-US"/>
    </w:rPr>
  </w:style>
  <w:style w:type="paragraph" w:styleId="BodyText3">
    <w:name w:val="Body Text 3"/>
    <w:basedOn w:val="Normal"/>
    <w:link w:val="BodyText3Char"/>
    <w:uiPriority w:val="99"/>
    <w:semiHidden/>
    <w:unhideWhenUsed/>
    <w:rsid w:val="00F527CC"/>
    <w:rPr>
      <w:sz w:val="16"/>
      <w:szCs w:val="16"/>
    </w:rPr>
  </w:style>
  <w:style w:type="character" w:customStyle="1" w:styleId="BodyText3Char">
    <w:name w:val="Body Text 3 Char"/>
    <w:basedOn w:val="DefaultParagraphFont"/>
    <w:link w:val="BodyText3"/>
    <w:uiPriority w:val="99"/>
    <w:semiHidden/>
    <w:rsid w:val="00F527CC"/>
    <w:rPr>
      <w:sz w:val="16"/>
      <w:szCs w:val="16"/>
      <w:lang w:val="en-US"/>
    </w:rPr>
  </w:style>
  <w:style w:type="paragraph" w:styleId="BodyTextFirstIndent">
    <w:name w:val="Body Text First Indent"/>
    <w:basedOn w:val="BodyText"/>
    <w:link w:val="BodyTextFirstIndentChar"/>
    <w:uiPriority w:val="99"/>
    <w:semiHidden/>
    <w:unhideWhenUsed/>
    <w:rsid w:val="00F527CC"/>
    <w:pPr>
      <w:ind w:firstLine="360"/>
    </w:pPr>
  </w:style>
  <w:style w:type="character" w:customStyle="1" w:styleId="BodyTextFirstIndentChar">
    <w:name w:val="Body Text First Indent Char"/>
    <w:basedOn w:val="BodyTextChar"/>
    <w:link w:val="BodyTextFirstIndent"/>
    <w:uiPriority w:val="99"/>
    <w:semiHidden/>
    <w:rsid w:val="00F527CC"/>
    <w:rPr>
      <w:lang w:val="en-US"/>
    </w:rPr>
  </w:style>
  <w:style w:type="paragraph" w:styleId="BodyTextFirstIndent2">
    <w:name w:val="Body Text First Indent 2"/>
    <w:basedOn w:val="BodyTextIndent"/>
    <w:link w:val="BodyTextFirstIndent2Char"/>
    <w:uiPriority w:val="99"/>
    <w:semiHidden/>
    <w:unhideWhenUsed/>
    <w:rsid w:val="00F527CC"/>
    <w:pPr>
      <w:ind w:left="360" w:firstLine="360"/>
    </w:pPr>
  </w:style>
  <w:style w:type="character" w:customStyle="1" w:styleId="BodyTextFirstIndent2Char">
    <w:name w:val="Body Text First Indent 2 Char"/>
    <w:basedOn w:val="BodyTextIndentChar"/>
    <w:link w:val="BodyTextFirstIndent2"/>
    <w:uiPriority w:val="99"/>
    <w:semiHidden/>
    <w:rsid w:val="00F527CC"/>
    <w:rPr>
      <w:noProof/>
      <w:lang w:val="en-US"/>
    </w:rPr>
  </w:style>
  <w:style w:type="paragraph" w:styleId="BodyTextIndent3">
    <w:name w:val="Body Text Indent 3"/>
    <w:basedOn w:val="Normal"/>
    <w:link w:val="BodyTextIndent3Char"/>
    <w:uiPriority w:val="99"/>
    <w:semiHidden/>
    <w:unhideWhenUsed/>
    <w:rsid w:val="00F527CC"/>
    <w:pPr>
      <w:ind w:left="283"/>
    </w:pPr>
    <w:rPr>
      <w:sz w:val="16"/>
      <w:szCs w:val="16"/>
    </w:rPr>
  </w:style>
  <w:style w:type="character" w:customStyle="1" w:styleId="BodyTextIndent3Char">
    <w:name w:val="Body Text Indent 3 Char"/>
    <w:basedOn w:val="DefaultParagraphFont"/>
    <w:link w:val="BodyTextIndent3"/>
    <w:uiPriority w:val="99"/>
    <w:semiHidden/>
    <w:rsid w:val="00F527CC"/>
    <w:rPr>
      <w:sz w:val="16"/>
      <w:szCs w:val="16"/>
      <w:lang w:val="en-US"/>
    </w:rPr>
  </w:style>
  <w:style w:type="character" w:styleId="BookTitle">
    <w:name w:val="Book Title"/>
    <w:basedOn w:val="DefaultParagraphFont"/>
    <w:uiPriority w:val="33"/>
    <w:qFormat/>
    <w:rsid w:val="00F527CC"/>
    <w:rPr>
      <w:b/>
      <w:bCs/>
      <w:i/>
      <w:iCs/>
      <w:spacing w:val="5"/>
      <w:lang w:val="en-US"/>
    </w:rPr>
  </w:style>
  <w:style w:type="paragraph" w:styleId="Caption">
    <w:name w:val="caption"/>
    <w:basedOn w:val="Normal"/>
    <w:next w:val="Normal"/>
    <w:uiPriority w:val="35"/>
    <w:semiHidden/>
    <w:unhideWhenUsed/>
    <w:qFormat/>
    <w:rsid w:val="00F527CC"/>
    <w:pPr>
      <w:spacing w:after="200" w:line="240" w:lineRule="auto"/>
    </w:pPr>
    <w:rPr>
      <w:i/>
      <w:iCs/>
      <w:color w:val="FFFFFF" w:themeColor="text2"/>
      <w:sz w:val="18"/>
      <w:szCs w:val="18"/>
    </w:rPr>
  </w:style>
  <w:style w:type="paragraph" w:styleId="Closing">
    <w:name w:val="Closing"/>
    <w:basedOn w:val="Normal"/>
    <w:link w:val="ClosingChar"/>
    <w:uiPriority w:val="99"/>
    <w:semiHidden/>
    <w:unhideWhenUsed/>
    <w:rsid w:val="00F527CC"/>
    <w:pPr>
      <w:spacing w:after="0" w:line="240" w:lineRule="auto"/>
      <w:ind w:left="4252"/>
    </w:pPr>
  </w:style>
  <w:style w:type="character" w:customStyle="1" w:styleId="ClosingChar">
    <w:name w:val="Closing Char"/>
    <w:basedOn w:val="DefaultParagraphFont"/>
    <w:link w:val="Closing"/>
    <w:uiPriority w:val="99"/>
    <w:semiHidden/>
    <w:rsid w:val="00F527CC"/>
    <w:rPr>
      <w:lang w:val="en-US"/>
    </w:rPr>
  </w:style>
  <w:style w:type="table" w:styleId="ColorfulGrid">
    <w:name w:val="Colorful Grid"/>
    <w:basedOn w:val="TableNormal"/>
    <w:uiPriority w:val="73"/>
    <w:semiHidden/>
    <w:unhideWhenUsed/>
    <w:rsid w:val="00F527CC"/>
    <w:pPr>
      <w:spacing w:after="0" w:line="240" w:lineRule="auto"/>
    </w:pPr>
    <w:rPr>
      <w:color w:val="404040" w:themeColor="text1"/>
    </w:rPr>
    <w:tblPr>
      <w:tblStyleRowBandSize w:val="1"/>
      <w:tblStyleColBandSize w:val="1"/>
      <w:tblBorders>
        <w:insideH w:val="single" w:sz="4" w:space="0" w:color="FFFFFF" w:themeColor="background1"/>
      </w:tblBorders>
    </w:tblPr>
    <w:tcPr>
      <w:shd w:val="clear" w:color="auto" w:fill="D8D8D8" w:themeFill="text1" w:themeFillTint="33"/>
    </w:tcPr>
    <w:tblStylePr w:type="firstRow">
      <w:rPr>
        <w:b/>
        <w:bCs/>
      </w:rPr>
      <w:tblPr/>
      <w:tcPr>
        <w:shd w:val="clear" w:color="auto" w:fill="B2B2B2" w:themeFill="text1" w:themeFillTint="66"/>
      </w:tcPr>
    </w:tblStylePr>
    <w:tblStylePr w:type="lastRow">
      <w:rPr>
        <w:b/>
        <w:bCs/>
        <w:color w:val="404040" w:themeColor="text1"/>
      </w:rPr>
      <w:tblPr/>
      <w:tcPr>
        <w:shd w:val="clear" w:color="auto" w:fill="B2B2B2" w:themeFill="text1" w:themeFillTint="66"/>
      </w:tcPr>
    </w:tblStylePr>
    <w:tblStylePr w:type="firstCol">
      <w:rPr>
        <w:color w:val="FFFFFF" w:themeColor="background1"/>
      </w:rPr>
      <w:tblPr/>
      <w:tcPr>
        <w:shd w:val="clear" w:color="auto" w:fill="2F2F2F" w:themeFill="text1" w:themeFillShade="BF"/>
      </w:tcPr>
    </w:tblStylePr>
    <w:tblStylePr w:type="lastCol">
      <w:rPr>
        <w:color w:val="FFFFFF" w:themeColor="background1"/>
      </w:rPr>
      <w:tblPr/>
      <w:tcPr>
        <w:shd w:val="clear" w:color="auto" w:fill="2F2F2F" w:themeFill="text1" w:themeFillShade="BF"/>
      </w:tcPr>
    </w:tblStylePr>
    <w:tblStylePr w:type="band1Vert">
      <w:tblPr/>
      <w:tcPr>
        <w:shd w:val="clear" w:color="auto" w:fill="9F9F9F" w:themeFill="text1" w:themeFillTint="7F"/>
      </w:tcPr>
    </w:tblStylePr>
    <w:tblStylePr w:type="band1Horz">
      <w:tblPr/>
      <w:tcPr>
        <w:shd w:val="clear" w:color="auto" w:fill="9F9F9F" w:themeFill="text1" w:themeFillTint="7F"/>
      </w:tcPr>
    </w:tblStylePr>
  </w:style>
  <w:style w:type="table" w:styleId="ColorfulGrid-Accent1">
    <w:name w:val="Colorful Grid Accent 1"/>
    <w:basedOn w:val="TableNormal"/>
    <w:uiPriority w:val="73"/>
    <w:semiHidden/>
    <w:unhideWhenUsed/>
    <w:rsid w:val="00F527CC"/>
    <w:pPr>
      <w:spacing w:after="0" w:line="240" w:lineRule="auto"/>
    </w:pPr>
    <w:rPr>
      <w:color w:val="404040" w:themeColor="text1"/>
    </w:rPr>
    <w:tblPr>
      <w:tblStyleRowBandSize w:val="1"/>
      <w:tblStyleColBandSize w:val="1"/>
      <w:tblBorders>
        <w:insideH w:val="single" w:sz="4" w:space="0" w:color="FFFFFF" w:themeColor="background1"/>
      </w:tblBorders>
    </w:tblPr>
    <w:tcPr>
      <w:shd w:val="clear" w:color="auto" w:fill="F3F3F4" w:themeFill="accent1" w:themeFillTint="33"/>
    </w:tcPr>
    <w:tblStylePr w:type="firstRow">
      <w:rPr>
        <w:b/>
        <w:bCs/>
      </w:rPr>
      <w:tblPr/>
      <w:tcPr>
        <w:shd w:val="clear" w:color="auto" w:fill="E8E8E9" w:themeFill="accent1" w:themeFillTint="66"/>
      </w:tcPr>
    </w:tblStylePr>
    <w:tblStylePr w:type="lastRow">
      <w:rPr>
        <w:b/>
        <w:bCs/>
        <w:color w:val="404040" w:themeColor="text1"/>
      </w:rPr>
      <w:tblPr/>
      <w:tcPr>
        <w:shd w:val="clear" w:color="auto" w:fill="E8E8E9" w:themeFill="accent1" w:themeFillTint="66"/>
      </w:tcPr>
    </w:tblStylePr>
    <w:tblStylePr w:type="firstCol">
      <w:rPr>
        <w:color w:val="FFFFFF" w:themeColor="background1"/>
      </w:rPr>
      <w:tblPr/>
      <w:tcPr>
        <w:shd w:val="clear" w:color="auto" w:fill="939599" w:themeFill="accent1" w:themeFillShade="BF"/>
      </w:tcPr>
    </w:tblStylePr>
    <w:tblStylePr w:type="lastCol">
      <w:rPr>
        <w:color w:val="FFFFFF" w:themeColor="background1"/>
      </w:rPr>
      <w:tblPr/>
      <w:tcPr>
        <w:shd w:val="clear" w:color="auto" w:fill="939599" w:themeFill="accent1" w:themeFillShade="BF"/>
      </w:tcPr>
    </w:tblStylePr>
    <w:tblStylePr w:type="band1Vert">
      <w:tblPr/>
      <w:tcPr>
        <w:shd w:val="clear" w:color="auto" w:fill="E3E3E4" w:themeFill="accent1" w:themeFillTint="7F"/>
      </w:tcPr>
    </w:tblStylePr>
    <w:tblStylePr w:type="band1Horz">
      <w:tblPr/>
      <w:tcPr>
        <w:shd w:val="clear" w:color="auto" w:fill="E3E3E4" w:themeFill="accent1" w:themeFillTint="7F"/>
      </w:tcPr>
    </w:tblStylePr>
  </w:style>
  <w:style w:type="table" w:styleId="ColorfulGrid-Accent2">
    <w:name w:val="Colorful Grid Accent 2"/>
    <w:basedOn w:val="TableNormal"/>
    <w:uiPriority w:val="73"/>
    <w:semiHidden/>
    <w:unhideWhenUsed/>
    <w:rsid w:val="00F527CC"/>
    <w:pPr>
      <w:spacing w:after="0" w:line="240" w:lineRule="auto"/>
    </w:pPr>
    <w:rPr>
      <w:color w:val="404040" w:themeColor="text1"/>
    </w:rPr>
    <w:tblPr>
      <w:tblStyleRowBandSize w:val="1"/>
      <w:tblStyleColBandSize w:val="1"/>
      <w:tblBorders>
        <w:insideH w:val="single" w:sz="4" w:space="0" w:color="FFFFFF" w:themeColor="background1"/>
      </w:tblBorders>
    </w:tblPr>
    <w:tcPr>
      <w:shd w:val="clear" w:color="auto" w:fill="E9E9EA" w:themeFill="accent2" w:themeFillTint="33"/>
    </w:tcPr>
    <w:tblStylePr w:type="firstRow">
      <w:rPr>
        <w:b/>
        <w:bCs/>
      </w:rPr>
      <w:tblPr/>
      <w:tcPr>
        <w:shd w:val="clear" w:color="auto" w:fill="D3D4D5" w:themeFill="accent2" w:themeFillTint="66"/>
      </w:tcPr>
    </w:tblStylePr>
    <w:tblStylePr w:type="lastRow">
      <w:rPr>
        <w:b/>
        <w:bCs/>
        <w:color w:val="404040" w:themeColor="text1"/>
      </w:rPr>
      <w:tblPr/>
      <w:tcPr>
        <w:shd w:val="clear" w:color="auto" w:fill="D3D4D5" w:themeFill="accent2" w:themeFillTint="66"/>
      </w:tcPr>
    </w:tblStylePr>
    <w:tblStylePr w:type="firstCol">
      <w:rPr>
        <w:color w:val="FFFFFF" w:themeColor="background1"/>
      </w:rPr>
      <w:tblPr/>
      <w:tcPr>
        <w:shd w:val="clear" w:color="auto" w:fill="6D6F72" w:themeFill="accent2" w:themeFillShade="BF"/>
      </w:tcPr>
    </w:tblStylePr>
    <w:tblStylePr w:type="lastCol">
      <w:rPr>
        <w:color w:val="FFFFFF" w:themeColor="background1"/>
      </w:rPr>
      <w:tblPr/>
      <w:tcPr>
        <w:shd w:val="clear" w:color="auto" w:fill="6D6F72" w:themeFill="accent2" w:themeFillShade="BF"/>
      </w:tcPr>
    </w:tblStylePr>
    <w:tblStylePr w:type="band1Vert">
      <w:tblPr/>
      <w:tcPr>
        <w:shd w:val="clear" w:color="auto" w:fill="C9CACB" w:themeFill="accent2" w:themeFillTint="7F"/>
      </w:tcPr>
    </w:tblStylePr>
    <w:tblStylePr w:type="band1Horz">
      <w:tblPr/>
      <w:tcPr>
        <w:shd w:val="clear" w:color="auto" w:fill="C9CACB" w:themeFill="accent2" w:themeFillTint="7F"/>
      </w:tcPr>
    </w:tblStylePr>
  </w:style>
  <w:style w:type="table" w:styleId="ColorfulGrid-Accent3">
    <w:name w:val="Colorful Grid Accent 3"/>
    <w:basedOn w:val="TableNormal"/>
    <w:uiPriority w:val="73"/>
    <w:semiHidden/>
    <w:unhideWhenUsed/>
    <w:rsid w:val="00F527CC"/>
    <w:pPr>
      <w:spacing w:after="0" w:line="240" w:lineRule="auto"/>
    </w:pPr>
    <w:rPr>
      <w:color w:val="404040" w:themeColor="text1"/>
    </w:rPr>
    <w:tblPr>
      <w:tblStyleRowBandSize w:val="1"/>
      <w:tblStyleColBandSize w:val="1"/>
      <w:tblBorders>
        <w:insideH w:val="single" w:sz="4" w:space="0" w:color="FFFFFF" w:themeColor="background1"/>
      </w:tblBorders>
    </w:tblPr>
    <w:tcPr>
      <w:shd w:val="clear" w:color="auto" w:fill="DFDFE0" w:themeFill="accent3" w:themeFillTint="33"/>
    </w:tcPr>
    <w:tblStylePr w:type="firstRow">
      <w:rPr>
        <w:b/>
        <w:bCs/>
      </w:rPr>
      <w:tblPr/>
      <w:tcPr>
        <w:shd w:val="clear" w:color="auto" w:fill="C0C0C2" w:themeFill="accent3" w:themeFillTint="66"/>
      </w:tcPr>
    </w:tblStylePr>
    <w:tblStylePr w:type="lastRow">
      <w:rPr>
        <w:b/>
        <w:bCs/>
        <w:color w:val="404040" w:themeColor="text1"/>
      </w:rPr>
      <w:tblPr/>
      <w:tcPr>
        <w:shd w:val="clear" w:color="auto" w:fill="C0C0C2" w:themeFill="accent3" w:themeFillTint="66"/>
      </w:tcPr>
    </w:tblStylePr>
    <w:tblStylePr w:type="firstCol">
      <w:rPr>
        <w:color w:val="FFFFFF" w:themeColor="background1"/>
      </w:rPr>
      <w:tblPr/>
      <w:tcPr>
        <w:shd w:val="clear" w:color="auto" w:fill="4A4A4C" w:themeFill="accent3" w:themeFillShade="BF"/>
      </w:tcPr>
    </w:tblStylePr>
    <w:tblStylePr w:type="lastCol">
      <w:rPr>
        <w:color w:val="FFFFFF" w:themeColor="background1"/>
      </w:rPr>
      <w:tblPr/>
      <w:tcPr>
        <w:shd w:val="clear" w:color="auto" w:fill="4A4A4C" w:themeFill="accent3" w:themeFillShade="BF"/>
      </w:tcPr>
    </w:tblStylePr>
    <w:tblStylePr w:type="band1Vert">
      <w:tblPr/>
      <w:tcPr>
        <w:shd w:val="clear" w:color="auto" w:fill="B0B1B3" w:themeFill="accent3" w:themeFillTint="7F"/>
      </w:tcPr>
    </w:tblStylePr>
    <w:tblStylePr w:type="band1Horz">
      <w:tblPr/>
      <w:tcPr>
        <w:shd w:val="clear" w:color="auto" w:fill="B0B1B3" w:themeFill="accent3" w:themeFillTint="7F"/>
      </w:tcPr>
    </w:tblStylePr>
  </w:style>
  <w:style w:type="table" w:styleId="ColorfulGrid-Accent4">
    <w:name w:val="Colorful Grid Accent 4"/>
    <w:basedOn w:val="TableNormal"/>
    <w:uiPriority w:val="73"/>
    <w:semiHidden/>
    <w:unhideWhenUsed/>
    <w:rsid w:val="00F527CC"/>
    <w:pPr>
      <w:spacing w:after="0" w:line="240" w:lineRule="auto"/>
    </w:pPr>
    <w:rPr>
      <w:color w:val="404040" w:themeColor="text1"/>
    </w:rPr>
    <w:tblPr>
      <w:tblStyleRowBandSize w:val="1"/>
      <w:tblStyleColBandSize w:val="1"/>
      <w:tblBorders>
        <w:insideH w:val="single" w:sz="4" w:space="0" w:color="FFFFFF" w:themeColor="background1"/>
      </w:tblBorders>
    </w:tblPr>
    <w:tcPr>
      <w:shd w:val="clear" w:color="auto" w:fill="F7CFD2" w:themeFill="accent4" w:themeFillTint="33"/>
    </w:tcPr>
    <w:tblStylePr w:type="firstRow">
      <w:rPr>
        <w:b/>
        <w:bCs/>
      </w:rPr>
      <w:tblPr/>
      <w:tcPr>
        <w:shd w:val="clear" w:color="auto" w:fill="F0A0A5" w:themeFill="accent4" w:themeFillTint="66"/>
      </w:tcPr>
    </w:tblStylePr>
    <w:tblStylePr w:type="lastRow">
      <w:rPr>
        <w:b/>
        <w:bCs/>
        <w:color w:val="404040" w:themeColor="text1"/>
      </w:rPr>
      <w:tblPr/>
      <w:tcPr>
        <w:shd w:val="clear" w:color="auto" w:fill="F0A0A5" w:themeFill="accent4" w:themeFillTint="66"/>
      </w:tcPr>
    </w:tblStylePr>
    <w:tblStylePr w:type="firstCol">
      <w:rPr>
        <w:color w:val="FFFFFF" w:themeColor="background1"/>
      </w:rPr>
      <w:tblPr/>
      <w:tcPr>
        <w:shd w:val="clear" w:color="auto" w:fill="991820" w:themeFill="accent4" w:themeFillShade="BF"/>
      </w:tcPr>
    </w:tblStylePr>
    <w:tblStylePr w:type="lastCol">
      <w:rPr>
        <w:color w:val="FFFFFF" w:themeColor="background1"/>
      </w:rPr>
      <w:tblPr/>
      <w:tcPr>
        <w:shd w:val="clear" w:color="auto" w:fill="991820" w:themeFill="accent4" w:themeFillShade="BF"/>
      </w:tcPr>
    </w:tblStylePr>
    <w:tblStylePr w:type="band1Vert">
      <w:tblPr/>
      <w:tcPr>
        <w:shd w:val="clear" w:color="auto" w:fill="EC898F" w:themeFill="accent4" w:themeFillTint="7F"/>
      </w:tcPr>
    </w:tblStylePr>
    <w:tblStylePr w:type="band1Horz">
      <w:tblPr/>
      <w:tcPr>
        <w:shd w:val="clear" w:color="auto" w:fill="EC898F" w:themeFill="accent4" w:themeFillTint="7F"/>
      </w:tcPr>
    </w:tblStylePr>
  </w:style>
  <w:style w:type="table" w:styleId="ColorfulGrid-Accent5">
    <w:name w:val="Colorful Grid Accent 5"/>
    <w:basedOn w:val="TableNormal"/>
    <w:uiPriority w:val="73"/>
    <w:semiHidden/>
    <w:unhideWhenUsed/>
    <w:rsid w:val="00F527CC"/>
    <w:pPr>
      <w:spacing w:after="0" w:line="240" w:lineRule="auto"/>
    </w:pPr>
    <w:rPr>
      <w:color w:val="404040" w:themeColor="text1"/>
    </w:rPr>
    <w:tblPr>
      <w:tblStyleRowBandSize w:val="1"/>
      <w:tblStyleColBandSize w:val="1"/>
      <w:tblBorders>
        <w:insideH w:val="single" w:sz="4" w:space="0" w:color="FFFFFF" w:themeColor="background1"/>
      </w:tblBorders>
    </w:tblPr>
    <w:tcPr>
      <w:shd w:val="clear" w:color="auto" w:fill="BBDCFF" w:themeFill="accent5" w:themeFillTint="33"/>
    </w:tcPr>
    <w:tblStylePr w:type="firstRow">
      <w:rPr>
        <w:b/>
        <w:bCs/>
      </w:rPr>
      <w:tblPr/>
      <w:tcPr>
        <w:shd w:val="clear" w:color="auto" w:fill="77BAFF" w:themeFill="accent5" w:themeFillTint="66"/>
      </w:tcPr>
    </w:tblStylePr>
    <w:tblStylePr w:type="lastRow">
      <w:rPr>
        <w:b/>
        <w:bCs/>
        <w:color w:val="404040" w:themeColor="text1"/>
      </w:rPr>
      <w:tblPr/>
      <w:tcPr>
        <w:shd w:val="clear" w:color="auto" w:fill="77BAFF" w:themeFill="accent5" w:themeFillTint="66"/>
      </w:tcPr>
    </w:tblStylePr>
    <w:tblStylePr w:type="firstCol">
      <w:rPr>
        <w:color w:val="FFFFFF" w:themeColor="background1"/>
      </w:rPr>
      <w:tblPr/>
      <w:tcPr>
        <w:shd w:val="clear" w:color="auto" w:fill="003F7F" w:themeFill="accent5" w:themeFillShade="BF"/>
      </w:tcPr>
    </w:tblStylePr>
    <w:tblStylePr w:type="lastCol">
      <w:rPr>
        <w:color w:val="FFFFFF" w:themeColor="background1"/>
      </w:rPr>
      <w:tblPr/>
      <w:tcPr>
        <w:shd w:val="clear" w:color="auto" w:fill="003F7F" w:themeFill="accent5" w:themeFillShade="BF"/>
      </w:tcPr>
    </w:tblStylePr>
    <w:tblStylePr w:type="band1Vert">
      <w:tblPr/>
      <w:tcPr>
        <w:shd w:val="clear" w:color="auto" w:fill="55AAFF" w:themeFill="accent5" w:themeFillTint="7F"/>
      </w:tcPr>
    </w:tblStylePr>
    <w:tblStylePr w:type="band1Horz">
      <w:tblPr/>
      <w:tcPr>
        <w:shd w:val="clear" w:color="auto" w:fill="55AAFF" w:themeFill="accent5" w:themeFillTint="7F"/>
      </w:tcPr>
    </w:tblStylePr>
  </w:style>
  <w:style w:type="table" w:styleId="ColorfulGrid-Accent6">
    <w:name w:val="Colorful Grid Accent 6"/>
    <w:basedOn w:val="TableNormal"/>
    <w:uiPriority w:val="73"/>
    <w:semiHidden/>
    <w:unhideWhenUsed/>
    <w:rsid w:val="00F527CC"/>
    <w:pPr>
      <w:spacing w:after="0" w:line="240" w:lineRule="auto"/>
    </w:pPr>
    <w:rPr>
      <w:color w:val="404040" w:themeColor="text1"/>
    </w:rPr>
    <w:tblPr>
      <w:tblStyleRowBandSize w:val="1"/>
      <w:tblStyleColBandSize w:val="1"/>
      <w:tblBorders>
        <w:insideH w:val="single" w:sz="4" w:space="0" w:color="FFFFFF" w:themeColor="background1"/>
      </w:tblBorders>
    </w:tblPr>
    <w:tcPr>
      <w:shd w:val="clear" w:color="auto" w:fill="FFEDD2" w:themeFill="accent6" w:themeFillTint="33"/>
    </w:tcPr>
    <w:tblStylePr w:type="firstRow">
      <w:rPr>
        <w:b/>
        <w:bCs/>
      </w:rPr>
      <w:tblPr/>
      <w:tcPr>
        <w:shd w:val="clear" w:color="auto" w:fill="FFDCA6" w:themeFill="accent6" w:themeFillTint="66"/>
      </w:tcPr>
    </w:tblStylePr>
    <w:tblStylePr w:type="lastRow">
      <w:rPr>
        <w:b/>
        <w:bCs/>
        <w:color w:val="404040" w:themeColor="text1"/>
      </w:rPr>
      <w:tblPr/>
      <w:tcPr>
        <w:shd w:val="clear" w:color="auto" w:fill="FFDCA6" w:themeFill="accent6" w:themeFillTint="66"/>
      </w:tcPr>
    </w:tblStylePr>
    <w:tblStylePr w:type="firstCol">
      <w:rPr>
        <w:color w:val="FFFFFF" w:themeColor="background1"/>
      </w:rPr>
      <w:tblPr/>
      <w:tcPr>
        <w:shd w:val="clear" w:color="auto" w:fill="D88400" w:themeFill="accent6" w:themeFillShade="BF"/>
      </w:tcPr>
    </w:tblStylePr>
    <w:tblStylePr w:type="lastCol">
      <w:rPr>
        <w:color w:val="FFFFFF" w:themeColor="background1"/>
      </w:rPr>
      <w:tblPr/>
      <w:tcPr>
        <w:shd w:val="clear" w:color="auto" w:fill="D88400" w:themeFill="accent6" w:themeFillShade="BF"/>
      </w:tcPr>
    </w:tblStylePr>
    <w:tblStylePr w:type="band1Vert">
      <w:tblPr/>
      <w:tcPr>
        <w:shd w:val="clear" w:color="auto" w:fill="FFD490" w:themeFill="accent6" w:themeFillTint="7F"/>
      </w:tcPr>
    </w:tblStylePr>
    <w:tblStylePr w:type="band1Horz">
      <w:tblPr/>
      <w:tcPr>
        <w:shd w:val="clear" w:color="auto" w:fill="FFD490" w:themeFill="accent6" w:themeFillTint="7F"/>
      </w:tcPr>
    </w:tblStylePr>
  </w:style>
  <w:style w:type="table" w:styleId="ColorfulList">
    <w:name w:val="Colorful List"/>
    <w:basedOn w:val="TableNormal"/>
    <w:uiPriority w:val="72"/>
    <w:semiHidden/>
    <w:unhideWhenUsed/>
    <w:rsid w:val="00F527CC"/>
    <w:pPr>
      <w:spacing w:after="0" w:line="240" w:lineRule="auto"/>
    </w:pPr>
    <w:rPr>
      <w:color w:val="404040" w:themeColor="text1"/>
    </w:rPr>
    <w:tblPr>
      <w:tblStyleRowBandSize w:val="1"/>
      <w:tblStyleColBandSize w:val="1"/>
    </w:tblPr>
    <w:tcPr>
      <w:shd w:val="clear" w:color="auto" w:fill="ECECEC" w:themeFill="text1" w:themeFillTint="19"/>
    </w:tcPr>
    <w:tblStylePr w:type="firstRow">
      <w:rPr>
        <w:b/>
        <w:bCs/>
        <w:color w:val="FFFFFF" w:themeColor="background1"/>
      </w:rPr>
      <w:tblPr/>
      <w:tcPr>
        <w:tcBorders>
          <w:bottom w:val="single" w:sz="12" w:space="0" w:color="FFFFFF" w:themeColor="background1"/>
        </w:tcBorders>
        <w:shd w:val="clear" w:color="auto" w:fill="74767A" w:themeFill="accent2" w:themeFillShade="CC"/>
      </w:tcPr>
    </w:tblStylePr>
    <w:tblStylePr w:type="lastRow">
      <w:rPr>
        <w:b/>
        <w:bCs/>
        <w:color w:val="74767A" w:themeColor="accent2" w:themeShade="CC"/>
      </w:rPr>
      <w:tblPr/>
      <w:tcPr>
        <w:tcBorders>
          <w:top w:val="single" w:sz="12" w:space="0" w:color="40404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FCF" w:themeFill="text1" w:themeFillTint="3F"/>
      </w:tcPr>
    </w:tblStylePr>
    <w:tblStylePr w:type="band1Horz">
      <w:tblPr/>
      <w:tcPr>
        <w:shd w:val="clear" w:color="auto" w:fill="D8D8D8" w:themeFill="text1" w:themeFillTint="33"/>
      </w:tcPr>
    </w:tblStylePr>
  </w:style>
  <w:style w:type="table" w:styleId="ColorfulList-Accent1">
    <w:name w:val="Colorful List Accent 1"/>
    <w:basedOn w:val="TableNormal"/>
    <w:uiPriority w:val="72"/>
    <w:semiHidden/>
    <w:unhideWhenUsed/>
    <w:rsid w:val="00F527CC"/>
    <w:pPr>
      <w:spacing w:after="0" w:line="240" w:lineRule="auto"/>
    </w:pPr>
    <w:rPr>
      <w:color w:val="404040" w:themeColor="text1"/>
    </w:rPr>
    <w:tblPr>
      <w:tblStyleRowBandSize w:val="1"/>
      <w:tblStyleColBandSize w:val="1"/>
    </w:tblPr>
    <w:tcPr>
      <w:shd w:val="clear" w:color="auto" w:fill="F9F9F9" w:themeFill="accent1" w:themeFillTint="19"/>
    </w:tcPr>
    <w:tblStylePr w:type="firstRow">
      <w:rPr>
        <w:b/>
        <w:bCs/>
        <w:color w:val="FFFFFF" w:themeColor="background1"/>
      </w:rPr>
      <w:tblPr/>
      <w:tcPr>
        <w:tcBorders>
          <w:bottom w:val="single" w:sz="12" w:space="0" w:color="FFFFFF" w:themeColor="background1"/>
        </w:tcBorders>
        <w:shd w:val="clear" w:color="auto" w:fill="74767A" w:themeFill="accent2" w:themeFillShade="CC"/>
      </w:tcPr>
    </w:tblStylePr>
    <w:tblStylePr w:type="lastRow">
      <w:rPr>
        <w:b/>
        <w:bCs/>
        <w:color w:val="74767A" w:themeColor="accent2" w:themeShade="CC"/>
      </w:rPr>
      <w:tblPr/>
      <w:tcPr>
        <w:tcBorders>
          <w:top w:val="single" w:sz="12" w:space="0" w:color="40404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1F2" w:themeFill="accent1" w:themeFillTint="3F"/>
      </w:tcPr>
    </w:tblStylePr>
    <w:tblStylePr w:type="band1Horz">
      <w:tblPr/>
      <w:tcPr>
        <w:shd w:val="clear" w:color="auto" w:fill="F3F3F4" w:themeFill="accent1" w:themeFillTint="33"/>
      </w:tcPr>
    </w:tblStylePr>
  </w:style>
  <w:style w:type="table" w:styleId="ColorfulList-Accent2">
    <w:name w:val="Colorful List Accent 2"/>
    <w:basedOn w:val="TableNormal"/>
    <w:uiPriority w:val="72"/>
    <w:semiHidden/>
    <w:unhideWhenUsed/>
    <w:rsid w:val="00F527CC"/>
    <w:pPr>
      <w:spacing w:after="0" w:line="240" w:lineRule="auto"/>
    </w:pPr>
    <w:rPr>
      <w:color w:val="404040"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4767A" w:themeFill="accent2" w:themeFillShade="CC"/>
      </w:tcPr>
    </w:tblStylePr>
    <w:tblStylePr w:type="lastRow">
      <w:rPr>
        <w:b/>
        <w:bCs/>
        <w:color w:val="74767A" w:themeColor="accent2" w:themeShade="CC"/>
      </w:rPr>
      <w:tblPr/>
      <w:tcPr>
        <w:tcBorders>
          <w:top w:val="single" w:sz="12" w:space="0" w:color="40404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4E5" w:themeFill="accent2" w:themeFillTint="3F"/>
      </w:tcPr>
    </w:tblStylePr>
    <w:tblStylePr w:type="band1Horz">
      <w:tblPr/>
      <w:tcPr>
        <w:shd w:val="clear" w:color="auto" w:fill="E9E9EA" w:themeFill="accent2" w:themeFillTint="33"/>
      </w:tcPr>
    </w:tblStylePr>
  </w:style>
  <w:style w:type="table" w:styleId="ColorfulList-Accent3">
    <w:name w:val="Colorful List Accent 3"/>
    <w:basedOn w:val="TableNormal"/>
    <w:uiPriority w:val="72"/>
    <w:semiHidden/>
    <w:unhideWhenUsed/>
    <w:rsid w:val="00F527CC"/>
    <w:pPr>
      <w:spacing w:after="0" w:line="240" w:lineRule="auto"/>
    </w:pPr>
    <w:rPr>
      <w:color w:val="404040" w:themeColor="text1"/>
    </w:rPr>
    <w:tblPr>
      <w:tblStyleRowBandSize w:val="1"/>
      <w:tblStyleColBandSize w:val="1"/>
    </w:tblPr>
    <w:tcPr>
      <w:shd w:val="clear" w:color="auto" w:fill="EFEFF0" w:themeFill="accent3" w:themeFillTint="19"/>
    </w:tcPr>
    <w:tblStylePr w:type="firstRow">
      <w:rPr>
        <w:b/>
        <w:bCs/>
        <w:color w:val="FFFFFF" w:themeColor="background1"/>
      </w:rPr>
      <w:tblPr/>
      <w:tcPr>
        <w:tcBorders>
          <w:bottom w:val="single" w:sz="12" w:space="0" w:color="FFFFFF" w:themeColor="background1"/>
        </w:tcBorders>
        <w:shd w:val="clear" w:color="auto" w:fill="A31922" w:themeFill="accent4" w:themeFillShade="CC"/>
      </w:tcPr>
    </w:tblStylePr>
    <w:tblStylePr w:type="lastRow">
      <w:rPr>
        <w:b/>
        <w:bCs/>
        <w:color w:val="A31922" w:themeColor="accent4" w:themeShade="CC"/>
      </w:rPr>
      <w:tblPr/>
      <w:tcPr>
        <w:tcBorders>
          <w:top w:val="single" w:sz="12" w:space="0" w:color="40404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8D9" w:themeFill="accent3" w:themeFillTint="3F"/>
      </w:tcPr>
    </w:tblStylePr>
    <w:tblStylePr w:type="band1Horz">
      <w:tblPr/>
      <w:tcPr>
        <w:shd w:val="clear" w:color="auto" w:fill="DFDFE0" w:themeFill="accent3" w:themeFillTint="33"/>
      </w:tcPr>
    </w:tblStylePr>
  </w:style>
  <w:style w:type="table" w:styleId="ColorfulList-Accent4">
    <w:name w:val="Colorful List Accent 4"/>
    <w:basedOn w:val="TableNormal"/>
    <w:uiPriority w:val="72"/>
    <w:semiHidden/>
    <w:unhideWhenUsed/>
    <w:rsid w:val="00F527CC"/>
    <w:pPr>
      <w:spacing w:after="0" w:line="240" w:lineRule="auto"/>
    </w:pPr>
    <w:rPr>
      <w:color w:val="404040" w:themeColor="text1"/>
    </w:rPr>
    <w:tblPr>
      <w:tblStyleRowBandSize w:val="1"/>
      <w:tblStyleColBandSize w:val="1"/>
    </w:tblPr>
    <w:tcPr>
      <w:shd w:val="clear" w:color="auto" w:fill="FBE7E8" w:themeFill="accent4" w:themeFillTint="19"/>
    </w:tcPr>
    <w:tblStylePr w:type="firstRow">
      <w:rPr>
        <w:b/>
        <w:bCs/>
        <w:color w:val="FFFFFF" w:themeColor="background1"/>
      </w:rPr>
      <w:tblPr/>
      <w:tcPr>
        <w:tcBorders>
          <w:bottom w:val="single" w:sz="12" w:space="0" w:color="FFFFFF" w:themeColor="background1"/>
        </w:tcBorders>
        <w:shd w:val="clear" w:color="auto" w:fill="4F5051" w:themeFill="accent3" w:themeFillShade="CC"/>
      </w:tcPr>
    </w:tblStylePr>
    <w:tblStylePr w:type="lastRow">
      <w:rPr>
        <w:b/>
        <w:bCs/>
        <w:color w:val="4F5051" w:themeColor="accent3" w:themeShade="CC"/>
      </w:rPr>
      <w:tblPr/>
      <w:tcPr>
        <w:tcBorders>
          <w:top w:val="single" w:sz="12" w:space="0" w:color="40404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4C7" w:themeFill="accent4" w:themeFillTint="3F"/>
      </w:tcPr>
    </w:tblStylePr>
    <w:tblStylePr w:type="band1Horz">
      <w:tblPr/>
      <w:tcPr>
        <w:shd w:val="clear" w:color="auto" w:fill="F7CFD2" w:themeFill="accent4" w:themeFillTint="33"/>
      </w:tcPr>
    </w:tblStylePr>
  </w:style>
  <w:style w:type="table" w:styleId="ColorfulList-Accent5">
    <w:name w:val="Colorful List Accent 5"/>
    <w:basedOn w:val="TableNormal"/>
    <w:uiPriority w:val="72"/>
    <w:semiHidden/>
    <w:unhideWhenUsed/>
    <w:rsid w:val="00F527CC"/>
    <w:pPr>
      <w:spacing w:after="0" w:line="240" w:lineRule="auto"/>
    </w:pPr>
    <w:rPr>
      <w:color w:val="404040" w:themeColor="text1"/>
    </w:rPr>
    <w:tblPr>
      <w:tblStyleRowBandSize w:val="1"/>
      <w:tblStyleColBandSize w:val="1"/>
    </w:tblPr>
    <w:tcPr>
      <w:shd w:val="clear" w:color="auto" w:fill="DDEEFF" w:themeFill="accent5" w:themeFillTint="19"/>
    </w:tcPr>
    <w:tblStylePr w:type="firstRow">
      <w:rPr>
        <w:b/>
        <w:bCs/>
        <w:color w:val="FFFFFF" w:themeColor="background1"/>
      </w:rPr>
      <w:tblPr/>
      <w:tcPr>
        <w:tcBorders>
          <w:bottom w:val="single" w:sz="12" w:space="0" w:color="FFFFFF" w:themeColor="background1"/>
        </w:tcBorders>
        <w:shd w:val="clear" w:color="auto" w:fill="E78D00" w:themeFill="accent6" w:themeFillShade="CC"/>
      </w:tcPr>
    </w:tblStylePr>
    <w:tblStylePr w:type="lastRow">
      <w:rPr>
        <w:b/>
        <w:bCs/>
        <w:color w:val="E78D00" w:themeColor="accent6" w:themeShade="CC"/>
      </w:rPr>
      <w:tblPr/>
      <w:tcPr>
        <w:tcBorders>
          <w:top w:val="single" w:sz="12" w:space="0" w:color="40404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D4FF" w:themeFill="accent5" w:themeFillTint="3F"/>
      </w:tcPr>
    </w:tblStylePr>
    <w:tblStylePr w:type="band1Horz">
      <w:tblPr/>
      <w:tcPr>
        <w:shd w:val="clear" w:color="auto" w:fill="BBDCFF" w:themeFill="accent5" w:themeFillTint="33"/>
      </w:tcPr>
    </w:tblStylePr>
  </w:style>
  <w:style w:type="table" w:styleId="ColorfulList-Accent6">
    <w:name w:val="Colorful List Accent 6"/>
    <w:basedOn w:val="TableNormal"/>
    <w:uiPriority w:val="72"/>
    <w:semiHidden/>
    <w:unhideWhenUsed/>
    <w:rsid w:val="00F527CC"/>
    <w:pPr>
      <w:spacing w:after="0" w:line="240" w:lineRule="auto"/>
    </w:pPr>
    <w:rPr>
      <w:color w:val="404040" w:themeColor="text1"/>
    </w:rPr>
    <w:tblPr>
      <w:tblStyleRowBandSize w:val="1"/>
      <w:tblStyleColBandSize w:val="1"/>
    </w:tblPr>
    <w:tcPr>
      <w:shd w:val="clear" w:color="auto" w:fill="FFF6E9" w:themeFill="accent6" w:themeFillTint="19"/>
    </w:tcPr>
    <w:tblStylePr w:type="firstRow">
      <w:rPr>
        <w:b/>
        <w:bCs/>
        <w:color w:val="FFFFFF" w:themeColor="background1"/>
      </w:rPr>
      <w:tblPr/>
      <w:tcPr>
        <w:tcBorders>
          <w:bottom w:val="single" w:sz="12" w:space="0" w:color="FFFFFF" w:themeColor="background1"/>
        </w:tcBorders>
        <w:shd w:val="clear" w:color="auto" w:fill="004388" w:themeFill="accent5" w:themeFillShade="CC"/>
      </w:tcPr>
    </w:tblStylePr>
    <w:tblStylePr w:type="lastRow">
      <w:rPr>
        <w:b/>
        <w:bCs/>
        <w:color w:val="004388" w:themeColor="accent5" w:themeShade="CC"/>
      </w:rPr>
      <w:tblPr/>
      <w:tcPr>
        <w:tcBorders>
          <w:top w:val="single" w:sz="12" w:space="0" w:color="40404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9C8" w:themeFill="accent6" w:themeFillTint="3F"/>
      </w:tcPr>
    </w:tblStylePr>
    <w:tblStylePr w:type="band1Horz">
      <w:tblPr/>
      <w:tcPr>
        <w:shd w:val="clear" w:color="auto" w:fill="FFEDD2" w:themeFill="accent6" w:themeFillTint="33"/>
      </w:tcPr>
    </w:tblStylePr>
  </w:style>
  <w:style w:type="table" w:styleId="ColorfulShading">
    <w:name w:val="Colorful Shading"/>
    <w:basedOn w:val="TableNormal"/>
    <w:uiPriority w:val="71"/>
    <w:semiHidden/>
    <w:unhideWhenUsed/>
    <w:rsid w:val="00F527CC"/>
    <w:pPr>
      <w:spacing w:after="0" w:line="240" w:lineRule="auto"/>
    </w:pPr>
    <w:rPr>
      <w:color w:val="404040" w:themeColor="text1"/>
    </w:rPr>
    <w:tblPr>
      <w:tblStyleRowBandSize w:val="1"/>
      <w:tblStyleColBandSize w:val="1"/>
      <w:tblBorders>
        <w:top w:val="single" w:sz="24" w:space="0" w:color="939598" w:themeColor="accent2"/>
        <w:left w:val="single" w:sz="4" w:space="0" w:color="404040" w:themeColor="text1"/>
        <w:bottom w:val="single" w:sz="4" w:space="0" w:color="404040" w:themeColor="text1"/>
        <w:right w:val="single" w:sz="4" w:space="0" w:color="404040" w:themeColor="text1"/>
        <w:insideH w:val="single" w:sz="4" w:space="0" w:color="FFFFFF" w:themeColor="background1"/>
        <w:insideV w:val="single" w:sz="4" w:space="0" w:color="FFFFFF" w:themeColor="background1"/>
      </w:tblBorders>
    </w:tblPr>
    <w:tcPr>
      <w:shd w:val="clear" w:color="auto" w:fill="ECECEC" w:themeFill="text1" w:themeFillTint="19"/>
    </w:tcPr>
    <w:tblStylePr w:type="firstRow">
      <w:rPr>
        <w:b/>
        <w:bCs/>
      </w:rPr>
      <w:tblPr/>
      <w:tcPr>
        <w:tcBorders>
          <w:top w:val="nil"/>
          <w:left w:val="nil"/>
          <w:bottom w:val="single" w:sz="24" w:space="0" w:color="93959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2626" w:themeFill="text1" w:themeFillShade="99"/>
      </w:tcPr>
    </w:tblStylePr>
    <w:tblStylePr w:type="firstCol">
      <w:rPr>
        <w:color w:val="FFFFFF" w:themeColor="background1"/>
      </w:rPr>
      <w:tblPr/>
      <w:tcPr>
        <w:tcBorders>
          <w:top w:val="nil"/>
          <w:left w:val="nil"/>
          <w:bottom w:val="nil"/>
          <w:right w:val="nil"/>
          <w:insideH w:val="single" w:sz="4" w:space="0" w:color="262626" w:themeColor="text1" w:themeShade="99"/>
          <w:insideV w:val="nil"/>
        </w:tcBorders>
        <w:shd w:val="clear" w:color="auto" w:fill="262626"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F2F2F" w:themeFill="text1" w:themeFillShade="BF"/>
      </w:tcPr>
    </w:tblStylePr>
    <w:tblStylePr w:type="band1Vert">
      <w:tblPr/>
      <w:tcPr>
        <w:shd w:val="clear" w:color="auto" w:fill="B2B2B2" w:themeFill="text1" w:themeFillTint="66"/>
      </w:tcPr>
    </w:tblStylePr>
    <w:tblStylePr w:type="band1Horz">
      <w:tblPr/>
      <w:tcPr>
        <w:shd w:val="clear" w:color="auto" w:fill="9F9F9F" w:themeFill="text1" w:themeFillTint="7F"/>
      </w:tcPr>
    </w:tblStylePr>
    <w:tblStylePr w:type="neCell">
      <w:rPr>
        <w:color w:val="404040" w:themeColor="text1"/>
      </w:rPr>
    </w:tblStylePr>
    <w:tblStylePr w:type="nwCell">
      <w:rPr>
        <w:color w:val="404040" w:themeColor="text1"/>
      </w:rPr>
    </w:tblStylePr>
  </w:style>
  <w:style w:type="table" w:styleId="ColorfulShading-Accent1">
    <w:name w:val="Colorful Shading Accent 1"/>
    <w:basedOn w:val="TableNormal"/>
    <w:uiPriority w:val="71"/>
    <w:semiHidden/>
    <w:unhideWhenUsed/>
    <w:rsid w:val="00F527CC"/>
    <w:pPr>
      <w:spacing w:after="0" w:line="240" w:lineRule="auto"/>
    </w:pPr>
    <w:rPr>
      <w:color w:val="404040" w:themeColor="text1"/>
    </w:rPr>
    <w:tblPr>
      <w:tblStyleRowBandSize w:val="1"/>
      <w:tblStyleColBandSize w:val="1"/>
      <w:tblBorders>
        <w:top w:val="single" w:sz="24" w:space="0" w:color="939598" w:themeColor="accent2"/>
        <w:left w:val="single" w:sz="4" w:space="0" w:color="C7C8CA" w:themeColor="accent1"/>
        <w:bottom w:val="single" w:sz="4" w:space="0" w:color="C7C8CA" w:themeColor="accent1"/>
        <w:right w:val="single" w:sz="4" w:space="0" w:color="C7C8CA" w:themeColor="accent1"/>
        <w:insideH w:val="single" w:sz="4" w:space="0" w:color="FFFFFF" w:themeColor="background1"/>
        <w:insideV w:val="single" w:sz="4" w:space="0" w:color="FFFFFF" w:themeColor="background1"/>
      </w:tblBorders>
    </w:tblPr>
    <w:tcPr>
      <w:shd w:val="clear" w:color="auto" w:fill="F9F9F9" w:themeFill="accent1" w:themeFillTint="19"/>
    </w:tcPr>
    <w:tblStylePr w:type="firstRow">
      <w:rPr>
        <w:b/>
        <w:bCs/>
      </w:rPr>
      <w:tblPr/>
      <w:tcPr>
        <w:tcBorders>
          <w:top w:val="nil"/>
          <w:left w:val="nil"/>
          <w:bottom w:val="single" w:sz="24" w:space="0" w:color="93959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77B" w:themeFill="accent1" w:themeFillShade="99"/>
      </w:tcPr>
    </w:tblStylePr>
    <w:tblStylePr w:type="firstCol">
      <w:rPr>
        <w:color w:val="FFFFFF" w:themeColor="background1"/>
      </w:rPr>
      <w:tblPr/>
      <w:tcPr>
        <w:tcBorders>
          <w:top w:val="nil"/>
          <w:left w:val="nil"/>
          <w:bottom w:val="nil"/>
          <w:right w:val="nil"/>
          <w:insideH w:val="single" w:sz="4" w:space="0" w:color="75777B" w:themeColor="accent1" w:themeShade="99"/>
          <w:insideV w:val="nil"/>
        </w:tcBorders>
        <w:shd w:val="clear" w:color="auto" w:fill="7577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5777B" w:themeFill="accent1" w:themeFillShade="99"/>
      </w:tcPr>
    </w:tblStylePr>
    <w:tblStylePr w:type="band1Vert">
      <w:tblPr/>
      <w:tcPr>
        <w:shd w:val="clear" w:color="auto" w:fill="E8E8E9" w:themeFill="accent1" w:themeFillTint="66"/>
      </w:tcPr>
    </w:tblStylePr>
    <w:tblStylePr w:type="band1Horz">
      <w:tblPr/>
      <w:tcPr>
        <w:shd w:val="clear" w:color="auto" w:fill="E3E3E4" w:themeFill="accent1" w:themeFillTint="7F"/>
      </w:tcPr>
    </w:tblStylePr>
    <w:tblStylePr w:type="neCell">
      <w:rPr>
        <w:color w:val="404040" w:themeColor="text1"/>
      </w:rPr>
    </w:tblStylePr>
    <w:tblStylePr w:type="nwCell">
      <w:rPr>
        <w:color w:val="404040" w:themeColor="text1"/>
      </w:rPr>
    </w:tblStylePr>
  </w:style>
  <w:style w:type="table" w:styleId="ColorfulShading-Accent2">
    <w:name w:val="Colorful Shading Accent 2"/>
    <w:basedOn w:val="TableNormal"/>
    <w:uiPriority w:val="71"/>
    <w:semiHidden/>
    <w:unhideWhenUsed/>
    <w:rsid w:val="00F527CC"/>
    <w:pPr>
      <w:spacing w:after="0" w:line="240" w:lineRule="auto"/>
    </w:pPr>
    <w:rPr>
      <w:color w:val="404040" w:themeColor="text1"/>
    </w:rPr>
    <w:tblPr>
      <w:tblStyleRowBandSize w:val="1"/>
      <w:tblStyleColBandSize w:val="1"/>
      <w:tblBorders>
        <w:top w:val="single" w:sz="24" w:space="0" w:color="939598" w:themeColor="accent2"/>
        <w:left w:val="single" w:sz="4" w:space="0" w:color="939598" w:themeColor="accent2"/>
        <w:bottom w:val="single" w:sz="4" w:space="0" w:color="939598" w:themeColor="accent2"/>
        <w:right w:val="single" w:sz="4" w:space="0" w:color="939598"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3959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595B" w:themeFill="accent2" w:themeFillShade="99"/>
      </w:tcPr>
    </w:tblStylePr>
    <w:tblStylePr w:type="firstCol">
      <w:rPr>
        <w:color w:val="FFFFFF" w:themeColor="background1"/>
      </w:rPr>
      <w:tblPr/>
      <w:tcPr>
        <w:tcBorders>
          <w:top w:val="nil"/>
          <w:left w:val="nil"/>
          <w:bottom w:val="nil"/>
          <w:right w:val="nil"/>
          <w:insideH w:val="single" w:sz="4" w:space="0" w:color="57595B" w:themeColor="accent2" w:themeShade="99"/>
          <w:insideV w:val="nil"/>
        </w:tcBorders>
        <w:shd w:val="clear" w:color="auto" w:fill="5759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595B" w:themeFill="accent2" w:themeFillShade="99"/>
      </w:tcPr>
    </w:tblStylePr>
    <w:tblStylePr w:type="band1Vert">
      <w:tblPr/>
      <w:tcPr>
        <w:shd w:val="clear" w:color="auto" w:fill="D3D4D5" w:themeFill="accent2" w:themeFillTint="66"/>
      </w:tcPr>
    </w:tblStylePr>
    <w:tblStylePr w:type="band1Horz">
      <w:tblPr/>
      <w:tcPr>
        <w:shd w:val="clear" w:color="auto" w:fill="C9CACB" w:themeFill="accent2" w:themeFillTint="7F"/>
      </w:tcPr>
    </w:tblStylePr>
    <w:tblStylePr w:type="neCell">
      <w:rPr>
        <w:color w:val="404040" w:themeColor="text1"/>
      </w:rPr>
    </w:tblStylePr>
    <w:tblStylePr w:type="nwCell">
      <w:rPr>
        <w:color w:val="404040" w:themeColor="text1"/>
      </w:rPr>
    </w:tblStylePr>
  </w:style>
  <w:style w:type="table" w:styleId="ColorfulShading-Accent3">
    <w:name w:val="Colorful Shading Accent 3"/>
    <w:basedOn w:val="TableNormal"/>
    <w:uiPriority w:val="71"/>
    <w:semiHidden/>
    <w:unhideWhenUsed/>
    <w:rsid w:val="00F527CC"/>
    <w:pPr>
      <w:spacing w:after="0" w:line="240" w:lineRule="auto"/>
    </w:pPr>
    <w:rPr>
      <w:color w:val="404040" w:themeColor="text1"/>
    </w:rPr>
    <w:tblPr>
      <w:tblStyleRowBandSize w:val="1"/>
      <w:tblStyleColBandSize w:val="1"/>
      <w:tblBorders>
        <w:top w:val="single" w:sz="24" w:space="0" w:color="CD202C" w:themeColor="accent4"/>
        <w:left w:val="single" w:sz="4" w:space="0" w:color="636466" w:themeColor="accent3"/>
        <w:bottom w:val="single" w:sz="4" w:space="0" w:color="636466" w:themeColor="accent3"/>
        <w:right w:val="single" w:sz="4" w:space="0" w:color="636466" w:themeColor="accent3"/>
        <w:insideH w:val="single" w:sz="4" w:space="0" w:color="FFFFFF" w:themeColor="background1"/>
        <w:insideV w:val="single" w:sz="4" w:space="0" w:color="FFFFFF" w:themeColor="background1"/>
      </w:tblBorders>
    </w:tblPr>
    <w:tcPr>
      <w:shd w:val="clear" w:color="auto" w:fill="EFEFF0" w:themeFill="accent3" w:themeFillTint="19"/>
    </w:tcPr>
    <w:tblStylePr w:type="firstRow">
      <w:rPr>
        <w:b/>
        <w:bCs/>
      </w:rPr>
      <w:tblPr/>
      <w:tcPr>
        <w:tcBorders>
          <w:top w:val="nil"/>
          <w:left w:val="nil"/>
          <w:bottom w:val="single" w:sz="24" w:space="0" w:color="CD20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3B3D" w:themeFill="accent3" w:themeFillShade="99"/>
      </w:tcPr>
    </w:tblStylePr>
    <w:tblStylePr w:type="firstCol">
      <w:rPr>
        <w:color w:val="FFFFFF" w:themeColor="background1"/>
      </w:rPr>
      <w:tblPr/>
      <w:tcPr>
        <w:tcBorders>
          <w:top w:val="nil"/>
          <w:left w:val="nil"/>
          <w:bottom w:val="nil"/>
          <w:right w:val="nil"/>
          <w:insideH w:val="single" w:sz="4" w:space="0" w:color="3B3B3D" w:themeColor="accent3" w:themeShade="99"/>
          <w:insideV w:val="nil"/>
        </w:tcBorders>
        <w:shd w:val="clear" w:color="auto" w:fill="3B3B3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3B3D" w:themeFill="accent3" w:themeFillShade="99"/>
      </w:tcPr>
    </w:tblStylePr>
    <w:tblStylePr w:type="band1Vert">
      <w:tblPr/>
      <w:tcPr>
        <w:shd w:val="clear" w:color="auto" w:fill="C0C0C2" w:themeFill="accent3" w:themeFillTint="66"/>
      </w:tcPr>
    </w:tblStylePr>
    <w:tblStylePr w:type="band1Horz">
      <w:tblPr/>
      <w:tcPr>
        <w:shd w:val="clear" w:color="auto" w:fill="B0B1B3" w:themeFill="accent3" w:themeFillTint="7F"/>
      </w:tcPr>
    </w:tblStylePr>
  </w:style>
  <w:style w:type="table" w:styleId="ColorfulShading-Accent4">
    <w:name w:val="Colorful Shading Accent 4"/>
    <w:basedOn w:val="TableNormal"/>
    <w:uiPriority w:val="71"/>
    <w:semiHidden/>
    <w:unhideWhenUsed/>
    <w:rsid w:val="00F527CC"/>
    <w:pPr>
      <w:spacing w:after="0" w:line="240" w:lineRule="auto"/>
    </w:pPr>
    <w:rPr>
      <w:color w:val="404040" w:themeColor="text1"/>
    </w:rPr>
    <w:tblPr>
      <w:tblStyleRowBandSize w:val="1"/>
      <w:tblStyleColBandSize w:val="1"/>
      <w:tblBorders>
        <w:top w:val="single" w:sz="24" w:space="0" w:color="636466" w:themeColor="accent3"/>
        <w:left w:val="single" w:sz="4" w:space="0" w:color="CD202C" w:themeColor="accent4"/>
        <w:bottom w:val="single" w:sz="4" w:space="0" w:color="CD202C" w:themeColor="accent4"/>
        <w:right w:val="single" w:sz="4" w:space="0" w:color="CD202C" w:themeColor="accent4"/>
        <w:insideH w:val="single" w:sz="4" w:space="0" w:color="FFFFFF" w:themeColor="background1"/>
        <w:insideV w:val="single" w:sz="4" w:space="0" w:color="FFFFFF" w:themeColor="background1"/>
      </w:tblBorders>
    </w:tblPr>
    <w:tcPr>
      <w:shd w:val="clear" w:color="auto" w:fill="FBE7E8" w:themeFill="accent4" w:themeFillTint="19"/>
    </w:tcPr>
    <w:tblStylePr w:type="firstRow">
      <w:rPr>
        <w:b/>
        <w:bCs/>
      </w:rPr>
      <w:tblPr/>
      <w:tcPr>
        <w:tcBorders>
          <w:top w:val="nil"/>
          <w:left w:val="nil"/>
          <w:bottom w:val="single" w:sz="24" w:space="0" w:color="63646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131A" w:themeFill="accent4" w:themeFillShade="99"/>
      </w:tcPr>
    </w:tblStylePr>
    <w:tblStylePr w:type="firstCol">
      <w:rPr>
        <w:color w:val="FFFFFF" w:themeColor="background1"/>
      </w:rPr>
      <w:tblPr/>
      <w:tcPr>
        <w:tcBorders>
          <w:top w:val="nil"/>
          <w:left w:val="nil"/>
          <w:bottom w:val="nil"/>
          <w:right w:val="nil"/>
          <w:insideH w:val="single" w:sz="4" w:space="0" w:color="7A131A" w:themeColor="accent4" w:themeShade="99"/>
          <w:insideV w:val="nil"/>
        </w:tcBorders>
        <w:shd w:val="clear" w:color="auto" w:fill="7A13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A131A" w:themeFill="accent4" w:themeFillShade="99"/>
      </w:tcPr>
    </w:tblStylePr>
    <w:tblStylePr w:type="band1Vert">
      <w:tblPr/>
      <w:tcPr>
        <w:shd w:val="clear" w:color="auto" w:fill="F0A0A5" w:themeFill="accent4" w:themeFillTint="66"/>
      </w:tcPr>
    </w:tblStylePr>
    <w:tblStylePr w:type="band1Horz">
      <w:tblPr/>
      <w:tcPr>
        <w:shd w:val="clear" w:color="auto" w:fill="EC898F" w:themeFill="accent4" w:themeFillTint="7F"/>
      </w:tcPr>
    </w:tblStylePr>
    <w:tblStylePr w:type="neCell">
      <w:rPr>
        <w:color w:val="404040" w:themeColor="text1"/>
      </w:rPr>
    </w:tblStylePr>
    <w:tblStylePr w:type="nwCell">
      <w:rPr>
        <w:color w:val="404040" w:themeColor="text1"/>
      </w:rPr>
    </w:tblStylePr>
  </w:style>
  <w:style w:type="table" w:styleId="ColorfulShading-Accent5">
    <w:name w:val="Colorful Shading Accent 5"/>
    <w:basedOn w:val="TableNormal"/>
    <w:uiPriority w:val="71"/>
    <w:semiHidden/>
    <w:unhideWhenUsed/>
    <w:rsid w:val="00F527CC"/>
    <w:pPr>
      <w:spacing w:after="0" w:line="240" w:lineRule="auto"/>
    </w:pPr>
    <w:rPr>
      <w:color w:val="404040" w:themeColor="text1"/>
    </w:rPr>
    <w:tblPr>
      <w:tblStyleRowBandSize w:val="1"/>
      <w:tblStyleColBandSize w:val="1"/>
      <w:tblBorders>
        <w:top w:val="single" w:sz="24" w:space="0" w:color="FFAA22" w:themeColor="accent6"/>
        <w:left w:val="single" w:sz="4" w:space="0" w:color="0055AA" w:themeColor="accent5"/>
        <w:bottom w:val="single" w:sz="4" w:space="0" w:color="0055AA" w:themeColor="accent5"/>
        <w:right w:val="single" w:sz="4" w:space="0" w:color="0055AA" w:themeColor="accent5"/>
        <w:insideH w:val="single" w:sz="4" w:space="0" w:color="FFFFFF" w:themeColor="background1"/>
        <w:insideV w:val="single" w:sz="4" w:space="0" w:color="FFFFFF" w:themeColor="background1"/>
      </w:tblBorders>
    </w:tblPr>
    <w:tcPr>
      <w:shd w:val="clear" w:color="auto" w:fill="DDEEFF" w:themeFill="accent5" w:themeFillTint="19"/>
    </w:tcPr>
    <w:tblStylePr w:type="firstRow">
      <w:rPr>
        <w:b/>
        <w:bCs/>
      </w:rPr>
      <w:tblPr/>
      <w:tcPr>
        <w:tcBorders>
          <w:top w:val="nil"/>
          <w:left w:val="nil"/>
          <w:bottom w:val="single" w:sz="24" w:space="0" w:color="FFAA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66" w:themeFill="accent5" w:themeFillShade="99"/>
      </w:tcPr>
    </w:tblStylePr>
    <w:tblStylePr w:type="firstCol">
      <w:rPr>
        <w:color w:val="FFFFFF" w:themeColor="background1"/>
      </w:rPr>
      <w:tblPr/>
      <w:tcPr>
        <w:tcBorders>
          <w:top w:val="nil"/>
          <w:left w:val="nil"/>
          <w:bottom w:val="nil"/>
          <w:right w:val="nil"/>
          <w:insideH w:val="single" w:sz="4" w:space="0" w:color="003266" w:themeColor="accent5" w:themeShade="99"/>
          <w:insideV w:val="nil"/>
        </w:tcBorders>
        <w:shd w:val="clear" w:color="auto" w:fill="00326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3266" w:themeFill="accent5" w:themeFillShade="99"/>
      </w:tcPr>
    </w:tblStylePr>
    <w:tblStylePr w:type="band1Vert">
      <w:tblPr/>
      <w:tcPr>
        <w:shd w:val="clear" w:color="auto" w:fill="77BAFF" w:themeFill="accent5" w:themeFillTint="66"/>
      </w:tcPr>
    </w:tblStylePr>
    <w:tblStylePr w:type="band1Horz">
      <w:tblPr/>
      <w:tcPr>
        <w:shd w:val="clear" w:color="auto" w:fill="55AAFF" w:themeFill="accent5" w:themeFillTint="7F"/>
      </w:tcPr>
    </w:tblStylePr>
    <w:tblStylePr w:type="neCell">
      <w:rPr>
        <w:color w:val="404040" w:themeColor="text1"/>
      </w:rPr>
    </w:tblStylePr>
    <w:tblStylePr w:type="nwCell">
      <w:rPr>
        <w:color w:val="404040" w:themeColor="text1"/>
      </w:rPr>
    </w:tblStylePr>
  </w:style>
  <w:style w:type="table" w:styleId="ColorfulShading-Accent6">
    <w:name w:val="Colorful Shading Accent 6"/>
    <w:basedOn w:val="TableNormal"/>
    <w:uiPriority w:val="71"/>
    <w:semiHidden/>
    <w:unhideWhenUsed/>
    <w:rsid w:val="00F527CC"/>
    <w:pPr>
      <w:spacing w:after="0" w:line="240" w:lineRule="auto"/>
    </w:pPr>
    <w:rPr>
      <w:color w:val="404040" w:themeColor="text1"/>
    </w:rPr>
    <w:tblPr>
      <w:tblStyleRowBandSize w:val="1"/>
      <w:tblStyleColBandSize w:val="1"/>
      <w:tblBorders>
        <w:top w:val="single" w:sz="24" w:space="0" w:color="0055AA" w:themeColor="accent5"/>
        <w:left w:val="single" w:sz="4" w:space="0" w:color="FFAA22" w:themeColor="accent6"/>
        <w:bottom w:val="single" w:sz="4" w:space="0" w:color="FFAA22" w:themeColor="accent6"/>
        <w:right w:val="single" w:sz="4" w:space="0" w:color="FFAA22" w:themeColor="accent6"/>
        <w:insideH w:val="single" w:sz="4" w:space="0" w:color="FFFFFF" w:themeColor="background1"/>
        <w:insideV w:val="single" w:sz="4" w:space="0" w:color="FFFFFF" w:themeColor="background1"/>
      </w:tblBorders>
    </w:tblPr>
    <w:tcPr>
      <w:shd w:val="clear" w:color="auto" w:fill="FFF6E9" w:themeFill="accent6" w:themeFillTint="19"/>
    </w:tcPr>
    <w:tblStylePr w:type="firstRow">
      <w:rPr>
        <w:b/>
        <w:bCs/>
      </w:rPr>
      <w:tblPr/>
      <w:tcPr>
        <w:tcBorders>
          <w:top w:val="nil"/>
          <w:left w:val="nil"/>
          <w:bottom w:val="single" w:sz="24" w:space="0" w:color="0055A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D6A00" w:themeFill="accent6" w:themeFillShade="99"/>
      </w:tcPr>
    </w:tblStylePr>
    <w:tblStylePr w:type="firstCol">
      <w:rPr>
        <w:color w:val="FFFFFF" w:themeColor="background1"/>
      </w:rPr>
      <w:tblPr/>
      <w:tcPr>
        <w:tcBorders>
          <w:top w:val="nil"/>
          <w:left w:val="nil"/>
          <w:bottom w:val="nil"/>
          <w:right w:val="nil"/>
          <w:insideH w:val="single" w:sz="4" w:space="0" w:color="AD6A00" w:themeColor="accent6" w:themeShade="99"/>
          <w:insideV w:val="nil"/>
        </w:tcBorders>
        <w:shd w:val="clear" w:color="auto" w:fill="AD6A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D6A00" w:themeFill="accent6" w:themeFillShade="99"/>
      </w:tcPr>
    </w:tblStylePr>
    <w:tblStylePr w:type="band1Vert">
      <w:tblPr/>
      <w:tcPr>
        <w:shd w:val="clear" w:color="auto" w:fill="FFDCA6" w:themeFill="accent6" w:themeFillTint="66"/>
      </w:tcPr>
    </w:tblStylePr>
    <w:tblStylePr w:type="band1Horz">
      <w:tblPr/>
      <w:tcPr>
        <w:shd w:val="clear" w:color="auto" w:fill="FFD490" w:themeFill="accent6" w:themeFillTint="7F"/>
      </w:tcPr>
    </w:tblStylePr>
    <w:tblStylePr w:type="neCell">
      <w:rPr>
        <w:color w:val="404040" w:themeColor="text1"/>
      </w:rPr>
    </w:tblStylePr>
    <w:tblStylePr w:type="nwCell">
      <w:rPr>
        <w:color w:val="404040" w:themeColor="text1"/>
      </w:rPr>
    </w:tblStylePr>
  </w:style>
  <w:style w:type="character" w:styleId="CommentReference">
    <w:name w:val="annotation reference"/>
    <w:basedOn w:val="DefaultParagraphFont"/>
    <w:uiPriority w:val="99"/>
    <w:unhideWhenUsed/>
    <w:rsid w:val="00F527CC"/>
    <w:rPr>
      <w:sz w:val="16"/>
      <w:szCs w:val="16"/>
      <w:lang w:val="en-US"/>
    </w:rPr>
  </w:style>
  <w:style w:type="paragraph" w:styleId="CommentText">
    <w:name w:val="annotation text"/>
    <w:basedOn w:val="Normal"/>
    <w:link w:val="CommentTextChar"/>
    <w:uiPriority w:val="99"/>
    <w:unhideWhenUsed/>
    <w:rsid w:val="00F527CC"/>
    <w:pPr>
      <w:spacing w:line="240" w:lineRule="auto"/>
    </w:pPr>
    <w:rPr>
      <w:sz w:val="20"/>
      <w:szCs w:val="20"/>
    </w:rPr>
  </w:style>
  <w:style w:type="character" w:customStyle="1" w:styleId="CommentTextChar">
    <w:name w:val="Comment Text Char"/>
    <w:basedOn w:val="DefaultParagraphFont"/>
    <w:link w:val="CommentText"/>
    <w:uiPriority w:val="99"/>
    <w:rsid w:val="00F527CC"/>
    <w:rPr>
      <w:sz w:val="20"/>
      <w:szCs w:val="20"/>
      <w:lang w:val="en-US"/>
    </w:rPr>
  </w:style>
  <w:style w:type="paragraph" w:styleId="CommentSubject">
    <w:name w:val="annotation subject"/>
    <w:basedOn w:val="CommentText"/>
    <w:next w:val="CommentText"/>
    <w:link w:val="CommentSubjectChar"/>
    <w:uiPriority w:val="99"/>
    <w:semiHidden/>
    <w:unhideWhenUsed/>
    <w:rsid w:val="00F527CC"/>
    <w:rPr>
      <w:b/>
      <w:bCs/>
    </w:rPr>
  </w:style>
  <w:style w:type="character" w:customStyle="1" w:styleId="CommentSubjectChar">
    <w:name w:val="Comment Subject Char"/>
    <w:basedOn w:val="CommentTextChar"/>
    <w:link w:val="CommentSubject"/>
    <w:uiPriority w:val="99"/>
    <w:semiHidden/>
    <w:rsid w:val="00F527CC"/>
    <w:rPr>
      <w:b/>
      <w:bCs/>
      <w:sz w:val="20"/>
      <w:szCs w:val="20"/>
      <w:lang w:val="en-US"/>
    </w:rPr>
  </w:style>
  <w:style w:type="table" w:styleId="DarkList">
    <w:name w:val="Dark List"/>
    <w:basedOn w:val="TableNormal"/>
    <w:uiPriority w:val="70"/>
    <w:semiHidden/>
    <w:unhideWhenUsed/>
    <w:rsid w:val="00F527CC"/>
    <w:pPr>
      <w:spacing w:after="0" w:line="240" w:lineRule="auto"/>
    </w:pPr>
    <w:rPr>
      <w:color w:val="FFFFFF" w:themeColor="background1"/>
    </w:rPr>
    <w:tblPr>
      <w:tblStyleRowBandSize w:val="1"/>
      <w:tblStyleColBandSize w:val="1"/>
    </w:tblPr>
    <w:tcPr>
      <w:shd w:val="clear" w:color="auto" w:fill="404040" w:themeFill="text1"/>
    </w:tcPr>
    <w:tblStylePr w:type="firstRow">
      <w:rPr>
        <w:b/>
        <w:bCs/>
      </w:rPr>
      <w:tblPr/>
      <w:tcPr>
        <w:tcBorders>
          <w:top w:val="nil"/>
          <w:left w:val="nil"/>
          <w:bottom w:val="single" w:sz="18" w:space="0" w:color="FFFFFF" w:themeColor="background1"/>
          <w:right w:val="nil"/>
          <w:insideH w:val="nil"/>
          <w:insideV w:val="nil"/>
        </w:tcBorders>
        <w:shd w:val="clear" w:color="auto" w:fill="404040" w:themeFill="text1"/>
      </w:tcPr>
    </w:tblStylePr>
    <w:tblStylePr w:type="lastRow">
      <w:tblPr/>
      <w:tcPr>
        <w:tcBorders>
          <w:top w:val="single" w:sz="18" w:space="0" w:color="FFFFFF" w:themeColor="background1"/>
          <w:left w:val="nil"/>
          <w:bottom w:val="nil"/>
          <w:right w:val="nil"/>
          <w:insideH w:val="nil"/>
          <w:insideV w:val="nil"/>
        </w:tcBorders>
        <w:shd w:val="clear" w:color="auto" w:fill="1F1F1F"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F2F2F"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F2F2F" w:themeFill="text1" w:themeFillShade="BF"/>
      </w:tcPr>
    </w:tblStylePr>
    <w:tblStylePr w:type="band1Vert">
      <w:tblPr/>
      <w:tcPr>
        <w:tcBorders>
          <w:top w:val="nil"/>
          <w:left w:val="nil"/>
          <w:bottom w:val="nil"/>
          <w:right w:val="nil"/>
          <w:insideH w:val="nil"/>
          <w:insideV w:val="nil"/>
        </w:tcBorders>
        <w:shd w:val="clear" w:color="auto" w:fill="2F2F2F" w:themeFill="text1" w:themeFillShade="BF"/>
      </w:tcPr>
    </w:tblStylePr>
    <w:tblStylePr w:type="band1Horz">
      <w:tblPr/>
      <w:tcPr>
        <w:tcBorders>
          <w:top w:val="nil"/>
          <w:left w:val="nil"/>
          <w:bottom w:val="nil"/>
          <w:right w:val="nil"/>
          <w:insideH w:val="nil"/>
          <w:insideV w:val="nil"/>
        </w:tcBorders>
        <w:shd w:val="clear" w:color="auto" w:fill="2F2F2F" w:themeFill="text1" w:themeFillShade="BF"/>
      </w:tcPr>
    </w:tblStylePr>
  </w:style>
  <w:style w:type="table" w:styleId="DarkList-Accent1">
    <w:name w:val="Dark List Accent 1"/>
    <w:basedOn w:val="TableNormal"/>
    <w:uiPriority w:val="70"/>
    <w:semiHidden/>
    <w:unhideWhenUsed/>
    <w:rsid w:val="00F527CC"/>
    <w:pPr>
      <w:spacing w:after="0" w:line="240" w:lineRule="auto"/>
    </w:pPr>
    <w:rPr>
      <w:color w:val="FFFFFF" w:themeColor="background1"/>
    </w:rPr>
    <w:tblPr>
      <w:tblStyleRowBandSize w:val="1"/>
      <w:tblStyleColBandSize w:val="1"/>
    </w:tblPr>
    <w:tcPr>
      <w:shd w:val="clear" w:color="auto" w:fill="C7C8C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404040" w:themeFill="text1"/>
      </w:tcPr>
    </w:tblStylePr>
    <w:tblStylePr w:type="lastRow">
      <w:tblPr/>
      <w:tcPr>
        <w:tcBorders>
          <w:top w:val="single" w:sz="18" w:space="0" w:color="FFFFFF" w:themeColor="background1"/>
          <w:left w:val="nil"/>
          <w:bottom w:val="nil"/>
          <w:right w:val="nil"/>
          <w:insideH w:val="nil"/>
          <w:insideV w:val="nil"/>
        </w:tcBorders>
        <w:shd w:val="clear" w:color="auto" w:fill="6162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3959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39599" w:themeFill="accent1" w:themeFillShade="BF"/>
      </w:tcPr>
    </w:tblStylePr>
    <w:tblStylePr w:type="band1Vert">
      <w:tblPr/>
      <w:tcPr>
        <w:tcBorders>
          <w:top w:val="nil"/>
          <w:left w:val="nil"/>
          <w:bottom w:val="nil"/>
          <w:right w:val="nil"/>
          <w:insideH w:val="nil"/>
          <w:insideV w:val="nil"/>
        </w:tcBorders>
        <w:shd w:val="clear" w:color="auto" w:fill="939599" w:themeFill="accent1" w:themeFillShade="BF"/>
      </w:tcPr>
    </w:tblStylePr>
    <w:tblStylePr w:type="band1Horz">
      <w:tblPr/>
      <w:tcPr>
        <w:tcBorders>
          <w:top w:val="nil"/>
          <w:left w:val="nil"/>
          <w:bottom w:val="nil"/>
          <w:right w:val="nil"/>
          <w:insideH w:val="nil"/>
          <w:insideV w:val="nil"/>
        </w:tcBorders>
        <w:shd w:val="clear" w:color="auto" w:fill="939599" w:themeFill="accent1" w:themeFillShade="BF"/>
      </w:tcPr>
    </w:tblStylePr>
  </w:style>
  <w:style w:type="table" w:styleId="DarkList-Accent2">
    <w:name w:val="Dark List Accent 2"/>
    <w:basedOn w:val="TableNormal"/>
    <w:uiPriority w:val="70"/>
    <w:semiHidden/>
    <w:unhideWhenUsed/>
    <w:rsid w:val="00F527CC"/>
    <w:pPr>
      <w:spacing w:after="0" w:line="240" w:lineRule="auto"/>
    </w:pPr>
    <w:rPr>
      <w:color w:val="FFFFFF" w:themeColor="background1"/>
    </w:rPr>
    <w:tblPr>
      <w:tblStyleRowBandSize w:val="1"/>
      <w:tblStyleColBandSize w:val="1"/>
    </w:tblPr>
    <w:tcPr>
      <w:shd w:val="clear" w:color="auto" w:fill="93959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404040" w:themeFill="text1"/>
      </w:tcPr>
    </w:tblStylePr>
    <w:tblStylePr w:type="lastRow">
      <w:tblPr/>
      <w:tcPr>
        <w:tcBorders>
          <w:top w:val="single" w:sz="18" w:space="0" w:color="FFFFFF" w:themeColor="background1"/>
          <w:left w:val="nil"/>
          <w:bottom w:val="nil"/>
          <w:right w:val="nil"/>
          <w:insideH w:val="nil"/>
          <w:insideV w:val="nil"/>
        </w:tcBorders>
        <w:shd w:val="clear" w:color="auto" w:fill="484A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6F7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6F72" w:themeFill="accent2" w:themeFillShade="BF"/>
      </w:tcPr>
    </w:tblStylePr>
    <w:tblStylePr w:type="band1Vert">
      <w:tblPr/>
      <w:tcPr>
        <w:tcBorders>
          <w:top w:val="nil"/>
          <w:left w:val="nil"/>
          <w:bottom w:val="nil"/>
          <w:right w:val="nil"/>
          <w:insideH w:val="nil"/>
          <w:insideV w:val="nil"/>
        </w:tcBorders>
        <w:shd w:val="clear" w:color="auto" w:fill="6D6F72" w:themeFill="accent2" w:themeFillShade="BF"/>
      </w:tcPr>
    </w:tblStylePr>
    <w:tblStylePr w:type="band1Horz">
      <w:tblPr/>
      <w:tcPr>
        <w:tcBorders>
          <w:top w:val="nil"/>
          <w:left w:val="nil"/>
          <w:bottom w:val="nil"/>
          <w:right w:val="nil"/>
          <w:insideH w:val="nil"/>
          <w:insideV w:val="nil"/>
        </w:tcBorders>
        <w:shd w:val="clear" w:color="auto" w:fill="6D6F72" w:themeFill="accent2" w:themeFillShade="BF"/>
      </w:tcPr>
    </w:tblStylePr>
  </w:style>
  <w:style w:type="table" w:styleId="DarkList-Accent3">
    <w:name w:val="Dark List Accent 3"/>
    <w:basedOn w:val="TableNormal"/>
    <w:uiPriority w:val="70"/>
    <w:semiHidden/>
    <w:unhideWhenUsed/>
    <w:rsid w:val="00F527CC"/>
    <w:pPr>
      <w:spacing w:after="0" w:line="240" w:lineRule="auto"/>
    </w:pPr>
    <w:rPr>
      <w:color w:val="FFFFFF" w:themeColor="background1"/>
    </w:rPr>
    <w:tblPr>
      <w:tblStyleRowBandSize w:val="1"/>
      <w:tblStyleColBandSize w:val="1"/>
    </w:tblPr>
    <w:tcPr>
      <w:shd w:val="clear" w:color="auto" w:fill="63646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404040" w:themeFill="text1"/>
      </w:tcPr>
    </w:tblStylePr>
    <w:tblStylePr w:type="lastRow">
      <w:tblPr/>
      <w:tcPr>
        <w:tcBorders>
          <w:top w:val="single" w:sz="18" w:space="0" w:color="FFFFFF" w:themeColor="background1"/>
          <w:left w:val="nil"/>
          <w:bottom w:val="nil"/>
          <w:right w:val="nil"/>
          <w:insideH w:val="nil"/>
          <w:insideV w:val="nil"/>
        </w:tcBorders>
        <w:shd w:val="clear" w:color="auto" w:fill="3131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4A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4A4C" w:themeFill="accent3" w:themeFillShade="BF"/>
      </w:tcPr>
    </w:tblStylePr>
    <w:tblStylePr w:type="band1Vert">
      <w:tblPr/>
      <w:tcPr>
        <w:tcBorders>
          <w:top w:val="nil"/>
          <w:left w:val="nil"/>
          <w:bottom w:val="nil"/>
          <w:right w:val="nil"/>
          <w:insideH w:val="nil"/>
          <w:insideV w:val="nil"/>
        </w:tcBorders>
        <w:shd w:val="clear" w:color="auto" w:fill="4A4A4C" w:themeFill="accent3" w:themeFillShade="BF"/>
      </w:tcPr>
    </w:tblStylePr>
    <w:tblStylePr w:type="band1Horz">
      <w:tblPr/>
      <w:tcPr>
        <w:tcBorders>
          <w:top w:val="nil"/>
          <w:left w:val="nil"/>
          <w:bottom w:val="nil"/>
          <w:right w:val="nil"/>
          <w:insideH w:val="nil"/>
          <w:insideV w:val="nil"/>
        </w:tcBorders>
        <w:shd w:val="clear" w:color="auto" w:fill="4A4A4C" w:themeFill="accent3" w:themeFillShade="BF"/>
      </w:tcPr>
    </w:tblStylePr>
  </w:style>
  <w:style w:type="table" w:styleId="DarkList-Accent4">
    <w:name w:val="Dark List Accent 4"/>
    <w:basedOn w:val="TableNormal"/>
    <w:uiPriority w:val="70"/>
    <w:semiHidden/>
    <w:unhideWhenUsed/>
    <w:rsid w:val="00F527CC"/>
    <w:pPr>
      <w:spacing w:after="0" w:line="240" w:lineRule="auto"/>
    </w:pPr>
    <w:rPr>
      <w:color w:val="FFFFFF" w:themeColor="background1"/>
    </w:rPr>
    <w:tblPr>
      <w:tblStyleRowBandSize w:val="1"/>
      <w:tblStyleColBandSize w:val="1"/>
    </w:tblPr>
    <w:tcPr>
      <w:shd w:val="clear" w:color="auto" w:fill="CD20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404040" w:themeFill="text1"/>
      </w:tcPr>
    </w:tblStylePr>
    <w:tblStylePr w:type="lastRow">
      <w:tblPr/>
      <w:tcPr>
        <w:tcBorders>
          <w:top w:val="single" w:sz="18" w:space="0" w:color="FFFFFF" w:themeColor="background1"/>
          <w:left w:val="nil"/>
          <w:bottom w:val="nil"/>
          <w:right w:val="nil"/>
          <w:insideH w:val="nil"/>
          <w:insideV w:val="nil"/>
        </w:tcBorders>
        <w:shd w:val="clear" w:color="auto" w:fill="6610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918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91820" w:themeFill="accent4" w:themeFillShade="BF"/>
      </w:tcPr>
    </w:tblStylePr>
    <w:tblStylePr w:type="band1Vert">
      <w:tblPr/>
      <w:tcPr>
        <w:tcBorders>
          <w:top w:val="nil"/>
          <w:left w:val="nil"/>
          <w:bottom w:val="nil"/>
          <w:right w:val="nil"/>
          <w:insideH w:val="nil"/>
          <w:insideV w:val="nil"/>
        </w:tcBorders>
        <w:shd w:val="clear" w:color="auto" w:fill="991820" w:themeFill="accent4" w:themeFillShade="BF"/>
      </w:tcPr>
    </w:tblStylePr>
    <w:tblStylePr w:type="band1Horz">
      <w:tblPr/>
      <w:tcPr>
        <w:tcBorders>
          <w:top w:val="nil"/>
          <w:left w:val="nil"/>
          <w:bottom w:val="nil"/>
          <w:right w:val="nil"/>
          <w:insideH w:val="nil"/>
          <w:insideV w:val="nil"/>
        </w:tcBorders>
        <w:shd w:val="clear" w:color="auto" w:fill="991820" w:themeFill="accent4" w:themeFillShade="BF"/>
      </w:tcPr>
    </w:tblStylePr>
  </w:style>
  <w:style w:type="table" w:styleId="DarkList-Accent5">
    <w:name w:val="Dark List Accent 5"/>
    <w:basedOn w:val="TableNormal"/>
    <w:uiPriority w:val="70"/>
    <w:semiHidden/>
    <w:unhideWhenUsed/>
    <w:rsid w:val="00F527CC"/>
    <w:pPr>
      <w:spacing w:after="0" w:line="240" w:lineRule="auto"/>
    </w:pPr>
    <w:rPr>
      <w:color w:val="FFFFFF" w:themeColor="background1"/>
    </w:rPr>
    <w:tblPr>
      <w:tblStyleRowBandSize w:val="1"/>
      <w:tblStyleColBandSize w:val="1"/>
    </w:tblPr>
    <w:tcPr>
      <w:shd w:val="clear" w:color="auto" w:fill="0055A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404040" w:themeFill="text1"/>
      </w:tcPr>
    </w:tblStylePr>
    <w:tblStylePr w:type="lastRow">
      <w:tblPr/>
      <w:tcPr>
        <w:tcBorders>
          <w:top w:val="single" w:sz="18" w:space="0" w:color="FFFFFF" w:themeColor="background1"/>
          <w:left w:val="nil"/>
          <w:bottom w:val="nil"/>
          <w:right w:val="nil"/>
          <w:insideH w:val="nil"/>
          <w:insideV w:val="nil"/>
        </w:tcBorders>
        <w:shd w:val="clear" w:color="auto" w:fill="002A5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3F7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3F7F" w:themeFill="accent5" w:themeFillShade="BF"/>
      </w:tcPr>
    </w:tblStylePr>
    <w:tblStylePr w:type="band1Vert">
      <w:tblPr/>
      <w:tcPr>
        <w:tcBorders>
          <w:top w:val="nil"/>
          <w:left w:val="nil"/>
          <w:bottom w:val="nil"/>
          <w:right w:val="nil"/>
          <w:insideH w:val="nil"/>
          <w:insideV w:val="nil"/>
        </w:tcBorders>
        <w:shd w:val="clear" w:color="auto" w:fill="003F7F" w:themeFill="accent5" w:themeFillShade="BF"/>
      </w:tcPr>
    </w:tblStylePr>
    <w:tblStylePr w:type="band1Horz">
      <w:tblPr/>
      <w:tcPr>
        <w:tcBorders>
          <w:top w:val="nil"/>
          <w:left w:val="nil"/>
          <w:bottom w:val="nil"/>
          <w:right w:val="nil"/>
          <w:insideH w:val="nil"/>
          <w:insideV w:val="nil"/>
        </w:tcBorders>
        <w:shd w:val="clear" w:color="auto" w:fill="003F7F" w:themeFill="accent5" w:themeFillShade="BF"/>
      </w:tcPr>
    </w:tblStylePr>
  </w:style>
  <w:style w:type="table" w:styleId="DarkList-Accent6">
    <w:name w:val="Dark List Accent 6"/>
    <w:basedOn w:val="TableNormal"/>
    <w:uiPriority w:val="70"/>
    <w:semiHidden/>
    <w:unhideWhenUsed/>
    <w:rsid w:val="00F527CC"/>
    <w:pPr>
      <w:spacing w:after="0" w:line="240" w:lineRule="auto"/>
    </w:pPr>
    <w:rPr>
      <w:color w:val="FFFFFF" w:themeColor="background1"/>
    </w:rPr>
    <w:tblPr>
      <w:tblStyleRowBandSize w:val="1"/>
      <w:tblStyleColBandSize w:val="1"/>
    </w:tblPr>
    <w:tcPr>
      <w:shd w:val="clear" w:color="auto" w:fill="FFAA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404040" w:themeFill="text1"/>
      </w:tcPr>
    </w:tblStylePr>
    <w:tblStylePr w:type="lastRow">
      <w:tblPr/>
      <w:tcPr>
        <w:tcBorders>
          <w:top w:val="single" w:sz="18" w:space="0" w:color="FFFFFF" w:themeColor="background1"/>
          <w:left w:val="nil"/>
          <w:bottom w:val="nil"/>
          <w:right w:val="nil"/>
          <w:insideH w:val="nil"/>
          <w:insideV w:val="nil"/>
        </w:tcBorders>
        <w:shd w:val="clear" w:color="auto" w:fill="8F57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884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88400" w:themeFill="accent6" w:themeFillShade="BF"/>
      </w:tcPr>
    </w:tblStylePr>
    <w:tblStylePr w:type="band1Vert">
      <w:tblPr/>
      <w:tcPr>
        <w:tcBorders>
          <w:top w:val="nil"/>
          <w:left w:val="nil"/>
          <w:bottom w:val="nil"/>
          <w:right w:val="nil"/>
          <w:insideH w:val="nil"/>
          <w:insideV w:val="nil"/>
        </w:tcBorders>
        <w:shd w:val="clear" w:color="auto" w:fill="D88400" w:themeFill="accent6" w:themeFillShade="BF"/>
      </w:tcPr>
    </w:tblStylePr>
    <w:tblStylePr w:type="band1Horz">
      <w:tblPr/>
      <w:tcPr>
        <w:tcBorders>
          <w:top w:val="nil"/>
          <w:left w:val="nil"/>
          <w:bottom w:val="nil"/>
          <w:right w:val="nil"/>
          <w:insideH w:val="nil"/>
          <w:insideV w:val="nil"/>
        </w:tcBorders>
        <w:shd w:val="clear" w:color="auto" w:fill="D88400" w:themeFill="accent6" w:themeFillShade="BF"/>
      </w:tcPr>
    </w:tblStylePr>
  </w:style>
  <w:style w:type="paragraph" w:styleId="DocumentMap">
    <w:name w:val="Document Map"/>
    <w:basedOn w:val="Normal"/>
    <w:link w:val="DocumentMapChar"/>
    <w:uiPriority w:val="99"/>
    <w:semiHidden/>
    <w:unhideWhenUsed/>
    <w:rsid w:val="00F527C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527CC"/>
    <w:rPr>
      <w:rFonts w:ascii="Segoe UI" w:hAnsi="Segoe UI" w:cs="Segoe UI"/>
      <w:sz w:val="16"/>
      <w:szCs w:val="16"/>
      <w:lang w:val="en-US"/>
    </w:rPr>
  </w:style>
  <w:style w:type="paragraph" w:styleId="E-mailSignature">
    <w:name w:val="E-mail Signature"/>
    <w:basedOn w:val="Normal"/>
    <w:link w:val="E-mailSignatureChar"/>
    <w:uiPriority w:val="99"/>
    <w:semiHidden/>
    <w:unhideWhenUsed/>
    <w:rsid w:val="00F527CC"/>
    <w:pPr>
      <w:spacing w:after="0" w:line="240" w:lineRule="auto"/>
    </w:pPr>
  </w:style>
  <w:style w:type="character" w:customStyle="1" w:styleId="E-mailSignatureChar">
    <w:name w:val="E-mail Signature Char"/>
    <w:basedOn w:val="DefaultParagraphFont"/>
    <w:link w:val="E-mailSignature"/>
    <w:uiPriority w:val="99"/>
    <w:semiHidden/>
    <w:rsid w:val="00F527CC"/>
    <w:rPr>
      <w:lang w:val="en-US"/>
    </w:rPr>
  </w:style>
  <w:style w:type="character" w:styleId="Emphasis">
    <w:name w:val="Emphasis"/>
    <w:basedOn w:val="DefaultParagraphFont"/>
    <w:uiPriority w:val="20"/>
    <w:qFormat/>
    <w:rsid w:val="00F527CC"/>
    <w:rPr>
      <w:i/>
      <w:iCs/>
      <w:lang w:val="en-US"/>
    </w:rPr>
  </w:style>
  <w:style w:type="paragraph" w:styleId="EnvelopeAddress">
    <w:name w:val="envelope address"/>
    <w:basedOn w:val="Normal"/>
    <w:uiPriority w:val="99"/>
    <w:semiHidden/>
    <w:unhideWhenUsed/>
    <w:rsid w:val="00F527CC"/>
    <w:pPr>
      <w:framePr w:w="7920" w:h="1980" w:hRule="exact" w:hSpace="180" w:wrap="auto" w:hAnchor="page" w:xAlign="center" w:yAlign="bottom"/>
      <w:spacing w:after="0" w:line="240" w:lineRule="auto"/>
      <w:ind w:left="2880"/>
    </w:pPr>
    <w:rPr>
      <w:rFonts w:eastAsiaTheme="majorEastAsia" w:cs="Arial"/>
      <w:sz w:val="24"/>
      <w:szCs w:val="24"/>
    </w:rPr>
  </w:style>
  <w:style w:type="paragraph" w:styleId="EnvelopeReturn">
    <w:name w:val="envelope return"/>
    <w:basedOn w:val="Normal"/>
    <w:uiPriority w:val="99"/>
    <w:semiHidden/>
    <w:unhideWhenUsed/>
    <w:rsid w:val="00F527CC"/>
    <w:pPr>
      <w:spacing w:after="0" w:line="240" w:lineRule="auto"/>
    </w:pPr>
    <w:rPr>
      <w:rFonts w:eastAsiaTheme="majorEastAsia" w:cs="Arial"/>
      <w:sz w:val="20"/>
      <w:szCs w:val="20"/>
    </w:rPr>
  </w:style>
  <w:style w:type="character" w:styleId="FollowedHyperlink">
    <w:name w:val="FollowedHyperlink"/>
    <w:basedOn w:val="DefaultParagraphFont"/>
    <w:uiPriority w:val="99"/>
    <w:semiHidden/>
    <w:unhideWhenUsed/>
    <w:rsid w:val="00F527CC"/>
    <w:rPr>
      <w:color w:val="954F72" w:themeColor="followedHyperlink"/>
      <w:u w:val="single"/>
      <w:lang w:val="en-US"/>
    </w:rPr>
  </w:style>
  <w:style w:type="table" w:styleId="GridTable1Light">
    <w:name w:val="Grid Table 1 Light"/>
    <w:basedOn w:val="TableNormal"/>
    <w:uiPriority w:val="46"/>
    <w:rsid w:val="00F527CC"/>
    <w:pPr>
      <w:spacing w:after="0" w:line="240" w:lineRule="auto"/>
    </w:pPr>
    <w:tblPr>
      <w:tblStyleRowBandSize w:val="1"/>
      <w:tblStyleColBandSize w:val="1"/>
      <w:tblBorders>
        <w:top w:val="single" w:sz="4" w:space="0" w:color="B2B2B2" w:themeColor="text1" w:themeTint="66"/>
        <w:left w:val="single" w:sz="4" w:space="0" w:color="B2B2B2" w:themeColor="text1" w:themeTint="66"/>
        <w:bottom w:val="single" w:sz="4" w:space="0" w:color="B2B2B2" w:themeColor="text1" w:themeTint="66"/>
        <w:right w:val="single" w:sz="4" w:space="0" w:color="B2B2B2" w:themeColor="text1" w:themeTint="66"/>
        <w:insideH w:val="single" w:sz="4" w:space="0" w:color="B2B2B2" w:themeColor="text1" w:themeTint="66"/>
        <w:insideV w:val="single" w:sz="4" w:space="0" w:color="B2B2B2" w:themeColor="text1" w:themeTint="66"/>
      </w:tblBorders>
    </w:tblPr>
    <w:tblStylePr w:type="firstRow">
      <w:rPr>
        <w:b/>
        <w:bCs/>
      </w:rPr>
      <w:tblPr/>
      <w:tcPr>
        <w:tcBorders>
          <w:bottom w:val="single" w:sz="12" w:space="0" w:color="8C8C8C" w:themeColor="text1" w:themeTint="99"/>
        </w:tcBorders>
      </w:tcPr>
    </w:tblStylePr>
    <w:tblStylePr w:type="lastRow">
      <w:rPr>
        <w:b/>
        <w:bCs/>
      </w:rPr>
      <w:tblPr/>
      <w:tcPr>
        <w:tcBorders>
          <w:top w:val="double" w:sz="2" w:space="0" w:color="8C8C8C"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527CC"/>
    <w:pPr>
      <w:spacing w:after="0" w:line="240" w:lineRule="auto"/>
    </w:pPr>
    <w:tblPr>
      <w:tblStyleRowBandSize w:val="1"/>
      <w:tblStyleColBandSize w:val="1"/>
      <w:tblBorders>
        <w:top w:val="single" w:sz="4" w:space="0" w:color="E8E8E9" w:themeColor="accent1" w:themeTint="66"/>
        <w:left w:val="single" w:sz="4" w:space="0" w:color="E8E8E9" w:themeColor="accent1" w:themeTint="66"/>
        <w:bottom w:val="single" w:sz="4" w:space="0" w:color="E8E8E9" w:themeColor="accent1" w:themeTint="66"/>
        <w:right w:val="single" w:sz="4" w:space="0" w:color="E8E8E9" w:themeColor="accent1" w:themeTint="66"/>
        <w:insideH w:val="single" w:sz="4" w:space="0" w:color="E8E8E9" w:themeColor="accent1" w:themeTint="66"/>
        <w:insideV w:val="single" w:sz="4" w:space="0" w:color="E8E8E9" w:themeColor="accent1" w:themeTint="66"/>
      </w:tblBorders>
    </w:tblPr>
    <w:tblStylePr w:type="firstRow">
      <w:rPr>
        <w:b/>
        <w:bCs/>
      </w:rPr>
      <w:tblPr/>
      <w:tcPr>
        <w:tcBorders>
          <w:bottom w:val="single" w:sz="12" w:space="0" w:color="DDDDDF" w:themeColor="accent1" w:themeTint="99"/>
        </w:tcBorders>
      </w:tcPr>
    </w:tblStylePr>
    <w:tblStylePr w:type="lastRow">
      <w:rPr>
        <w:b/>
        <w:bCs/>
      </w:rPr>
      <w:tblPr/>
      <w:tcPr>
        <w:tcBorders>
          <w:top w:val="double" w:sz="2" w:space="0" w:color="DDDDD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527CC"/>
    <w:pPr>
      <w:spacing w:after="0" w:line="240" w:lineRule="auto"/>
    </w:pPr>
    <w:tblPr>
      <w:tblStyleRowBandSize w:val="1"/>
      <w:tblStyleColBandSize w:val="1"/>
      <w:tblBorders>
        <w:top w:val="single" w:sz="4" w:space="0" w:color="D3D4D5" w:themeColor="accent2" w:themeTint="66"/>
        <w:left w:val="single" w:sz="4" w:space="0" w:color="D3D4D5" w:themeColor="accent2" w:themeTint="66"/>
        <w:bottom w:val="single" w:sz="4" w:space="0" w:color="D3D4D5" w:themeColor="accent2" w:themeTint="66"/>
        <w:right w:val="single" w:sz="4" w:space="0" w:color="D3D4D5" w:themeColor="accent2" w:themeTint="66"/>
        <w:insideH w:val="single" w:sz="4" w:space="0" w:color="D3D4D5" w:themeColor="accent2" w:themeTint="66"/>
        <w:insideV w:val="single" w:sz="4" w:space="0" w:color="D3D4D5" w:themeColor="accent2" w:themeTint="66"/>
      </w:tblBorders>
    </w:tblPr>
    <w:tblStylePr w:type="firstRow">
      <w:rPr>
        <w:b/>
        <w:bCs/>
      </w:rPr>
      <w:tblPr/>
      <w:tcPr>
        <w:tcBorders>
          <w:bottom w:val="single" w:sz="12" w:space="0" w:color="BEBFC1" w:themeColor="accent2" w:themeTint="99"/>
        </w:tcBorders>
      </w:tcPr>
    </w:tblStylePr>
    <w:tblStylePr w:type="lastRow">
      <w:rPr>
        <w:b/>
        <w:bCs/>
      </w:rPr>
      <w:tblPr/>
      <w:tcPr>
        <w:tcBorders>
          <w:top w:val="double" w:sz="2" w:space="0" w:color="BEBFC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527CC"/>
    <w:pPr>
      <w:spacing w:after="0" w:line="240" w:lineRule="auto"/>
    </w:pPr>
    <w:tblPr>
      <w:tblStyleRowBandSize w:val="1"/>
      <w:tblStyleColBandSize w:val="1"/>
      <w:tblBorders>
        <w:top w:val="single" w:sz="4" w:space="0" w:color="C0C0C2" w:themeColor="accent3" w:themeTint="66"/>
        <w:left w:val="single" w:sz="4" w:space="0" w:color="C0C0C2" w:themeColor="accent3" w:themeTint="66"/>
        <w:bottom w:val="single" w:sz="4" w:space="0" w:color="C0C0C2" w:themeColor="accent3" w:themeTint="66"/>
        <w:right w:val="single" w:sz="4" w:space="0" w:color="C0C0C2" w:themeColor="accent3" w:themeTint="66"/>
        <w:insideH w:val="single" w:sz="4" w:space="0" w:color="C0C0C2" w:themeColor="accent3" w:themeTint="66"/>
        <w:insideV w:val="single" w:sz="4" w:space="0" w:color="C0C0C2" w:themeColor="accent3" w:themeTint="66"/>
      </w:tblBorders>
    </w:tblPr>
    <w:tblStylePr w:type="firstRow">
      <w:rPr>
        <w:b/>
        <w:bCs/>
      </w:rPr>
      <w:tblPr/>
      <w:tcPr>
        <w:tcBorders>
          <w:bottom w:val="single" w:sz="12" w:space="0" w:color="A0A1A3" w:themeColor="accent3" w:themeTint="99"/>
        </w:tcBorders>
      </w:tcPr>
    </w:tblStylePr>
    <w:tblStylePr w:type="lastRow">
      <w:rPr>
        <w:b/>
        <w:bCs/>
      </w:rPr>
      <w:tblPr/>
      <w:tcPr>
        <w:tcBorders>
          <w:top w:val="double" w:sz="2" w:space="0" w:color="A0A1A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527CC"/>
    <w:pPr>
      <w:spacing w:after="0" w:line="240" w:lineRule="auto"/>
    </w:pPr>
    <w:tblPr>
      <w:tblStyleRowBandSize w:val="1"/>
      <w:tblStyleColBandSize w:val="1"/>
      <w:tblBorders>
        <w:top w:val="single" w:sz="4" w:space="0" w:color="F0A0A5" w:themeColor="accent4" w:themeTint="66"/>
        <w:left w:val="single" w:sz="4" w:space="0" w:color="F0A0A5" w:themeColor="accent4" w:themeTint="66"/>
        <w:bottom w:val="single" w:sz="4" w:space="0" w:color="F0A0A5" w:themeColor="accent4" w:themeTint="66"/>
        <w:right w:val="single" w:sz="4" w:space="0" w:color="F0A0A5" w:themeColor="accent4" w:themeTint="66"/>
        <w:insideH w:val="single" w:sz="4" w:space="0" w:color="F0A0A5" w:themeColor="accent4" w:themeTint="66"/>
        <w:insideV w:val="single" w:sz="4" w:space="0" w:color="F0A0A5" w:themeColor="accent4" w:themeTint="66"/>
      </w:tblBorders>
    </w:tblPr>
    <w:tblStylePr w:type="firstRow">
      <w:rPr>
        <w:b/>
        <w:bCs/>
      </w:rPr>
      <w:tblPr/>
      <w:tcPr>
        <w:tcBorders>
          <w:bottom w:val="single" w:sz="12" w:space="0" w:color="E87179" w:themeColor="accent4" w:themeTint="99"/>
        </w:tcBorders>
      </w:tcPr>
    </w:tblStylePr>
    <w:tblStylePr w:type="lastRow">
      <w:rPr>
        <w:b/>
        <w:bCs/>
      </w:rPr>
      <w:tblPr/>
      <w:tcPr>
        <w:tcBorders>
          <w:top w:val="double" w:sz="2" w:space="0" w:color="E87179"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527CC"/>
    <w:pPr>
      <w:spacing w:after="0" w:line="240" w:lineRule="auto"/>
    </w:pPr>
    <w:tblPr>
      <w:tblStyleRowBandSize w:val="1"/>
      <w:tblStyleColBandSize w:val="1"/>
      <w:tblBorders>
        <w:top w:val="single" w:sz="4" w:space="0" w:color="77BAFF" w:themeColor="accent5" w:themeTint="66"/>
        <w:left w:val="single" w:sz="4" w:space="0" w:color="77BAFF" w:themeColor="accent5" w:themeTint="66"/>
        <w:bottom w:val="single" w:sz="4" w:space="0" w:color="77BAFF" w:themeColor="accent5" w:themeTint="66"/>
        <w:right w:val="single" w:sz="4" w:space="0" w:color="77BAFF" w:themeColor="accent5" w:themeTint="66"/>
        <w:insideH w:val="single" w:sz="4" w:space="0" w:color="77BAFF" w:themeColor="accent5" w:themeTint="66"/>
        <w:insideV w:val="single" w:sz="4" w:space="0" w:color="77BAFF" w:themeColor="accent5" w:themeTint="66"/>
      </w:tblBorders>
    </w:tblPr>
    <w:tblStylePr w:type="firstRow">
      <w:rPr>
        <w:b/>
        <w:bCs/>
      </w:rPr>
      <w:tblPr/>
      <w:tcPr>
        <w:tcBorders>
          <w:bottom w:val="single" w:sz="12" w:space="0" w:color="3398FF" w:themeColor="accent5" w:themeTint="99"/>
        </w:tcBorders>
      </w:tcPr>
    </w:tblStylePr>
    <w:tblStylePr w:type="lastRow">
      <w:rPr>
        <w:b/>
        <w:bCs/>
      </w:rPr>
      <w:tblPr/>
      <w:tcPr>
        <w:tcBorders>
          <w:top w:val="double" w:sz="2" w:space="0" w:color="3398F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527CC"/>
    <w:pPr>
      <w:spacing w:after="0" w:line="240" w:lineRule="auto"/>
    </w:pPr>
    <w:tblPr>
      <w:tblStyleRowBandSize w:val="1"/>
      <w:tblStyleColBandSize w:val="1"/>
      <w:tblBorders>
        <w:top w:val="single" w:sz="4" w:space="0" w:color="FFDCA6" w:themeColor="accent6" w:themeTint="66"/>
        <w:left w:val="single" w:sz="4" w:space="0" w:color="FFDCA6" w:themeColor="accent6" w:themeTint="66"/>
        <w:bottom w:val="single" w:sz="4" w:space="0" w:color="FFDCA6" w:themeColor="accent6" w:themeTint="66"/>
        <w:right w:val="single" w:sz="4" w:space="0" w:color="FFDCA6" w:themeColor="accent6" w:themeTint="66"/>
        <w:insideH w:val="single" w:sz="4" w:space="0" w:color="FFDCA6" w:themeColor="accent6" w:themeTint="66"/>
        <w:insideV w:val="single" w:sz="4" w:space="0" w:color="FFDCA6" w:themeColor="accent6" w:themeTint="66"/>
      </w:tblBorders>
    </w:tblPr>
    <w:tblStylePr w:type="firstRow">
      <w:rPr>
        <w:b/>
        <w:bCs/>
      </w:rPr>
      <w:tblPr/>
      <w:tcPr>
        <w:tcBorders>
          <w:bottom w:val="single" w:sz="12" w:space="0" w:color="FFCB7A" w:themeColor="accent6" w:themeTint="99"/>
        </w:tcBorders>
      </w:tcPr>
    </w:tblStylePr>
    <w:tblStylePr w:type="lastRow">
      <w:rPr>
        <w:b/>
        <w:bCs/>
      </w:rPr>
      <w:tblPr/>
      <w:tcPr>
        <w:tcBorders>
          <w:top w:val="double" w:sz="2" w:space="0" w:color="FFCB7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527CC"/>
    <w:pPr>
      <w:spacing w:after="0" w:line="240" w:lineRule="auto"/>
    </w:pPr>
    <w:tblPr>
      <w:tblStyleRowBandSize w:val="1"/>
      <w:tblStyleColBandSize w:val="1"/>
      <w:tblBorders>
        <w:top w:val="single" w:sz="2" w:space="0" w:color="8C8C8C" w:themeColor="text1" w:themeTint="99"/>
        <w:bottom w:val="single" w:sz="2" w:space="0" w:color="8C8C8C" w:themeColor="text1" w:themeTint="99"/>
        <w:insideH w:val="single" w:sz="2" w:space="0" w:color="8C8C8C" w:themeColor="text1" w:themeTint="99"/>
        <w:insideV w:val="single" w:sz="2" w:space="0" w:color="8C8C8C" w:themeColor="text1" w:themeTint="99"/>
      </w:tblBorders>
    </w:tblPr>
    <w:tblStylePr w:type="firstRow">
      <w:rPr>
        <w:b/>
        <w:bCs/>
      </w:rPr>
      <w:tblPr/>
      <w:tcPr>
        <w:tcBorders>
          <w:top w:val="nil"/>
          <w:bottom w:val="single" w:sz="12" w:space="0" w:color="8C8C8C" w:themeColor="text1" w:themeTint="99"/>
          <w:insideH w:val="nil"/>
          <w:insideV w:val="nil"/>
        </w:tcBorders>
        <w:shd w:val="clear" w:color="auto" w:fill="FFFFFF" w:themeFill="background1"/>
      </w:tcPr>
    </w:tblStylePr>
    <w:tblStylePr w:type="lastRow">
      <w:rPr>
        <w:b/>
        <w:bCs/>
      </w:rPr>
      <w:tblPr/>
      <w:tcPr>
        <w:tcBorders>
          <w:top w:val="double" w:sz="2" w:space="0" w:color="8C8C8C"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GridTable2-Accent1">
    <w:name w:val="Grid Table 2 Accent 1"/>
    <w:basedOn w:val="TableNormal"/>
    <w:uiPriority w:val="47"/>
    <w:rsid w:val="00F527CC"/>
    <w:pPr>
      <w:spacing w:after="0" w:line="240" w:lineRule="auto"/>
    </w:pPr>
    <w:tblPr>
      <w:tblStyleRowBandSize w:val="1"/>
      <w:tblStyleColBandSize w:val="1"/>
      <w:tblBorders>
        <w:top w:val="single" w:sz="2" w:space="0" w:color="DDDDDF" w:themeColor="accent1" w:themeTint="99"/>
        <w:bottom w:val="single" w:sz="2" w:space="0" w:color="DDDDDF" w:themeColor="accent1" w:themeTint="99"/>
        <w:insideH w:val="single" w:sz="2" w:space="0" w:color="DDDDDF" w:themeColor="accent1" w:themeTint="99"/>
        <w:insideV w:val="single" w:sz="2" w:space="0" w:color="DDDDDF" w:themeColor="accent1" w:themeTint="99"/>
      </w:tblBorders>
    </w:tblPr>
    <w:tblStylePr w:type="firstRow">
      <w:rPr>
        <w:b/>
        <w:bCs/>
      </w:rPr>
      <w:tblPr/>
      <w:tcPr>
        <w:tcBorders>
          <w:top w:val="nil"/>
          <w:bottom w:val="single" w:sz="12" w:space="0" w:color="DDDDDF" w:themeColor="accent1" w:themeTint="99"/>
          <w:insideH w:val="nil"/>
          <w:insideV w:val="nil"/>
        </w:tcBorders>
        <w:shd w:val="clear" w:color="auto" w:fill="FFFFFF" w:themeFill="background1"/>
      </w:tcPr>
    </w:tblStylePr>
    <w:tblStylePr w:type="lastRow">
      <w:rPr>
        <w:b/>
        <w:bCs/>
      </w:rPr>
      <w:tblPr/>
      <w:tcPr>
        <w:tcBorders>
          <w:top w:val="double" w:sz="2" w:space="0" w:color="DDDDD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4" w:themeFill="accent1" w:themeFillTint="33"/>
      </w:tcPr>
    </w:tblStylePr>
    <w:tblStylePr w:type="band1Horz">
      <w:tblPr/>
      <w:tcPr>
        <w:shd w:val="clear" w:color="auto" w:fill="F3F3F4" w:themeFill="accent1" w:themeFillTint="33"/>
      </w:tcPr>
    </w:tblStylePr>
  </w:style>
  <w:style w:type="table" w:styleId="GridTable2-Accent2">
    <w:name w:val="Grid Table 2 Accent 2"/>
    <w:basedOn w:val="TableNormal"/>
    <w:uiPriority w:val="47"/>
    <w:rsid w:val="00F527CC"/>
    <w:pPr>
      <w:spacing w:after="0" w:line="240" w:lineRule="auto"/>
    </w:pPr>
    <w:tblPr>
      <w:tblStyleRowBandSize w:val="1"/>
      <w:tblStyleColBandSize w:val="1"/>
      <w:tblBorders>
        <w:top w:val="single" w:sz="2" w:space="0" w:color="BEBFC1" w:themeColor="accent2" w:themeTint="99"/>
        <w:bottom w:val="single" w:sz="2" w:space="0" w:color="BEBFC1" w:themeColor="accent2" w:themeTint="99"/>
        <w:insideH w:val="single" w:sz="2" w:space="0" w:color="BEBFC1" w:themeColor="accent2" w:themeTint="99"/>
        <w:insideV w:val="single" w:sz="2" w:space="0" w:color="BEBFC1" w:themeColor="accent2" w:themeTint="99"/>
      </w:tblBorders>
    </w:tblPr>
    <w:tblStylePr w:type="firstRow">
      <w:rPr>
        <w:b/>
        <w:bCs/>
      </w:rPr>
      <w:tblPr/>
      <w:tcPr>
        <w:tcBorders>
          <w:top w:val="nil"/>
          <w:bottom w:val="single" w:sz="12" w:space="0" w:color="BEBFC1" w:themeColor="accent2" w:themeTint="99"/>
          <w:insideH w:val="nil"/>
          <w:insideV w:val="nil"/>
        </w:tcBorders>
        <w:shd w:val="clear" w:color="auto" w:fill="FFFFFF" w:themeFill="background1"/>
      </w:tcPr>
    </w:tblStylePr>
    <w:tblStylePr w:type="lastRow">
      <w:rPr>
        <w:b/>
        <w:bCs/>
      </w:rPr>
      <w:tblPr/>
      <w:tcPr>
        <w:tcBorders>
          <w:top w:val="double" w:sz="2" w:space="0" w:color="BEBF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9EA" w:themeFill="accent2" w:themeFillTint="33"/>
      </w:tcPr>
    </w:tblStylePr>
    <w:tblStylePr w:type="band1Horz">
      <w:tblPr/>
      <w:tcPr>
        <w:shd w:val="clear" w:color="auto" w:fill="E9E9EA" w:themeFill="accent2" w:themeFillTint="33"/>
      </w:tcPr>
    </w:tblStylePr>
  </w:style>
  <w:style w:type="table" w:styleId="GridTable2-Accent3">
    <w:name w:val="Grid Table 2 Accent 3"/>
    <w:basedOn w:val="TableNormal"/>
    <w:uiPriority w:val="47"/>
    <w:rsid w:val="00F527CC"/>
    <w:pPr>
      <w:spacing w:after="0" w:line="240" w:lineRule="auto"/>
    </w:pPr>
    <w:tblPr>
      <w:tblStyleRowBandSize w:val="1"/>
      <w:tblStyleColBandSize w:val="1"/>
      <w:tblBorders>
        <w:top w:val="single" w:sz="2" w:space="0" w:color="A0A1A3" w:themeColor="accent3" w:themeTint="99"/>
        <w:bottom w:val="single" w:sz="2" w:space="0" w:color="A0A1A3" w:themeColor="accent3" w:themeTint="99"/>
        <w:insideH w:val="single" w:sz="2" w:space="0" w:color="A0A1A3" w:themeColor="accent3" w:themeTint="99"/>
        <w:insideV w:val="single" w:sz="2" w:space="0" w:color="A0A1A3" w:themeColor="accent3" w:themeTint="99"/>
      </w:tblBorders>
    </w:tblPr>
    <w:tblStylePr w:type="firstRow">
      <w:rPr>
        <w:b/>
        <w:bCs/>
      </w:rPr>
      <w:tblPr/>
      <w:tcPr>
        <w:tcBorders>
          <w:top w:val="nil"/>
          <w:bottom w:val="single" w:sz="12" w:space="0" w:color="A0A1A3" w:themeColor="accent3" w:themeTint="99"/>
          <w:insideH w:val="nil"/>
          <w:insideV w:val="nil"/>
        </w:tcBorders>
        <w:shd w:val="clear" w:color="auto" w:fill="FFFFFF" w:themeFill="background1"/>
      </w:tcPr>
    </w:tblStylePr>
    <w:tblStylePr w:type="lastRow">
      <w:rPr>
        <w:b/>
        <w:bCs/>
      </w:rPr>
      <w:tblPr/>
      <w:tcPr>
        <w:tcBorders>
          <w:top w:val="double" w:sz="2" w:space="0" w:color="A0A1A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E0" w:themeFill="accent3" w:themeFillTint="33"/>
      </w:tcPr>
    </w:tblStylePr>
    <w:tblStylePr w:type="band1Horz">
      <w:tblPr/>
      <w:tcPr>
        <w:shd w:val="clear" w:color="auto" w:fill="DFDFE0" w:themeFill="accent3" w:themeFillTint="33"/>
      </w:tcPr>
    </w:tblStylePr>
  </w:style>
  <w:style w:type="table" w:styleId="GridTable2-Accent4">
    <w:name w:val="Grid Table 2 Accent 4"/>
    <w:basedOn w:val="TableNormal"/>
    <w:uiPriority w:val="47"/>
    <w:rsid w:val="00F527CC"/>
    <w:pPr>
      <w:spacing w:after="0" w:line="240" w:lineRule="auto"/>
    </w:pPr>
    <w:tblPr>
      <w:tblStyleRowBandSize w:val="1"/>
      <w:tblStyleColBandSize w:val="1"/>
      <w:tblBorders>
        <w:top w:val="single" w:sz="2" w:space="0" w:color="E87179" w:themeColor="accent4" w:themeTint="99"/>
        <w:bottom w:val="single" w:sz="2" w:space="0" w:color="E87179" w:themeColor="accent4" w:themeTint="99"/>
        <w:insideH w:val="single" w:sz="2" w:space="0" w:color="E87179" w:themeColor="accent4" w:themeTint="99"/>
        <w:insideV w:val="single" w:sz="2" w:space="0" w:color="E87179" w:themeColor="accent4" w:themeTint="99"/>
      </w:tblBorders>
    </w:tblPr>
    <w:tblStylePr w:type="firstRow">
      <w:rPr>
        <w:b/>
        <w:bCs/>
      </w:rPr>
      <w:tblPr/>
      <w:tcPr>
        <w:tcBorders>
          <w:top w:val="nil"/>
          <w:bottom w:val="single" w:sz="12" w:space="0" w:color="E87179" w:themeColor="accent4" w:themeTint="99"/>
          <w:insideH w:val="nil"/>
          <w:insideV w:val="nil"/>
        </w:tcBorders>
        <w:shd w:val="clear" w:color="auto" w:fill="FFFFFF" w:themeFill="background1"/>
      </w:tcPr>
    </w:tblStylePr>
    <w:tblStylePr w:type="lastRow">
      <w:rPr>
        <w:b/>
        <w:bCs/>
      </w:rPr>
      <w:tblPr/>
      <w:tcPr>
        <w:tcBorders>
          <w:top w:val="double" w:sz="2" w:space="0" w:color="E8717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CFD2" w:themeFill="accent4" w:themeFillTint="33"/>
      </w:tcPr>
    </w:tblStylePr>
    <w:tblStylePr w:type="band1Horz">
      <w:tblPr/>
      <w:tcPr>
        <w:shd w:val="clear" w:color="auto" w:fill="F7CFD2" w:themeFill="accent4" w:themeFillTint="33"/>
      </w:tcPr>
    </w:tblStylePr>
  </w:style>
  <w:style w:type="table" w:styleId="GridTable2-Accent5">
    <w:name w:val="Grid Table 2 Accent 5"/>
    <w:basedOn w:val="TableNormal"/>
    <w:uiPriority w:val="47"/>
    <w:rsid w:val="00F527CC"/>
    <w:pPr>
      <w:spacing w:after="0" w:line="240" w:lineRule="auto"/>
    </w:pPr>
    <w:tblPr>
      <w:tblStyleRowBandSize w:val="1"/>
      <w:tblStyleColBandSize w:val="1"/>
      <w:tblBorders>
        <w:top w:val="single" w:sz="2" w:space="0" w:color="3398FF" w:themeColor="accent5" w:themeTint="99"/>
        <w:bottom w:val="single" w:sz="2" w:space="0" w:color="3398FF" w:themeColor="accent5" w:themeTint="99"/>
        <w:insideH w:val="single" w:sz="2" w:space="0" w:color="3398FF" w:themeColor="accent5" w:themeTint="99"/>
        <w:insideV w:val="single" w:sz="2" w:space="0" w:color="3398FF" w:themeColor="accent5" w:themeTint="99"/>
      </w:tblBorders>
    </w:tblPr>
    <w:tblStylePr w:type="firstRow">
      <w:rPr>
        <w:b/>
        <w:bCs/>
      </w:rPr>
      <w:tblPr/>
      <w:tcPr>
        <w:tcBorders>
          <w:top w:val="nil"/>
          <w:bottom w:val="single" w:sz="12" w:space="0" w:color="3398FF" w:themeColor="accent5" w:themeTint="99"/>
          <w:insideH w:val="nil"/>
          <w:insideV w:val="nil"/>
        </w:tcBorders>
        <w:shd w:val="clear" w:color="auto" w:fill="FFFFFF" w:themeFill="background1"/>
      </w:tcPr>
    </w:tblStylePr>
    <w:tblStylePr w:type="lastRow">
      <w:rPr>
        <w:b/>
        <w:bCs/>
      </w:rPr>
      <w:tblPr/>
      <w:tcPr>
        <w:tcBorders>
          <w:top w:val="double" w:sz="2" w:space="0" w:color="3398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DCFF" w:themeFill="accent5" w:themeFillTint="33"/>
      </w:tcPr>
    </w:tblStylePr>
    <w:tblStylePr w:type="band1Horz">
      <w:tblPr/>
      <w:tcPr>
        <w:shd w:val="clear" w:color="auto" w:fill="BBDCFF" w:themeFill="accent5" w:themeFillTint="33"/>
      </w:tcPr>
    </w:tblStylePr>
  </w:style>
  <w:style w:type="table" w:styleId="GridTable2-Accent6">
    <w:name w:val="Grid Table 2 Accent 6"/>
    <w:basedOn w:val="TableNormal"/>
    <w:uiPriority w:val="47"/>
    <w:rsid w:val="00F527CC"/>
    <w:pPr>
      <w:spacing w:after="0" w:line="240" w:lineRule="auto"/>
    </w:pPr>
    <w:tblPr>
      <w:tblStyleRowBandSize w:val="1"/>
      <w:tblStyleColBandSize w:val="1"/>
      <w:tblBorders>
        <w:top w:val="single" w:sz="2" w:space="0" w:color="FFCB7A" w:themeColor="accent6" w:themeTint="99"/>
        <w:bottom w:val="single" w:sz="2" w:space="0" w:color="FFCB7A" w:themeColor="accent6" w:themeTint="99"/>
        <w:insideH w:val="single" w:sz="2" w:space="0" w:color="FFCB7A" w:themeColor="accent6" w:themeTint="99"/>
        <w:insideV w:val="single" w:sz="2" w:space="0" w:color="FFCB7A" w:themeColor="accent6" w:themeTint="99"/>
      </w:tblBorders>
    </w:tblPr>
    <w:tblStylePr w:type="firstRow">
      <w:rPr>
        <w:b/>
        <w:bCs/>
      </w:rPr>
      <w:tblPr/>
      <w:tcPr>
        <w:tcBorders>
          <w:top w:val="nil"/>
          <w:bottom w:val="single" w:sz="12" w:space="0" w:color="FFCB7A" w:themeColor="accent6" w:themeTint="99"/>
          <w:insideH w:val="nil"/>
          <w:insideV w:val="nil"/>
        </w:tcBorders>
        <w:shd w:val="clear" w:color="auto" w:fill="FFFFFF" w:themeFill="background1"/>
      </w:tcPr>
    </w:tblStylePr>
    <w:tblStylePr w:type="lastRow">
      <w:rPr>
        <w:b/>
        <w:bCs/>
      </w:rPr>
      <w:tblPr/>
      <w:tcPr>
        <w:tcBorders>
          <w:top w:val="double" w:sz="2" w:space="0" w:color="FFCB7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DD2" w:themeFill="accent6" w:themeFillTint="33"/>
      </w:tcPr>
    </w:tblStylePr>
    <w:tblStylePr w:type="band1Horz">
      <w:tblPr/>
      <w:tcPr>
        <w:shd w:val="clear" w:color="auto" w:fill="FFEDD2" w:themeFill="accent6" w:themeFillTint="33"/>
      </w:tcPr>
    </w:tblStylePr>
  </w:style>
  <w:style w:type="table" w:styleId="GridTable3">
    <w:name w:val="Grid Table 3"/>
    <w:basedOn w:val="TableNormal"/>
    <w:uiPriority w:val="48"/>
    <w:rsid w:val="00F527CC"/>
    <w:pPr>
      <w:spacing w:after="0" w:line="240" w:lineRule="auto"/>
    </w:pPr>
    <w:tblPr>
      <w:tblStyleRowBandSize w:val="1"/>
      <w:tblStyleColBandSize w:val="1"/>
      <w:tblBorders>
        <w:top w:val="single" w:sz="4" w:space="0" w:color="8C8C8C" w:themeColor="text1" w:themeTint="99"/>
        <w:left w:val="single" w:sz="4" w:space="0" w:color="8C8C8C" w:themeColor="text1" w:themeTint="99"/>
        <w:bottom w:val="single" w:sz="4" w:space="0" w:color="8C8C8C" w:themeColor="text1" w:themeTint="99"/>
        <w:right w:val="single" w:sz="4" w:space="0" w:color="8C8C8C" w:themeColor="text1" w:themeTint="99"/>
        <w:insideH w:val="single" w:sz="4" w:space="0" w:color="8C8C8C" w:themeColor="text1" w:themeTint="99"/>
        <w:insideV w:val="single" w:sz="4" w:space="0" w:color="8C8C8C"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C8C8C" w:themeColor="text1" w:themeTint="99"/>
        </w:tcBorders>
      </w:tcPr>
    </w:tblStylePr>
    <w:tblStylePr w:type="nwCell">
      <w:tblPr/>
      <w:tcPr>
        <w:tcBorders>
          <w:bottom w:val="single" w:sz="4" w:space="0" w:color="8C8C8C" w:themeColor="text1" w:themeTint="99"/>
        </w:tcBorders>
      </w:tcPr>
    </w:tblStylePr>
    <w:tblStylePr w:type="seCell">
      <w:tblPr/>
      <w:tcPr>
        <w:tcBorders>
          <w:top w:val="single" w:sz="4" w:space="0" w:color="8C8C8C" w:themeColor="text1" w:themeTint="99"/>
        </w:tcBorders>
      </w:tcPr>
    </w:tblStylePr>
    <w:tblStylePr w:type="swCell">
      <w:tblPr/>
      <w:tcPr>
        <w:tcBorders>
          <w:top w:val="single" w:sz="4" w:space="0" w:color="8C8C8C" w:themeColor="text1" w:themeTint="99"/>
        </w:tcBorders>
      </w:tcPr>
    </w:tblStylePr>
  </w:style>
  <w:style w:type="table" w:styleId="GridTable3-Accent1">
    <w:name w:val="Grid Table 3 Accent 1"/>
    <w:basedOn w:val="TableNormal"/>
    <w:uiPriority w:val="48"/>
    <w:rsid w:val="00F527CC"/>
    <w:pPr>
      <w:spacing w:after="0" w:line="240" w:lineRule="auto"/>
    </w:pPr>
    <w:tblPr>
      <w:tblStyleRowBandSize w:val="1"/>
      <w:tblStyleColBandSize w:val="1"/>
      <w:tblBorders>
        <w:top w:val="single" w:sz="4" w:space="0" w:color="DDDDDF" w:themeColor="accent1" w:themeTint="99"/>
        <w:left w:val="single" w:sz="4" w:space="0" w:color="DDDDDF" w:themeColor="accent1" w:themeTint="99"/>
        <w:bottom w:val="single" w:sz="4" w:space="0" w:color="DDDDDF" w:themeColor="accent1" w:themeTint="99"/>
        <w:right w:val="single" w:sz="4" w:space="0" w:color="DDDDDF" w:themeColor="accent1" w:themeTint="99"/>
        <w:insideH w:val="single" w:sz="4" w:space="0" w:color="DDDDDF" w:themeColor="accent1" w:themeTint="99"/>
        <w:insideV w:val="single" w:sz="4" w:space="0" w:color="DDDDD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4" w:themeFill="accent1" w:themeFillTint="33"/>
      </w:tcPr>
    </w:tblStylePr>
    <w:tblStylePr w:type="band1Horz">
      <w:tblPr/>
      <w:tcPr>
        <w:shd w:val="clear" w:color="auto" w:fill="F3F3F4" w:themeFill="accent1" w:themeFillTint="33"/>
      </w:tcPr>
    </w:tblStylePr>
    <w:tblStylePr w:type="neCell">
      <w:tblPr/>
      <w:tcPr>
        <w:tcBorders>
          <w:bottom w:val="single" w:sz="4" w:space="0" w:color="DDDDDF" w:themeColor="accent1" w:themeTint="99"/>
        </w:tcBorders>
      </w:tcPr>
    </w:tblStylePr>
    <w:tblStylePr w:type="nwCell">
      <w:tblPr/>
      <w:tcPr>
        <w:tcBorders>
          <w:bottom w:val="single" w:sz="4" w:space="0" w:color="DDDDDF" w:themeColor="accent1" w:themeTint="99"/>
        </w:tcBorders>
      </w:tcPr>
    </w:tblStylePr>
    <w:tblStylePr w:type="seCell">
      <w:tblPr/>
      <w:tcPr>
        <w:tcBorders>
          <w:top w:val="single" w:sz="4" w:space="0" w:color="DDDDDF" w:themeColor="accent1" w:themeTint="99"/>
        </w:tcBorders>
      </w:tcPr>
    </w:tblStylePr>
    <w:tblStylePr w:type="swCell">
      <w:tblPr/>
      <w:tcPr>
        <w:tcBorders>
          <w:top w:val="single" w:sz="4" w:space="0" w:color="DDDDDF" w:themeColor="accent1" w:themeTint="99"/>
        </w:tcBorders>
      </w:tcPr>
    </w:tblStylePr>
  </w:style>
  <w:style w:type="table" w:styleId="GridTable3-Accent2">
    <w:name w:val="Grid Table 3 Accent 2"/>
    <w:basedOn w:val="TableNormal"/>
    <w:uiPriority w:val="48"/>
    <w:rsid w:val="00F527CC"/>
    <w:pPr>
      <w:spacing w:after="0" w:line="240" w:lineRule="auto"/>
    </w:pPr>
    <w:tblPr>
      <w:tblStyleRowBandSize w:val="1"/>
      <w:tblStyleColBandSize w:val="1"/>
      <w:tblBorders>
        <w:top w:val="single" w:sz="4" w:space="0" w:color="BEBFC1" w:themeColor="accent2" w:themeTint="99"/>
        <w:left w:val="single" w:sz="4" w:space="0" w:color="BEBFC1" w:themeColor="accent2" w:themeTint="99"/>
        <w:bottom w:val="single" w:sz="4" w:space="0" w:color="BEBFC1" w:themeColor="accent2" w:themeTint="99"/>
        <w:right w:val="single" w:sz="4" w:space="0" w:color="BEBFC1" w:themeColor="accent2" w:themeTint="99"/>
        <w:insideH w:val="single" w:sz="4" w:space="0" w:color="BEBFC1" w:themeColor="accent2" w:themeTint="99"/>
        <w:insideV w:val="single" w:sz="4" w:space="0" w:color="BEBFC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9EA" w:themeFill="accent2" w:themeFillTint="33"/>
      </w:tcPr>
    </w:tblStylePr>
    <w:tblStylePr w:type="band1Horz">
      <w:tblPr/>
      <w:tcPr>
        <w:shd w:val="clear" w:color="auto" w:fill="E9E9EA" w:themeFill="accent2" w:themeFillTint="33"/>
      </w:tcPr>
    </w:tblStylePr>
    <w:tblStylePr w:type="neCell">
      <w:tblPr/>
      <w:tcPr>
        <w:tcBorders>
          <w:bottom w:val="single" w:sz="4" w:space="0" w:color="BEBFC1" w:themeColor="accent2" w:themeTint="99"/>
        </w:tcBorders>
      </w:tcPr>
    </w:tblStylePr>
    <w:tblStylePr w:type="nwCell">
      <w:tblPr/>
      <w:tcPr>
        <w:tcBorders>
          <w:bottom w:val="single" w:sz="4" w:space="0" w:color="BEBFC1" w:themeColor="accent2" w:themeTint="99"/>
        </w:tcBorders>
      </w:tcPr>
    </w:tblStylePr>
    <w:tblStylePr w:type="seCell">
      <w:tblPr/>
      <w:tcPr>
        <w:tcBorders>
          <w:top w:val="single" w:sz="4" w:space="0" w:color="BEBFC1" w:themeColor="accent2" w:themeTint="99"/>
        </w:tcBorders>
      </w:tcPr>
    </w:tblStylePr>
    <w:tblStylePr w:type="swCell">
      <w:tblPr/>
      <w:tcPr>
        <w:tcBorders>
          <w:top w:val="single" w:sz="4" w:space="0" w:color="BEBFC1" w:themeColor="accent2" w:themeTint="99"/>
        </w:tcBorders>
      </w:tcPr>
    </w:tblStylePr>
  </w:style>
  <w:style w:type="table" w:styleId="GridTable3-Accent3">
    <w:name w:val="Grid Table 3 Accent 3"/>
    <w:basedOn w:val="TableNormal"/>
    <w:uiPriority w:val="48"/>
    <w:rsid w:val="00F527CC"/>
    <w:pPr>
      <w:spacing w:after="0" w:line="240" w:lineRule="auto"/>
    </w:pPr>
    <w:tblPr>
      <w:tblStyleRowBandSize w:val="1"/>
      <w:tblStyleColBandSize w:val="1"/>
      <w:tblBorders>
        <w:top w:val="single" w:sz="4" w:space="0" w:color="A0A1A3" w:themeColor="accent3" w:themeTint="99"/>
        <w:left w:val="single" w:sz="4" w:space="0" w:color="A0A1A3" w:themeColor="accent3" w:themeTint="99"/>
        <w:bottom w:val="single" w:sz="4" w:space="0" w:color="A0A1A3" w:themeColor="accent3" w:themeTint="99"/>
        <w:right w:val="single" w:sz="4" w:space="0" w:color="A0A1A3" w:themeColor="accent3" w:themeTint="99"/>
        <w:insideH w:val="single" w:sz="4" w:space="0" w:color="A0A1A3" w:themeColor="accent3" w:themeTint="99"/>
        <w:insideV w:val="single" w:sz="4" w:space="0" w:color="A0A1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0" w:themeFill="accent3" w:themeFillTint="33"/>
      </w:tcPr>
    </w:tblStylePr>
    <w:tblStylePr w:type="band1Horz">
      <w:tblPr/>
      <w:tcPr>
        <w:shd w:val="clear" w:color="auto" w:fill="DFDFE0" w:themeFill="accent3" w:themeFillTint="33"/>
      </w:tcPr>
    </w:tblStylePr>
    <w:tblStylePr w:type="neCell">
      <w:tblPr/>
      <w:tcPr>
        <w:tcBorders>
          <w:bottom w:val="single" w:sz="4" w:space="0" w:color="A0A1A3" w:themeColor="accent3" w:themeTint="99"/>
        </w:tcBorders>
      </w:tcPr>
    </w:tblStylePr>
    <w:tblStylePr w:type="nwCell">
      <w:tblPr/>
      <w:tcPr>
        <w:tcBorders>
          <w:bottom w:val="single" w:sz="4" w:space="0" w:color="A0A1A3" w:themeColor="accent3" w:themeTint="99"/>
        </w:tcBorders>
      </w:tcPr>
    </w:tblStylePr>
    <w:tblStylePr w:type="seCell">
      <w:tblPr/>
      <w:tcPr>
        <w:tcBorders>
          <w:top w:val="single" w:sz="4" w:space="0" w:color="A0A1A3" w:themeColor="accent3" w:themeTint="99"/>
        </w:tcBorders>
      </w:tcPr>
    </w:tblStylePr>
    <w:tblStylePr w:type="swCell">
      <w:tblPr/>
      <w:tcPr>
        <w:tcBorders>
          <w:top w:val="single" w:sz="4" w:space="0" w:color="A0A1A3" w:themeColor="accent3" w:themeTint="99"/>
        </w:tcBorders>
      </w:tcPr>
    </w:tblStylePr>
  </w:style>
  <w:style w:type="table" w:styleId="GridTable3-Accent4">
    <w:name w:val="Grid Table 3 Accent 4"/>
    <w:basedOn w:val="TableNormal"/>
    <w:uiPriority w:val="48"/>
    <w:rsid w:val="00F527CC"/>
    <w:pPr>
      <w:spacing w:after="0" w:line="240" w:lineRule="auto"/>
    </w:pPr>
    <w:tblPr>
      <w:tblStyleRowBandSize w:val="1"/>
      <w:tblStyleColBandSize w:val="1"/>
      <w:tblBorders>
        <w:top w:val="single" w:sz="4" w:space="0" w:color="E87179" w:themeColor="accent4" w:themeTint="99"/>
        <w:left w:val="single" w:sz="4" w:space="0" w:color="E87179" w:themeColor="accent4" w:themeTint="99"/>
        <w:bottom w:val="single" w:sz="4" w:space="0" w:color="E87179" w:themeColor="accent4" w:themeTint="99"/>
        <w:right w:val="single" w:sz="4" w:space="0" w:color="E87179" w:themeColor="accent4" w:themeTint="99"/>
        <w:insideH w:val="single" w:sz="4" w:space="0" w:color="E87179" w:themeColor="accent4" w:themeTint="99"/>
        <w:insideV w:val="single" w:sz="4" w:space="0" w:color="E8717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CFD2" w:themeFill="accent4" w:themeFillTint="33"/>
      </w:tcPr>
    </w:tblStylePr>
    <w:tblStylePr w:type="band1Horz">
      <w:tblPr/>
      <w:tcPr>
        <w:shd w:val="clear" w:color="auto" w:fill="F7CFD2" w:themeFill="accent4" w:themeFillTint="33"/>
      </w:tcPr>
    </w:tblStylePr>
    <w:tblStylePr w:type="neCell">
      <w:tblPr/>
      <w:tcPr>
        <w:tcBorders>
          <w:bottom w:val="single" w:sz="4" w:space="0" w:color="E87179" w:themeColor="accent4" w:themeTint="99"/>
        </w:tcBorders>
      </w:tcPr>
    </w:tblStylePr>
    <w:tblStylePr w:type="nwCell">
      <w:tblPr/>
      <w:tcPr>
        <w:tcBorders>
          <w:bottom w:val="single" w:sz="4" w:space="0" w:color="E87179" w:themeColor="accent4" w:themeTint="99"/>
        </w:tcBorders>
      </w:tcPr>
    </w:tblStylePr>
    <w:tblStylePr w:type="seCell">
      <w:tblPr/>
      <w:tcPr>
        <w:tcBorders>
          <w:top w:val="single" w:sz="4" w:space="0" w:color="E87179" w:themeColor="accent4" w:themeTint="99"/>
        </w:tcBorders>
      </w:tcPr>
    </w:tblStylePr>
    <w:tblStylePr w:type="swCell">
      <w:tblPr/>
      <w:tcPr>
        <w:tcBorders>
          <w:top w:val="single" w:sz="4" w:space="0" w:color="E87179" w:themeColor="accent4" w:themeTint="99"/>
        </w:tcBorders>
      </w:tcPr>
    </w:tblStylePr>
  </w:style>
  <w:style w:type="table" w:styleId="GridTable3-Accent5">
    <w:name w:val="Grid Table 3 Accent 5"/>
    <w:basedOn w:val="TableNormal"/>
    <w:uiPriority w:val="48"/>
    <w:rsid w:val="00F527CC"/>
    <w:pPr>
      <w:spacing w:after="0" w:line="240" w:lineRule="auto"/>
    </w:pPr>
    <w:tblPr>
      <w:tblStyleRowBandSize w:val="1"/>
      <w:tblStyleColBandSize w:val="1"/>
      <w:tblBorders>
        <w:top w:val="single" w:sz="4" w:space="0" w:color="3398FF" w:themeColor="accent5" w:themeTint="99"/>
        <w:left w:val="single" w:sz="4" w:space="0" w:color="3398FF" w:themeColor="accent5" w:themeTint="99"/>
        <w:bottom w:val="single" w:sz="4" w:space="0" w:color="3398FF" w:themeColor="accent5" w:themeTint="99"/>
        <w:right w:val="single" w:sz="4" w:space="0" w:color="3398FF" w:themeColor="accent5" w:themeTint="99"/>
        <w:insideH w:val="single" w:sz="4" w:space="0" w:color="3398FF" w:themeColor="accent5" w:themeTint="99"/>
        <w:insideV w:val="single" w:sz="4" w:space="0" w:color="339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DCFF" w:themeFill="accent5" w:themeFillTint="33"/>
      </w:tcPr>
    </w:tblStylePr>
    <w:tblStylePr w:type="band1Horz">
      <w:tblPr/>
      <w:tcPr>
        <w:shd w:val="clear" w:color="auto" w:fill="BBDCFF" w:themeFill="accent5" w:themeFillTint="33"/>
      </w:tcPr>
    </w:tblStylePr>
    <w:tblStylePr w:type="neCell">
      <w:tblPr/>
      <w:tcPr>
        <w:tcBorders>
          <w:bottom w:val="single" w:sz="4" w:space="0" w:color="3398FF" w:themeColor="accent5" w:themeTint="99"/>
        </w:tcBorders>
      </w:tcPr>
    </w:tblStylePr>
    <w:tblStylePr w:type="nwCell">
      <w:tblPr/>
      <w:tcPr>
        <w:tcBorders>
          <w:bottom w:val="single" w:sz="4" w:space="0" w:color="3398FF" w:themeColor="accent5" w:themeTint="99"/>
        </w:tcBorders>
      </w:tcPr>
    </w:tblStylePr>
    <w:tblStylePr w:type="seCell">
      <w:tblPr/>
      <w:tcPr>
        <w:tcBorders>
          <w:top w:val="single" w:sz="4" w:space="0" w:color="3398FF" w:themeColor="accent5" w:themeTint="99"/>
        </w:tcBorders>
      </w:tcPr>
    </w:tblStylePr>
    <w:tblStylePr w:type="swCell">
      <w:tblPr/>
      <w:tcPr>
        <w:tcBorders>
          <w:top w:val="single" w:sz="4" w:space="0" w:color="3398FF" w:themeColor="accent5" w:themeTint="99"/>
        </w:tcBorders>
      </w:tcPr>
    </w:tblStylePr>
  </w:style>
  <w:style w:type="table" w:styleId="GridTable3-Accent6">
    <w:name w:val="Grid Table 3 Accent 6"/>
    <w:basedOn w:val="TableNormal"/>
    <w:uiPriority w:val="48"/>
    <w:rsid w:val="00F527CC"/>
    <w:pPr>
      <w:spacing w:after="0" w:line="240" w:lineRule="auto"/>
    </w:pPr>
    <w:tblPr>
      <w:tblStyleRowBandSize w:val="1"/>
      <w:tblStyleColBandSize w:val="1"/>
      <w:tblBorders>
        <w:top w:val="single" w:sz="4" w:space="0" w:color="FFCB7A" w:themeColor="accent6" w:themeTint="99"/>
        <w:left w:val="single" w:sz="4" w:space="0" w:color="FFCB7A" w:themeColor="accent6" w:themeTint="99"/>
        <w:bottom w:val="single" w:sz="4" w:space="0" w:color="FFCB7A" w:themeColor="accent6" w:themeTint="99"/>
        <w:right w:val="single" w:sz="4" w:space="0" w:color="FFCB7A" w:themeColor="accent6" w:themeTint="99"/>
        <w:insideH w:val="single" w:sz="4" w:space="0" w:color="FFCB7A" w:themeColor="accent6" w:themeTint="99"/>
        <w:insideV w:val="single" w:sz="4" w:space="0" w:color="FFCB7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DD2" w:themeFill="accent6" w:themeFillTint="33"/>
      </w:tcPr>
    </w:tblStylePr>
    <w:tblStylePr w:type="band1Horz">
      <w:tblPr/>
      <w:tcPr>
        <w:shd w:val="clear" w:color="auto" w:fill="FFEDD2" w:themeFill="accent6" w:themeFillTint="33"/>
      </w:tcPr>
    </w:tblStylePr>
    <w:tblStylePr w:type="neCell">
      <w:tblPr/>
      <w:tcPr>
        <w:tcBorders>
          <w:bottom w:val="single" w:sz="4" w:space="0" w:color="FFCB7A" w:themeColor="accent6" w:themeTint="99"/>
        </w:tcBorders>
      </w:tcPr>
    </w:tblStylePr>
    <w:tblStylePr w:type="nwCell">
      <w:tblPr/>
      <w:tcPr>
        <w:tcBorders>
          <w:bottom w:val="single" w:sz="4" w:space="0" w:color="FFCB7A" w:themeColor="accent6" w:themeTint="99"/>
        </w:tcBorders>
      </w:tcPr>
    </w:tblStylePr>
    <w:tblStylePr w:type="seCell">
      <w:tblPr/>
      <w:tcPr>
        <w:tcBorders>
          <w:top w:val="single" w:sz="4" w:space="0" w:color="FFCB7A" w:themeColor="accent6" w:themeTint="99"/>
        </w:tcBorders>
      </w:tcPr>
    </w:tblStylePr>
    <w:tblStylePr w:type="swCell">
      <w:tblPr/>
      <w:tcPr>
        <w:tcBorders>
          <w:top w:val="single" w:sz="4" w:space="0" w:color="FFCB7A" w:themeColor="accent6" w:themeTint="99"/>
        </w:tcBorders>
      </w:tcPr>
    </w:tblStylePr>
  </w:style>
  <w:style w:type="table" w:styleId="GridTable4">
    <w:name w:val="Grid Table 4"/>
    <w:basedOn w:val="TableNormal"/>
    <w:uiPriority w:val="49"/>
    <w:rsid w:val="00F527CC"/>
    <w:pPr>
      <w:spacing w:after="0" w:line="240" w:lineRule="auto"/>
    </w:pPr>
    <w:tblPr>
      <w:tblStyleRowBandSize w:val="1"/>
      <w:tblStyleColBandSize w:val="1"/>
      <w:tblBorders>
        <w:top w:val="single" w:sz="4" w:space="0" w:color="8C8C8C" w:themeColor="text1" w:themeTint="99"/>
        <w:left w:val="single" w:sz="4" w:space="0" w:color="8C8C8C" w:themeColor="text1" w:themeTint="99"/>
        <w:bottom w:val="single" w:sz="4" w:space="0" w:color="8C8C8C" w:themeColor="text1" w:themeTint="99"/>
        <w:right w:val="single" w:sz="4" w:space="0" w:color="8C8C8C" w:themeColor="text1" w:themeTint="99"/>
        <w:insideH w:val="single" w:sz="4" w:space="0" w:color="8C8C8C" w:themeColor="text1" w:themeTint="99"/>
        <w:insideV w:val="single" w:sz="4" w:space="0" w:color="8C8C8C" w:themeColor="text1" w:themeTint="99"/>
      </w:tblBorders>
    </w:tblPr>
    <w:tblStylePr w:type="firstRow">
      <w:rPr>
        <w:b/>
        <w:bCs/>
        <w:color w:val="FFFFFF" w:themeColor="background1"/>
      </w:rPr>
      <w:tblPr/>
      <w:tcPr>
        <w:tcBorders>
          <w:top w:val="single" w:sz="4" w:space="0" w:color="404040" w:themeColor="text1"/>
          <w:left w:val="single" w:sz="4" w:space="0" w:color="404040" w:themeColor="text1"/>
          <w:bottom w:val="single" w:sz="4" w:space="0" w:color="404040" w:themeColor="text1"/>
          <w:right w:val="single" w:sz="4" w:space="0" w:color="404040" w:themeColor="text1"/>
          <w:insideH w:val="nil"/>
          <w:insideV w:val="nil"/>
        </w:tcBorders>
        <w:shd w:val="clear" w:color="auto" w:fill="404040" w:themeFill="text1"/>
      </w:tcPr>
    </w:tblStylePr>
    <w:tblStylePr w:type="lastRow">
      <w:rPr>
        <w:b/>
        <w:bCs/>
      </w:rPr>
      <w:tblPr/>
      <w:tcPr>
        <w:tcBorders>
          <w:top w:val="double" w:sz="4" w:space="0" w:color="404040"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GridTable4-Accent1">
    <w:name w:val="Grid Table 4 Accent 1"/>
    <w:basedOn w:val="TableNormal"/>
    <w:uiPriority w:val="49"/>
    <w:rsid w:val="00F527CC"/>
    <w:pPr>
      <w:spacing w:after="0" w:line="240" w:lineRule="auto"/>
    </w:pPr>
    <w:tblPr>
      <w:tblStyleRowBandSize w:val="1"/>
      <w:tblStyleColBandSize w:val="1"/>
      <w:tblBorders>
        <w:top w:val="single" w:sz="4" w:space="0" w:color="DDDDDF" w:themeColor="accent1" w:themeTint="99"/>
        <w:left w:val="single" w:sz="4" w:space="0" w:color="DDDDDF" w:themeColor="accent1" w:themeTint="99"/>
        <w:bottom w:val="single" w:sz="4" w:space="0" w:color="DDDDDF" w:themeColor="accent1" w:themeTint="99"/>
        <w:right w:val="single" w:sz="4" w:space="0" w:color="DDDDDF" w:themeColor="accent1" w:themeTint="99"/>
        <w:insideH w:val="single" w:sz="4" w:space="0" w:color="DDDDDF" w:themeColor="accent1" w:themeTint="99"/>
        <w:insideV w:val="single" w:sz="4" w:space="0" w:color="DDDDDF" w:themeColor="accent1" w:themeTint="99"/>
      </w:tblBorders>
    </w:tblPr>
    <w:tblStylePr w:type="firstRow">
      <w:rPr>
        <w:b/>
        <w:bCs/>
        <w:color w:val="FFFFFF" w:themeColor="background1"/>
      </w:rPr>
      <w:tblPr/>
      <w:tcPr>
        <w:tcBorders>
          <w:top w:val="single" w:sz="4" w:space="0" w:color="C7C8CA" w:themeColor="accent1"/>
          <w:left w:val="single" w:sz="4" w:space="0" w:color="C7C8CA" w:themeColor="accent1"/>
          <w:bottom w:val="single" w:sz="4" w:space="0" w:color="C7C8CA" w:themeColor="accent1"/>
          <w:right w:val="single" w:sz="4" w:space="0" w:color="C7C8CA" w:themeColor="accent1"/>
          <w:insideH w:val="nil"/>
          <w:insideV w:val="nil"/>
        </w:tcBorders>
        <w:shd w:val="clear" w:color="auto" w:fill="C7C8CA" w:themeFill="accent1"/>
      </w:tcPr>
    </w:tblStylePr>
    <w:tblStylePr w:type="lastRow">
      <w:rPr>
        <w:b/>
        <w:bCs/>
      </w:rPr>
      <w:tblPr/>
      <w:tcPr>
        <w:tcBorders>
          <w:top w:val="double" w:sz="4" w:space="0" w:color="C7C8CA" w:themeColor="accent1"/>
        </w:tcBorders>
      </w:tcPr>
    </w:tblStylePr>
    <w:tblStylePr w:type="firstCol">
      <w:rPr>
        <w:b/>
        <w:bCs/>
      </w:rPr>
    </w:tblStylePr>
    <w:tblStylePr w:type="lastCol">
      <w:rPr>
        <w:b/>
        <w:bCs/>
      </w:rPr>
    </w:tblStylePr>
    <w:tblStylePr w:type="band1Vert">
      <w:tblPr/>
      <w:tcPr>
        <w:shd w:val="clear" w:color="auto" w:fill="F3F3F4" w:themeFill="accent1" w:themeFillTint="33"/>
      </w:tcPr>
    </w:tblStylePr>
    <w:tblStylePr w:type="band1Horz">
      <w:tblPr/>
      <w:tcPr>
        <w:shd w:val="clear" w:color="auto" w:fill="F3F3F4" w:themeFill="accent1" w:themeFillTint="33"/>
      </w:tcPr>
    </w:tblStylePr>
  </w:style>
  <w:style w:type="table" w:styleId="GridTable4-Accent2">
    <w:name w:val="Grid Table 4 Accent 2"/>
    <w:basedOn w:val="TableNormal"/>
    <w:uiPriority w:val="49"/>
    <w:rsid w:val="00F527CC"/>
    <w:pPr>
      <w:spacing w:after="0" w:line="240" w:lineRule="auto"/>
    </w:pPr>
    <w:tblPr>
      <w:tblStyleRowBandSize w:val="1"/>
      <w:tblStyleColBandSize w:val="1"/>
      <w:tblBorders>
        <w:top w:val="single" w:sz="4" w:space="0" w:color="BEBFC1" w:themeColor="accent2" w:themeTint="99"/>
        <w:left w:val="single" w:sz="4" w:space="0" w:color="BEBFC1" w:themeColor="accent2" w:themeTint="99"/>
        <w:bottom w:val="single" w:sz="4" w:space="0" w:color="BEBFC1" w:themeColor="accent2" w:themeTint="99"/>
        <w:right w:val="single" w:sz="4" w:space="0" w:color="BEBFC1" w:themeColor="accent2" w:themeTint="99"/>
        <w:insideH w:val="single" w:sz="4" w:space="0" w:color="BEBFC1" w:themeColor="accent2" w:themeTint="99"/>
        <w:insideV w:val="single" w:sz="4" w:space="0" w:color="BEBFC1" w:themeColor="accent2" w:themeTint="99"/>
      </w:tblBorders>
    </w:tblPr>
    <w:tblStylePr w:type="firstRow">
      <w:rPr>
        <w:b/>
        <w:bCs/>
        <w:color w:val="FFFFFF" w:themeColor="background1"/>
      </w:rPr>
      <w:tblPr/>
      <w:tcPr>
        <w:tcBorders>
          <w:top w:val="single" w:sz="4" w:space="0" w:color="939598" w:themeColor="accent2"/>
          <w:left w:val="single" w:sz="4" w:space="0" w:color="939598" w:themeColor="accent2"/>
          <w:bottom w:val="single" w:sz="4" w:space="0" w:color="939598" w:themeColor="accent2"/>
          <w:right w:val="single" w:sz="4" w:space="0" w:color="939598" w:themeColor="accent2"/>
          <w:insideH w:val="nil"/>
          <w:insideV w:val="nil"/>
        </w:tcBorders>
        <w:shd w:val="clear" w:color="auto" w:fill="939598" w:themeFill="accent2"/>
      </w:tcPr>
    </w:tblStylePr>
    <w:tblStylePr w:type="lastRow">
      <w:rPr>
        <w:b/>
        <w:bCs/>
      </w:rPr>
      <w:tblPr/>
      <w:tcPr>
        <w:tcBorders>
          <w:top w:val="double" w:sz="4" w:space="0" w:color="939598" w:themeColor="accent2"/>
        </w:tcBorders>
      </w:tcPr>
    </w:tblStylePr>
    <w:tblStylePr w:type="firstCol">
      <w:rPr>
        <w:b/>
        <w:bCs/>
      </w:rPr>
    </w:tblStylePr>
    <w:tblStylePr w:type="lastCol">
      <w:rPr>
        <w:b/>
        <w:bCs/>
      </w:rPr>
    </w:tblStylePr>
    <w:tblStylePr w:type="band1Vert">
      <w:tblPr/>
      <w:tcPr>
        <w:shd w:val="clear" w:color="auto" w:fill="E9E9EA" w:themeFill="accent2" w:themeFillTint="33"/>
      </w:tcPr>
    </w:tblStylePr>
    <w:tblStylePr w:type="band1Horz">
      <w:tblPr/>
      <w:tcPr>
        <w:shd w:val="clear" w:color="auto" w:fill="E9E9EA" w:themeFill="accent2" w:themeFillTint="33"/>
      </w:tcPr>
    </w:tblStylePr>
  </w:style>
  <w:style w:type="table" w:styleId="GridTable4-Accent3">
    <w:name w:val="Grid Table 4 Accent 3"/>
    <w:basedOn w:val="TableNormal"/>
    <w:uiPriority w:val="49"/>
    <w:rsid w:val="00F527CC"/>
    <w:pPr>
      <w:spacing w:after="0" w:line="240" w:lineRule="auto"/>
    </w:pPr>
    <w:tblPr>
      <w:tblStyleRowBandSize w:val="1"/>
      <w:tblStyleColBandSize w:val="1"/>
      <w:tblBorders>
        <w:top w:val="single" w:sz="4" w:space="0" w:color="A0A1A3" w:themeColor="accent3" w:themeTint="99"/>
        <w:left w:val="single" w:sz="4" w:space="0" w:color="A0A1A3" w:themeColor="accent3" w:themeTint="99"/>
        <w:bottom w:val="single" w:sz="4" w:space="0" w:color="A0A1A3" w:themeColor="accent3" w:themeTint="99"/>
        <w:right w:val="single" w:sz="4" w:space="0" w:color="A0A1A3" w:themeColor="accent3" w:themeTint="99"/>
        <w:insideH w:val="single" w:sz="4" w:space="0" w:color="A0A1A3" w:themeColor="accent3" w:themeTint="99"/>
        <w:insideV w:val="single" w:sz="4" w:space="0" w:color="A0A1A3" w:themeColor="accent3" w:themeTint="99"/>
      </w:tblBorders>
    </w:tblPr>
    <w:tblStylePr w:type="firstRow">
      <w:rPr>
        <w:b/>
        <w:bCs/>
        <w:color w:val="FFFFFF" w:themeColor="background1"/>
      </w:rPr>
      <w:tblPr/>
      <w:tcPr>
        <w:tcBorders>
          <w:top w:val="single" w:sz="4" w:space="0" w:color="636466" w:themeColor="accent3"/>
          <w:left w:val="single" w:sz="4" w:space="0" w:color="636466" w:themeColor="accent3"/>
          <w:bottom w:val="single" w:sz="4" w:space="0" w:color="636466" w:themeColor="accent3"/>
          <w:right w:val="single" w:sz="4" w:space="0" w:color="636466" w:themeColor="accent3"/>
          <w:insideH w:val="nil"/>
          <w:insideV w:val="nil"/>
        </w:tcBorders>
        <w:shd w:val="clear" w:color="auto" w:fill="636466" w:themeFill="accent3"/>
      </w:tcPr>
    </w:tblStylePr>
    <w:tblStylePr w:type="lastRow">
      <w:rPr>
        <w:b/>
        <w:bCs/>
      </w:rPr>
      <w:tblPr/>
      <w:tcPr>
        <w:tcBorders>
          <w:top w:val="double" w:sz="4" w:space="0" w:color="636466" w:themeColor="accent3"/>
        </w:tcBorders>
      </w:tcPr>
    </w:tblStylePr>
    <w:tblStylePr w:type="firstCol">
      <w:rPr>
        <w:b/>
        <w:bCs/>
      </w:rPr>
    </w:tblStylePr>
    <w:tblStylePr w:type="lastCol">
      <w:rPr>
        <w:b/>
        <w:bCs/>
      </w:rPr>
    </w:tblStylePr>
    <w:tblStylePr w:type="band1Vert">
      <w:tblPr/>
      <w:tcPr>
        <w:shd w:val="clear" w:color="auto" w:fill="DFDFE0" w:themeFill="accent3" w:themeFillTint="33"/>
      </w:tcPr>
    </w:tblStylePr>
    <w:tblStylePr w:type="band1Horz">
      <w:tblPr/>
      <w:tcPr>
        <w:shd w:val="clear" w:color="auto" w:fill="DFDFE0" w:themeFill="accent3" w:themeFillTint="33"/>
      </w:tcPr>
    </w:tblStylePr>
  </w:style>
  <w:style w:type="table" w:styleId="GridTable4-Accent4">
    <w:name w:val="Grid Table 4 Accent 4"/>
    <w:basedOn w:val="TableNormal"/>
    <w:uiPriority w:val="49"/>
    <w:rsid w:val="00F527CC"/>
    <w:pPr>
      <w:spacing w:after="0" w:line="240" w:lineRule="auto"/>
    </w:pPr>
    <w:tblPr>
      <w:tblStyleRowBandSize w:val="1"/>
      <w:tblStyleColBandSize w:val="1"/>
      <w:tblBorders>
        <w:top w:val="single" w:sz="4" w:space="0" w:color="E87179" w:themeColor="accent4" w:themeTint="99"/>
        <w:left w:val="single" w:sz="4" w:space="0" w:color="E87179" w:themeColor="accent4" w:themeTint="99"/>
        <w:bottom w:val="single" w:sz="4" w:space="0" w:color="E87179" w:themeColor="accent4" w:themeTint="99"/>
        <w:right w:val="single" w:sz="4" w:space="0" w:color="E87179" w:themeColor="accent4" w:themeTint="99"/>
        <w:insideH w:val="single" w:sz="4" w:space="0" w:color="E87179" w:themeColor="accent4" w:themeTint="99"/>
        <w:insideV w:val="single" w:sz="4" w:space="0" w:color="E87179" w:themeColor="accent4" w:themeTint="99"/>
      </w:tblBorders>
    </w:tblPr>
    <w:tblStylePr w:type="firstRow">
      <w:rPr>
        <w:b/>
        <w:bCs/>
        <w:color w:val="FFFFFF" w:themeColor="background1"/>
      </w:rPr>
      <w:tblPr/>
      <w:tcPr>
        <w:tcBorders>
          <w:top w:val="single" w:sz="4" w:space="0" w:color="CD202C" w:themeColor="accent4"/>
          <w:left w:val="single" w:sz="4" w:space="0" w:color="CD202C" w:themeColor="accent4"/>
          <w:bottom w:val="single" w:sz="4" w:space="0" w:color="CD202C" w:themeColor="accent4"/>
          <w:right w:val="single" w:sz="4" w:space="0" w:color="CD202C" w:themeColor="accent4"/>
          <w:insideH w:val="nil"/>
          <w:insideV w:val="nil"/>
        </w:tcBorders>
        <w:shd w:val="clear" w:color="auto" w:fill="CD202C" w:themeFill="accent4"/>
      </w:tcPr>
    </w:tblStylePr>
    <w:tblStylePr w:type="lastRow">
      <w:rPr>
        <w:b/>
        <w:bCs/>
      </w:rPr>
      <w:tblPr/>
      <w:tcPr>
        <w:tcBorders>
          <w:top w:val="double" w:sz="4" w:space="0" w:color="CD202C" w:themeColor="accent4"/>
        </w:tcBorders>
      </w:tcPr>
    </w:tblStylePr>
    <w:tblStylePr w:type="firstCol">
      <w:rPr>
        <w:b/>
        <w:bCs/>
      </w:rPr>
    </w:tblStylePr>
    <w:tblStylePr w:type="lastCol">
      <w:rPr>
        <w:b/>
        <w:bCs/>
      </w:rPr>
    </w:tblStylePr>
    <w:tblStylePr w:type="band1Vert">
      <w:tblPr/>
      <w:tcPr>
        <w:shd w:val="clear" w:color="auto" w:fill="F7CFD2" w:themeFill="accent4" w:themeFillTint="33"/>
      </w:tcPr>
    </w:tblStylePr>
    <w:tblStylePr w:type="band1Horz">
      <w:tblPr/>
      <w:tcPr>
        <w:shd w:val="clear" w:color="auto" w:fill="F7CFD2" w:themeFill="accent4" w:themeFillTint="33"/>
      </w:tcPr>
    </w:tblStylePr>
  </w:style>
  <w:style w:type="table" w:styleId="GridTable4-Accent5">
    <w:name w:val="Grid Table 4 Accent 5"/>
    <w:basedOn w:val="TableNormal"/>
    <w:uiPriority w:val="49"/>
    <w:rsid w:val="00F527CC"/>
    <w:pPr>
      <w:spacing w:after="0" w:line="240" w:lineRule="auto"/>
    </w:pPr>
    <w:tblPr>
      <w:tblStyleRowBandSize w:val="1"/>
      <w:tblStyleColBandSize w:val="1"/>
      <w:tblBorders>
        <w:top w:val="single" w:sz="4" w:space="0" w:color="3398FF" w:themeColor="accent5" w:themeTint="99"/>
        <w:left w:val="single" w:sz="4" w:space="0" w:color="3398FF" w:themeColor="accent5" w:themeTint="99"/>
        <w:bottom w:val="single" w:sz="4" w:space="0" w:color="3398FF" w:themeColor="accent5" w:themeTint="99"/>
        <w:right w:val="single" w:sz="4" w:space="0" w:color="3398FF" w:themeColor="accent5" w:themeTint="99"/>
        <w:insideH w:val="single" w:sz="4" w:space="0" w:color="3398FF" w:themeColor="accent5" w:themeTint="99"/>
        <w:insideV w:val="single" w:sz="4" w:space="0" w:color="3398FF" w:themeColor="accent5" w:themeTint="99"/>
      </w:tblBorders>
    </w:tblPr>
    <w:tblStylePr w:type="firstRow">
      <w:rPr>
        <w:b/>
        <w:bCs/>
        <w:color w:val="FFFFFF" w:themeColor="background1"/>
      </w:rPr>
      <w:tblPr/>
      <w:tcPr>
        <w:tcBorders>
          <w:top w:val="single" w:sz="4" w:space="0" w:color="0055AA" w:themeColor="accent5"/>
          <w:left w:val="single" w:sz="4" w:space="0" w:color="0055AA" w:themeColor="accent5"/>
          <w:bottom w:val="single" w:sz="4" w:space="0" w:color="0055AA" w:themeColor="accent5"/>
          <w:right w:val="single" w:sz="4" w:space="0" w:color="0055AA" w:themeColor="accent5"/>
          <w:insideH w:val="nil"/>
          <w:insideV w:val="nil"/>
        </w:tcBorders>
        <w:shd w:val="clear" w:color="auto" w:fill="0055AA" w:themeFill="accent5"/>
      </w:tcPr>
    </w:tblStylePr>
    <w:tblStylePr w:type="lastRow">
      <w:rPr>
        <w:b/>
        <w:bCs/>
      </w:rPr>
      <w:tblPr/>
      <w:tcPr>
        <w:tcBorders>
          <w:top w:val="double" w:sz="4" w:space="0" w:color="0055AA" w:themeColor="accent5"/>
        </w:tcBorders>
      </w:tcPr>
    </w:tblStylePr>
    <w:tblStylePr w:type="firstCol">
      <w:rPr>
        <w:b/>
        <w:bCs/>
      </w:rPr>
    </w:tblStylePr>
    <w:tblStylePr w:type="lastCol">
      <w:rPr>
        <w:b/>
        <w:bCs/>
      </w:rPr>
    </w:tblStylePr>
    <w:tblStylePr w:type="band1Vert">
      <w:tblPr/>
      <w:tcPr>
        <w:shd w:val="clear" w:color="auto" w:fill="BBDCFF" w:themeFill="accent5" w:themeFillTint="33"/>
      </w:tcPr>
    </w:tblStylePr>
    <w:tblStylePr w:type="band1Horz">
      <w:tblPr/>
      <w:tcPr>
        <w:shd w:val="clear" w:color="auto" w:fill="BBDCFF" w:themeFill="accent5" w:themeFillTint="33"/>
      </w:tcPr>
    </w:tblStylePr>
  </w:style>
  <w:style w:type="table" w:styleId="GridTable4-Accent6">
    <w:name w:val="Grid Table 4 Accent 6"/>
    <w:basedOn w:val="TableNormal"/>
    <w:uiPriority w:val="49"/>
    <w:rsid w:val="00F527CC"/>
    <w:pPr>
      <w:spacing w:after="0" w:line="240" w:lineRule="auto"/>
    </w:pPr>
    <w:tblPr>
      <w:tblStyleRowBandSize w:val="1"/>
      <w:tblStyleColBandSize w:val="1"/>
      <w:tblBorders>
        <w:top w:val="single" w:sz="4" w:space="0" w:color="FFCB7A" w:themeColor="accent6" w:themeTint="99"/>
        <w:left w:val="single" w:sz="4" w:space="0" w:color="FFCB7A" w:themeColor="accent6" w:themeTint="99"/>
        <w:bottom w:val="single" w:sz="4" w:space="0" w:color="FFCB7A" w:themeColor="accent6" w:themeTint="99"/>
        <w:right w:val="single" w:sz="4" w:space="0" w:color="FFCB7A" w:themeColor="accent6" w:themeTint="99"/>
        <w:insideH w:val="single" w:sz="4" w:space="0" w:color="FFCB7A" w:themeColor="accent6" w:themeTint="99"/>
        <w:insideV w:val="single" w:sz="4" w:space="0" w:color="FFCB7A" w:themeColor="accent6" w:themeTint="99"/>
      </w:tblBorders>
    </w:tblPr>
    <w:tblStylePr w:type="firstRow">
      <w:rPr>
        <w:b/>
        <w:bCs/>
        <w:color w:val="FFFFFF" w:themeColor="background1"/>
      </w:rPr>
      <w:tblPr/>
      <w:tcPr>
        <w:tcBorders>
          <w:top w:val="single" w:sz="4" w:space="0" w:color="FFAA22" w:themeColor="accent6"/>
          <w:left w:val="single" w:sz="4" w:space="0" w:color="FFAA22" w:themeColor="accent6"/>
          <w:bottom w:val="single" w:sz="4" w:space="0" w:color="FFAA22" w:themeColor="accent6"/>
          <w:right w:val="single" w:sz="4" w:space="0" w:color="FFAA22" w:themeColor="accent6"/>
          <w:insideH w:val="nil"/>
          <w:insideV w:val="nil"/>
        </w:tcBorders>
        <w:shd w:val="clear" w:color="auto" w:fill="FFAA22" w:themeFill="accent6"/>
      </w:tcPr>
    </w:tblStylePr>
    <w:tblStylePr w:type="lastRow">
      <w:rPr>
        <w:b/>
        <w:bCs/>
      </w:rPr>
      <w:tblPr/>
      <w:tcPr>
        <w:tcBorders>
          <w:top w:val="double" w:sz="4" w:space="0" w:color="FFAA22" w:themeColor="accent6"/>
        </w:tcBorders>
      </w:tcPr>
    </w:tblStylePr>
    <w:tblStylePr w:type="firstCol">
      <w:rPr>
        <w:b/>
        <w:bCs/>
      </w:rPr>
    </w:tblStylePr>
    <w:tblStylePr w:type="lastCol">
      <w:rPr>
        <w:b/>
        <w:bCs/>
      </w:rPr>
    </w:tblStylePr>
    <w:tblStylePr w:type="band1Vert">
      <w:tblPr/>
      <w:tcPr>
        <w:shd w:val="clear" w:color="auto" w:fill="FFEDD2" w:themeFill="accent6" w:themeFillTint="33"/>
      </w:tcPr>
    </w:tblStylePr>
    <w:tblStylePr w:type="band1Horz">
      <w:tblPr/>
      <w:tcPr>
        <w:shd w:val="clear" w:color="auto" w:fill="FFEDD2" w:themeFill="accent6" w:themeFillTint="33"/>
      </w:tcPr>
    </w:tblStylePr>
  </w:style>
  <w:style w:type="table" w:styleId="GridTable5Dark">
    <w:name w:val="Grid Table 5 Dark"/>
    <w:basedOn w:val="TableNormal"/>
    <w:uiPriority w:val="50"/>
    <w:rsid w:val="00F52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0404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0404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0404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04040" w:themeFill="text1"/>
      </w:tcPr>
    </w:tblStylePr>
    <w:tblStylePr w:type="band1Vert">
      <w:tblPr/>
      <w:tcPr>
        <w:shd w:val="clear" w:color="auto" w:fill="B2B2B2" w:themeFill="text1" w:themeFillTint="66"/>
      </w:tcPr>
    </w:tblStylePr>
    <w:tblStylePr w:type="band1Horz">
      <w:tblPr/>
      <w:tcPr>
        <w:shd w:val="clear" w:color="auto" w:fill="B2B2B2" w:themeFill="text1" w:themeFillTint="66"/>
      </w:tcPr>
    </w:tblStylePr>
  </w:style>
  <w:style w:type="table" w:styleId="GridTable5Dark-Accent1">
    <w:name w:val="Grid Table 5 Dark Accent 1"/>
    <w:basedOn w:val="TableNormal"/>
    <w:uiPriority w:val="50"/>
    <w:rsid w:val="00F52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7C8C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7C8C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7C8C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7C8CA" w:themeFill="accent1"/>
      </w:tcPr>
    </w:tblStylePr>
    <w:tblStylePr w:type="band1Vert">
      <w:tblPr/>
      <w:tcPr>
        <w:shd w:val="clear" w:color="auto" w:fill="E8E8E9" w:themeFill="accent1" w:themeFillTint="66"/>
      </w:tcPr>
    </w:tblStylePr>
    <w:tblStylePr w:type="band1Horz">
      <w:tblPr/>
      <w:tcPr>
        <w:shd w:val="clear" w:color="auto" w:fill="E8E8E9" w:themeFill="accent1" w:themeFillTint="66"/>
      </w:tcPr>
    </w:tblStylePr>
  </w:style>
  <w:style w:type="table" w:styleId="GridTable5Dark-Accent2">
    <w:name w:val="Grid Table 5 Dark Accent 2"/>
    <w:basedOn w:val="TableNormal"/>
    <w:uiPriority w:val="50"/>
    <w:rsid w:val="00F52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9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959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959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959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9598" w:themeFill="accent2"/>
      </w:tcPr>
    </w:tblStylePr>
    <w:tblStylePr w:type="band1Vert">
      <w:tblPr/>
      <w:tcPr>
        <w:shd w:val="clear" w:color="auto" w:fill="D3D4D5" w:themeFill="accent2" w:themeFillTint="66"/>
      </w:tcPr>
    </w:tblStylePr>
    <w:tblStylePr w:type="band1Horz">
      <w:tblPr/>
      <w:tcPr>
        <w:shd w:val="clear" w:color="auto" w:fill="D3D4D5" w:themeFill="accent2" w:themeFillTint="66"/>
      </w:tcPr>
    </w:tblStylePr>
  </w:style>
  <w:style w:type="table" w:styleId="GridTable5Dark-Accent3">
    <w:name w:val="Grid Table 5 Dark Accent 3"/>
    <w:basedOn w:val="TableNormal"/>
    <w:uiPriority w:val="50"/>
    <w:rsid w:val="00F52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E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646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646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646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6466" w:themeFill="accent3"/>
      </w:tcPr>
    </w:tblStylePr>
    <w:tblStylePr w:type="band1Vert">
      <w:tblPr/>
      <w:tcPr>
        <w:shd w:val="clear" w:color="auto" w:fill="C0C0C2" w:themeFill="accent3" w:themeFillTint="66"/>
      </w:tcPr>
    </w:tblStylePr>
    <w:tblStylePr w:type="band1Horz">
      <w:tblPr/>
      <w:tcPr>
        <w:shd w:val="clear" w:color="auto" w:fill="C0C0C2" w:themeFill="accent3" w:themeFillTint="66"/>
      </w:tcPr>
    </w:tblStylePr>
  </w:style>
  <w:style w:type="table" w:styleId="GridTable5Dark-Accent4">
    <w:name w:val="Grid Table 5 Dark Accent 4"/>
    <w:basedOn w:val="TableNormal"/>
    <w:uiPriority w:val="50"/>
    <w:rsid w:val="00F52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F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20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20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20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202C" w:themeFill="accent4"/>
      </w:tcPr>
    </w:tblStylePr>
    <w:tblStylePr w:type="band1Vert">
      <w:tblPr/>
      <w:tcPr>
        <w:shd w:val="clear" w:color="auto" w:fill="F0A0A5" w:themeFill="accent4" w:themeFillTint="66"/>
      </w:tcPr>
    </w:tblStylePr>
    <w:tblStylePr w:type="band1Horz">
      <w:tblPr/>
      <w:tcPr>
        <w:shd w:val="clear" w:color="auto" w:fill="F0A0A5" w:themeFill="accent4" w:themeFillTint="66"/>
      </w:tcPr>
    </w:tblStylePr>
  </w:style>
  <w:style w:type="table" w:styleId="GridTable5Dark-Accent5">
    <w:name w:val="Grid Table 5 Dark Accent 5"/>
    <w:basedOn w:val="TableNormal"/>
    <w:uiPriority w:val="50"/>
    <w:rsid w:val="00F52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DC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A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A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A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AA" w:themeFill="accent5"/>
      </w:tcPr>
    </w:tblStylePr>
    <w:tblStylePr w:type="band1Vert">
      <w:tblPr/>
      <w:tcPr>
        <w:shd w:val="clear" w:color="auto" w:fill="77BAFF" w:themeFill="accent5" w:themeFillTint="66"/>
      </w:tcPr>
    </w:tblStylePr>
    <w:tblStylePr w:type="band1Horz">
      <w:tblPr/>
      <w:tcPr>
        <w:shd w:val="clear" w:color="auto" w:fill="77BAFF" w:themeFill="accent5" w:themeFillTint="66"/>
      </w:tcPr>
    </w:tblStylePr>
  </w:style>
  <w:style w:type="table" w:styleId="GridTable5Dark-Accent6">
    <w:name w:val="Grid Table 5 Dark Accent 6"/>
    <w:basedOn w:val="TableNormal"/>
    <w:uiPriority w:val="50"/>
    <w:rsid w:val="00F52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D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AA2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AA2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AA2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AA22" w:themeFill="accent6"/>
      </w:tcPr>
    </w:tblStylePr>
    <w:tblStylePr w:type="band1Vert">
      <w:tblPr/>
      <w:tcPr>
        <w:shd w:val="clear" w:color="auto" w:fill="FFDCA6" w:themeFill="accent6" w:themeFillTint="66"/>
      </w:tcPr>
    </w:tblStylePr>
    <w:tblStylePr w:type="band1Horz">
      <w:tblPr/>
      <w:tcPr>
        <w:shd w:val="clear" w:color="auto" w:fill="FFDCA6" w:themeFill="accent6" w:themeFillTint="66"/>
      </w:tcPr>
    </w:tblStylePr>
  </w:style>
  <w:style w:type="table" w:styleId="GridTable6Colorful">
    <w:name w:val="Grid Table 6 Colorful"/>
    <w:basedOn w:val="TableNormal"/>
    <w:uiPriority w:val="51"/>
    <w:rsid w:val="00F527CC"/>
    <w:pPr>
      <w:spacing w:after="0" w:line="240" w:lineRule="auto"/>
    </w:pPr>
    <w:rPr>
      <w:color w:val="404040" w:themeColor="text1"/>
    </w:rPr>
    <w:tblPr>
      <w:tblStyleRowBandSize w:val="1"/>
      <w:tblStyleColBandSize w:val="1"/>
      <w:tblBorders>
        <w:top w:val="single" w:sz="4" w:space="0" w:color="8C8C8C" w:themeColor="text1" w:themeTint="99"/>
        <w:left w:val="single" w:sz="4" w:space="0" w:color="8C8C8C" w:themeColor="text1" w:themeTint="99"/>
        <w:bottom w:val="single" w:sz="4" w:space="0" w:color="8C8C8C" w:themeColor="text1" w:themeTint="99"/>
        <w:right w:val="single" w:sz="4" w:space="0" w:color="8C8C8C" w:themeColor="text1" w:themeTint="99"/>
        <w:insideH w:val="single" w:sz="4" w:space="0" w:color="8C8C8C" w:themeColor="text1" w:themeTint="99"/>
        <w:insideV w:val="single" w:sz="4" w:space="0" w:color="8C8C8C" w:themeColor="text1" w:themeTint="99"/>
      </w:tblBorders>
    </w:tblPr>
    <w:tblStylePr w:type="firstRow">
      <w:rPr>
        <w:b/>
        <w:bCs/>
      </w:rPr>
      <w:tblPr/>
      <w:tcPr>
        <w:tcBorders>
          <w:bottom w:val="single" w:sz="12" w:space="0" w:color="8C8C8C" w:themeColor="text1" w:themeTint="99"/>
        </w:tcBorders>
      </w:tcPr>
    </w:tblStylePr>
    <w:tblStylePr w:type="lastRow">
      <w:rPr>
        <w:b/>
        <w:bCs/>
      </w:rPr>
      <w:tblPr/>
      <w:tcPr>
        <w:tcBorders>
          <w:top w:val="double" w:sz="4" w:space="0" w:color="8C8C8C"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GridTable6Colorful-Accent1">
    <w:name w:val="Grid Table 6 Colorful Accent 1"/>
    <w:basedOn w:val="TableNormal"/>
    <w:uiPriority w:val="51"/>
    <w:rsid w:val="00F527CC"/>
    <w:pPr>
      <w:spacing w:after="0" w:line="240" w:lineRule="auto"/>
    </w:pPr>
    <w:rPr>
      <w:color w:val="939599" w:themeColor="accent1" w:themeShade="BF"/>
    </w:rPr>
    <w:tblPr>
      <w:tblStyleRowBandSize w:val="1"/>
      <w:tblStyleColBandSize w:val="1"/>
      <w:tblBorders>
        <w:top w:val="single" w:sz="4" w:space="0" w:color="DDDDDF" w:themeColor="accent1" w:themeTint="99"/>
        <w:left w:val="single" w:sz="4" w:space="0" w:color="DDDDDF" w:themeColor="accent1" w:themeTint="99"/>
        <w:bottom w:val="single" w:sz="4" w:space="0" w:color="DDDDDF" w:themeColor="accent1" w:themeTint="99"/>
        <w:right w:val="single" w:sz="4" w:space="0" w:color="DDDDDF" w:themeColor="accent1" w:themeTint="99"/>
        <w:insideH w:val="single" w:sz="4" w:space="0" w:color="DDDDDF" w:themeColor="accent1" w:themeTint="99"/>
        <w:insideV w:val="single" w:sz="4" w:space="0" w:color="DDDDDF" w:themeColor="accent1" w:themeTint="99"/>
      </w:tblBorders>
    </w:tblPr>
    <w:tblStylePr w:type="firstRow">
      <w:rPr>
        <w:b/>
        <w:bCs/>
      </w:rPr>
      <w:tblPr/>
      <w:tcPr>
        <w:tcBorders>
          <w:bottom w:val="single" w:sz="12" w:space="0" w:color="DDDDDF" w:themeColor="accent1" w:themeTint="99"/>
        </w:tcBorders>
      </w:tcPr>
    </w:tblStylePr>
    <w:tblStylePr w:type="lastRow">
      <w:rPr>
        <w:b/>
        <w:bCs/>
      </w:rPr>
      <w:tblPr/>
      <w:tcPr>
        <w:tcBorders>
          <w:top w:val="double" w:sz="4" w:space="0" w:color="DDDDDF" w:themeColor="accent1" w:themeTint="99"/>
        </w:tcBorders>
      </w:tcPr>
    </w:tblStylePr>
    <w:tblStylePr w:type="firstCol">
      <w:rPr>
        <w:b/>
        <w:bCs/>
      </w:rPr>
    </w:tblStylePr>
    <w:tblStylePr w:type="lastCol">
      <w:rPr>
        <w:b/>
        <w:bCs/>
      </w:rPr>
    </w:tblStylePr>
    <w:tblStylePr w:type="band1Vert">
      <w:tblPr/>
      <w:tcPr>
        <w:shd w:val="clear" w:color="auto" w:fill="F3F3F4" w:themeFill="accent1" w:themeFillTint="33"/>
      </w:tcPr>
    </w:tblStylePr>
    <w:tblStylePr w:type="band1Horz">
      <w:tblPr/>
      <w:tcPr>
        <w:shd w:val="clear" w:color="auto" w:fill="F3F3F4" w:themeFill="accent1" w:themeFillTint="33"/>
      </w:tcPr>
    </w:tblStylePr>
  </w:style>
  <w:style w:type="table" w:styleId="GridTable6Colorful-Accent2">
    <w:name w:val="Grid Table 6 Colorful Accent 2"/>
    <w:basedOn w:val="TableNormal"/>
    <w:uiPriority w:val="51"/>
    <w:rsid w:val="00F527CC"/>
    <w:pPr>
      <w:spacing w:after="0" w:line="240" w:lineRule="auto"/>
    </w:pPr>
    <w:rPr>
      <w:color w:val="6D6F72" w:themeColor="accent2" w:themeShade="BF"/>
    </w:rPr>
    <w:tblPr>
      <w:tblStyleRowBandSize w:val="1"/>
      <w:tblStyleColBandSize w:val="1"/>
      <w:tblBorders>
        <w:top w:val="single" w:sz="4" w:space="0" w:color="BEBFC1" w:themeColor="accent2" w:themeTint="99"/>
        <w:left w:val="single" w:sz="4" w:space="0" w:color="BEBFC1" w:themeColor="accent2" w:themeTint="99"/>
        <w:bottom w:val="single" w:sz="4" w:space="0" w:color="BEBFC1" w:themeColor="accent2" w:themeTint="99"/>
        <w:right w:val="single" w:sz="4" w:space="0" w:color="BEBFC1" w:themeColor="accent2" w:themeTint="99"/>
        <w:insideH w:val="single" w:sz="4" w:space="0" w:color="BEBFC1" w:themeColor="accent2" w:themeTint="99"/>
        <w:insideV w:val="single" w:sz="4" w:space="0" w:color="BEBFC1" w:themeColor="accent2" w:themeTint="99"/>
      </w:tblBorders>
    </w:tblPr>
    <w:tblStylePr w:type="firstRow">
      <w:rPr>
        <w:b/>
        <w:bCs/>
      </w:rPr>
      <w:tblPr/>
      <w:tcPr>
        <w:tcBorders>
          <w:bottom w:val="single" w:sz="12" w:space="0" w:color="BEBFC1" w:themeColor="accent2" w:themeTint="99"/>
        </w:tcBorders>
      </w:tcPr>
    </w:tblStylePr>
    <w:tblStylePr w:type="lastRow">
      <w:rPr>
        <w:b/>
        <w:bCs/>
      </w:rPr>
      <w:tblPr/>
      <w:tcPr>
        <w:tcBorders>
          <w:top w:val="double" w:sz="4" w:space="0" w:color="BEBFC1" w:themeColor="accent2" w:themeTint="99"/>
        </w:tcBorders>
      </w:tcPr>
    </w:tblStylePr>
    <w:tblStylePr w:type="firstCol">
      <w:rPr>
        <w:b/>
        <w:bCs/>
      </w:rPr>
    </w:tblStylePr>
    <w:tblStylePr w:type="lastCol">
      <w:rPr>
        <w:b/>
        <w:bCs/>
      </w:rPr>
    </w:tblStylePr>
    <w:tblStylePr w:type="band1Vert">
      <w:tblPr/>
      <w:tcPr>
        <w:shd w:val="clear" w:color="auto" w:fill="E9E9EA" w:themeFill="accent2" w:themeFillTint="33"/>
      </w:tcPr>
    </w:tblStylePr>
    <w:tblStylePr w:type="band1Horz">
      <w:tblPr/>
      <w:tcPr>
        <w:shd w:val="clear" w:color="auto" w:fill="E9E9EA" w:themeFill="accent2" w:themeFillTint="33"/>
      </w:tcPr>
    </w:tblStylePr>
  </w:style>
  <w:style w:type="table" w:styleId="GridTable6Colorful-Accent3">
    <w:name w:val="Grid Table 6 Colorful Accent 3"/>
    <w:basedOn w:val="TableNormal"/>
    <w:uiPriority w:val="51"/>
    <w:rsid w:val="00F527CC"/>
    <w:pPr>
      <w:spacing w:after="0" w:line="240" w:lineRule="auto"/>
    </w:pPr>
    <w:rPr>
      <w:color w:val="4A4A4C" w:themeColor="accent3" w:themeShade="BF"/>
    </w:rPr>
    <w:tblPr>
      <w:tblStyleRowBandSize w:val="1"/>
      <w:tblStyleColBandSize w:val="1"/>
      <w:tblBorders>
        <w:top w:val="single" w:sz="4" w:space="0" w:color="A0A1A3" w:themeColor="accent3" w:themeTint="99"/>
        <w:left w:val="single" w:sz="4" w:space="0" w:color="A0A1A3" w:themeColor="accent3" w:themeTint="99"/>
        <w:bottom w:val="single" w:sz="4" w:space="0" w:color="A0A1A3" w:themeColor="accent3" w:themeTint="99"/>
        <w:right w:val="single" w:sz="4" w:space="0" w:color="A0A1A3" w:themeColor="accent3" w:themeTint="99"/>
        <w:insideH w:val="single" w:sz="4" w:space="0" w:color="A0A1A3" w:themeColor="accent3" w:themeTint="99"/>
        <w:insideV w:val="single" w:sz="4" w:space="0" w:color="A0A1A3" w:themeColor="accent3" w:themeTint="99"/>
      </w:tblBorders>
    </w:tblPr>
    <w:tblStylePr w:type="firstRow">
      <w:rPr>
        <w:b/>
        <w:bCs/>
      </w:rPr>
      <w:tblPr/>
      <w:tcPr>
        <w:tcBorders>
          <w:bottom w:val="single" w:sz="12" w:space="0" w:color="A0A1A3" w:themeColor="accent3" w:themeTint="99"/>
        </w:tcBorders>
      </w:tcPr>
    </w:tblStylePr>
    <w:tblStylePr w:type="lastRow">
      <w:rPr>
        <w:b/>
        <w:bCs/>
      </w:rPr>
      <w:tblPr/>
      <w:tcPr>
        <w:tcBorders>
          <w:top w:val="double" w:sz="4" w:space="0" w:color="A0A1A3" w:themeColor="accent3" w:themeTint="99"/>
        </w:tcBorders>
      </w:tcPr>
    </w:tblStylePr>
    <w:tblStylePr w:type="firstCol">
      <w:rPr>
        <w:b/>
        <w:bCs/>
      </w:rPr>
    </w:tblStylePr>
    <w:tblStylePr w:type="lastCol">
      <w:rPr>
        <w:b/>
        <w:bCs/>
      </w:rPr>
    </w:tblStylePr>
    <w:tblStylePr w:type="band1Vert">
      <w:tblPr/>
      <w:tcPr>
        <w:shd w:val="clear" w:color="auto" w:fill="DFDFE0" w:themeFill="accent3" w:themeFillTint="33"/>
      </w:tcPr>
    </w:tblStylePr>
    <w:tblStylePr w:type="band1Horz">
      <w:tblPr/>
      <w:tcPr>
        <w:shd w:val="clear" w:color="auto" w:fill="DFDFE0" w:themeFill="accent3" w:themeFillTint="33"/>
      </w:tcPr>
    </w:tblStylePr>
  </w:style>
  <w:style w:type="table" w:styleId="GridTable6Colorful-Accent4">
    <w:name w:val="Grid Table 6 Colorful Accent 4"/>
    <w:basedOn w:val="TableNormal"/>
    <w:uiPriority w:val="51"/>
    <w:rsid w:val="00F527CC"/>
    <w:pPr>
      <w:spacing w:after="0" w:line="240" w:lineRule="auto"/>
    </w:pPr>
    <w:rPr>
      <w:color w:val="991820" w:themeColor="accent4" w:themeShade="BF"/>
    </w:rPr>
    <w:tblPr>
      <w:tblStyleRowBandSize w:val="1"/>
      <w:tblStyleColBandSize w:val="1"/>
      <w:tblBorders>
        <w:top w:val="single" w:sz="4" w:space="0" w:color="E87179" w:themeColor="accent4" w:themeTint="99"/>
        <w:left w:val="single" w:sz="4" w:space="0" w:color="E87179" w:themeColor="accent4" w:themeTint="99"/>
        <w:bottom w:val="single" w:sz="4" w:space="0" w:color="E87179" w:themeColor="accent4" w:themeTint="99"/>
        <w:right w:val="single" w:sz="4" w:space="0" w:color="E87179" w:themeColor="accent4" w:themeTint="99"/>
        <w:insideH w:val="single" w:sz="4" w:space="0" w:color="E87179" w:themeColor="accent4" w:themeTint="99"/>
        <w:insideV w:val="single" w:sz="4" w:space="0" w:color="E87179" w:themeColor="accent4" w:themeTint="99"/>
      </w:tblBorders>
    </w:tblPr>
    <w:tblStylePr w:type="firstRow">
      <w:rPr>
        <w:b/>
        <w:bCs/>
      </w:rPr>
      <w:tblPr/>
      <w:tcPr>
        <w:tcBorders>
          <w:bottom w:val="single" w:sz="12" w:space="0" w:color="E87179" w:themeColor="accent4" w:themeTint="99"/>
        </w:tcBorders>
      </w:tcPr>
    </w:tblStylePr>
    <w:tblStylePr w:type="lastRow">
      <w:rPr>
        <w:b/>
        <w:bCs/>
      </w:rPr>
      <w:tblPr/>
      <w:tcPr>
        <w:tcBorders>
          <w:top w:val="double" w:sz="4" w:space="0" w:color="E87179" w:themeColor="accent4" w:themeTint="99"/>
        </w:tcBorders>
      </w:tcPr>
    </w:tblStylePr>
    <w:tblStylePr w:type="firstCol">
      <w:rPr>
        <w:b/>
        <w:bCs/>
      </w:rPr>
    </w:tblStylePr>
    <w:tblStylePr w:type="lastCol">
      <w:rPr>
        <w:b/>
        <w:bCs/>
      </w:rPr>
    </w:tblStylePr>
    <w:tblStylePr w:type="band1Vert">
      <w:tblPr/>
      <w:tcPr>
        <w:shd w:val="clear" w:color="auto" w:fill="F7CFD2" w:themeFill="accent4" w:themeFillTint="33"/>
      </w:tcPr>
    </w:tblStylePr>
    <w:tblStylePr w:type="band1Horz">
      <w:tblPr/>
      <w:tcPr>
        <w:shd w:val="clear" w:color="auto" w:fill="F7CFD2" w:themeFill="accent4" w:themeFillTint="33"/>
      </w:tcPr>
    </w:tblStylePr>
  </w:style>
  <w:style w:type="table" w:styleId="GridTable6Colorful-Accent5">
    <w:name w:val="Grid Table 6 Colorful Accent 5"/>
    <w:basedOn w:val="TableNormal"/>
    <w:uiPriority w:val="51"/>
    <w:rsid w:val="00F527CC"/>
    <w:pPr>
      <w:spacing w:after="0" w:line="240" w:lineRule="auto"/>
    </w:pPr>
    <w:rPr>
      <w:color w:val="003F7F" w:themeColor="accent5" w:themeShade="BF"/>
    </w:rPr>
    <w:tblPr>
      <w:tblStyleRowBandSize w:val="1"/>
      <w:tblStyleColBandSize w:val="1"/>
      <w:tblBorders>
        <w:top w:val="single" w:sz="4" w:space="0" w:color="3398FF" w:themeColor="accent5" w:themeTint="99"/>
        <w:left w:val="single" w:sz="4" w:space="0" w:color="3398FF" w:themeColor="accent5" w:themeTint="99"/>
        <w:bottom w:val="single" w:sz="4" w:space="0" w:color="3398FF" w:themeColor="accent5" w:themeTint="99"/>
        <w:right w:val="single" w:sz="4" w:space="0" w:color="3398FF" w:themeColor="accent5" w:themeTint="99"/>
        <w:insideH w:val="single" w:sz="4" w:space="0" w:color="3398FF" w:themeColor="accent5" w:themeTint="99"/>
        <w:insideV w:val="single" w:sz="4" w:space="0" w:color="3398FF" w:themeColor="accent5" w:themeTint="99"/>
      </w:tblBorders>
    </w:tblPr>
    <w:tblStylePr w:type="firstRow">
      <w:rPr>
        <w:b/>
        <w:bCs/>
      </w:rPr>
      <w:tblPr/>
      <w:tcPr>
        <w:tcBorders>
          <w:bottom w:val="single" w:sz="12" w:space="0" w:color="3398FF" w:themeColor="accent5" w:themeTint="99"/>
        </w:tcBorders>
      </w:tcPr>
    </w:tblStylePr>
    <w:tblStylePr w:type="lastRow">
      <w:rPr>
        <w:b/>
        <w:bCs/>
      </w:rPr>
      <w:tblPr/>
      <w:tcPr>
        <w:tcBorders>
          <w:top w:val="double" w:sz="4" w:space="0" w:color="3398FF" w:themeColor="accent5" w:themeTint="99"/>
        </w:tcBorders>
      </w:tcPr>
    </w:tblStylePr>
    <w:tblStylePr w:type="firstCol">
      <w:rPr>
        <w:b/>
        <w:bCs/>
      </w:rPr>
    </w:tblStylePr>
    <w:tblStylePr w:type="lastCol">
      <w:rPr>
        <w:b/>
        <w:bCs/>
      </w:rPr>
    </w:tblStylePr>
    <w:tblStylePr w:type="band1Vert">
      <w:tblPr/>
      <w:tcPr>
        <w:shd w:val="clear" w:color="auto" w:fill="BBDCFF" w:themeFill="accent5" w:themeFillTint="33"/>
      </w:tcPr>
    </w:tblStylePr>
    <w:tblStylePr w:type="band1Horz">
      <w:tblPr/>
      <w:tcPr>
        <w:shd w:val="clear" w:color="auto" w:fill="BBDCFF" w:themeFill="accent5" w:themeFillTint="33"/>
      </w:tcPr>
    </w:tblStylePr>
  </w:style>
  <w:style w:type="table" w:styleId="GridTable6Colorful-Accent6">
    <w:name w:val="Grid Table 6 Colorful Accent 6"/>
    <w:basedOn w:val="TableNormal"/>
    <w:uiPriority w:val="51"/>
    <w:rsid w:val="00F527CC"/>
    <w:pPr>
      <w:spacing w:after="0" w:line="240" w:lineRule="auto"/>
    </w:pPr>
    <w:rPr>
      <w:color w:val="D88400" w:themeColor="accent6" w:themeShade="BF"/>
    </w:rPr>
    <w:tblPr>
      <w:tblStyleRowBandSize w:val="1"/>
      <w:tblStyleColBandSize w:val="1"/>
      <w:tblBorders>
        <w:top w:val="single" w:sz="4" w:space="0" w:color="FFCB7A" w:themeColor="accent6" w:themeTint="99"/>
        <w:left w:val="single" w:sz="4" w:space="0" w:color="FFCB7A" w:themeColor="accent6" w:themeTint="99"/>
        <w:bottom w:val="single" w:sz="4" w:space="0" w:color="FFCB7A" w:themeColor="accent6" w:themeTint="99"/>
        <w:right w:val="single" w:sz="4" w:space="0" w:color="FFCB7A" w:themeColor="accent6" w:themeTint="99"/>
        <w:insideH w:val="single" w:sz="4" w:space="0" w:color="FFCB7A" w:themeColor="accent6" w:themeTint="99"/>
        <w:insideV w:val="single" w:sz="4" w:space="0" w:color="FFCB7A" w:themeColor="accent6" w:themeTint="99"/>
      </w:tblBorders>
    </w:tblPr>
    <w:tblStylePr w:type="firstRow">
      <w:rPr>
        <w:b/>
        <w:bCs/>
      </w:rPr>
      <w:tblPr/>
      <w:tcPr>
        <w:tcBorders>
          <w:bottom w:val="single" w:sz="12" w:space="0" w:color="FFCB7A" w:themeColor="accent6" w:themeTint="99"/>
        </w:tcBorders>
      </w:tcPr>
    </w:tblStylePr>
    <w:tblStylePr w:type="lastRow">
      <w:rPr>
        <w:b/>
        <w:bCs/>
      </w:rPr>
      <w:tblPr/>
      <w:tcPr>
        <w:tcBorders>
          <w:top w:val="double" w:sz="4" w:space="0" w:color="FFCB7A" w:themeColor="accent6" w:themeTint="99"/>
        </w:tcBorders>
      </w:tcPr>
    </w:tblStylePr>
    <w:tblStylePr w:type="firstCol">
      <w:rPr>
        <w:b/>
        <w:bCs/>
      </w:rPr>
    </w:tblStylePr>
    <w:tblStylePr w:type="lastCol">
      <w:rPr>
        <w:b/>
        <w:bCs/>
      </w:rPr>
    </w:tblStylePr>
    <w:tblStylePr w:type="band1Vert">
      <w:tblPr/>
      <w:tcPr>
        <w:shd w:val="clear" w:color="auto" w:fill="FFEDD2" w:themeFill="accent6" w:themeFillTint="33"/>
      </w:tcPr>
    </w:tblStylePr>
    <w:tblStylePr w:type="band1Horz">
      <w:tblPr/>
      <w:tcPr>
        <w:shd w:val="clear" w:color="auto" w:fill="FFEDD2" w:themeFill="accent6" w:themeFillTint="33"/>
      </w:tcPr>
    </w:tblStylePr>
  </w:style>
  <w:style w:type="table" w:styleId="GridTable7Colorful">
    <w:name w:val="Grid Table 7 Colorful"/>
    <w:basedOn w:val="TableNormal"/>
    <w:uiPriority w:val="52"/>
    <w:rsid w:val="00F527CC"/>
    <w:pPr>
      <w:spacing w:after="0" w:line="240" w:lineRule="auto"/>
    </w:pPr>
    <w:rPr>
      <w:color w:val="404040" w:themeColor="text1"/>
    </w:rPr>
    <w:tblPr>
      <w:tblStyleRowBandSize w:val="1"/>
      <w:tblStyleColBandSize w:val="1"/>
      <w:tblBorders>
        <w:top w:val="single" w:sz="4" w:space="0" w:color="8C8C8C" w:themeColor="text1" w:themeTint="99"/>
        <w:left w:val="single" w:sz="4" w:space="0" w:color="8C8C8C" w:themeColor="text1" w:themeTint="99"/>
        <w:bottom w:val="single" w:sz="4" w:space="0" w:color="8C8C8C" w:themeColor="text1" w:themeTint="99"/>
        <w:right w:val="single" w:sz="4" w:space="0" w:color="8C8C8C" w:themeColor="text1" w:themeTint="99"/>
        <w:insideH w:val="single" w:sz="4" w:space="0" w:color="8C8C8C" w:themeColor="text1" w:themeTint="99"/>
        <w:insideV w:val="single" w:sz="4" w:space="0" w:color="8C8C8C"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C8C8C" w:themeColor="text1" w:themeTint="99"/>
        </w:tcBorders>
      </w:tcPr>
    </w:tblStylePr>
    <w:tblStylePr w:type="nwCell">
      <w:tblPr/>
      <w:tcPr>
        <w:tcBorders>
          <w:bottom w:val="single" w:sz="4" w:space="0" w:color="8C8C8C" w:themeColor="text1" w:themeTint="99"/>
        </w:tcBorders>
      </w:tcPr>
    </w:tblStylePr>
    <w:tblStylePr w:type="seCell">
      <w:tblPr/>
      <w:tcPr>
        <w:tcBorders>
          <w:top w:val="single" w:sz="4" w:space="0" w:color="8C8C8C" w:themeColor="text1" w:themeTint="99"/>
        </w:tcBorders>
      </w:tcPr>
    </w:tblStylePr>
    <w:tblStylePr w:type="swCell">
      <w:tblPr/>
      <w:tcPr>
        <w:tcBorders>
          <w:top w:val="single" w:sz="4" w:space="0" w:color="8C8C8C" w:themeColor="text1" w:themeTint="99"/>
        </w:tcBorders>
      </w:tcPr>
    </w:tblStylePr>
  </w:style>
  <w:style w:type="table" w:styleId="GridTable7Colorful-Accent1">
    <w:name w:val="Grid Table 7 Colorful Accent 1"/>
    <w:basedOn w:val="TableNormal"/>
    <w:uiPriority w:val="52"/>
    <w:rsid w:val="00F527CC"/>
    <w:pPr>
      <w:spacing w:after="0" w:line="240" w:lineRule="auto"/>
    </w:pPr>
    <w:rPr>
      <w:color w:val="939599" w:themeColor="accent1" w:themeShade="BF"/>
    </w:rPr>
    <w:tblPr>
      <w:tblStyleRowBandSize w:val="1"/>
      <w:tblStyleColBandSize w:val="1"/>
      <w:tblBorders>
        <w:top w:val="single" w:sz="4" w:space="0" w:color="DDDDDF" w:themeColor="accent1" w:themeTint="99"/>
        <w:left w:val="single" w:sz="4" w:space="0" w:color="DDDDDF" w:themeColor="accent1" w:themeTint="99"/>
        <w:bottom w:val="single" w:sz="4" w:space="0" w:color="DDDDDF" w:themeColor="accent1" w:themeTint="99"/>
        <w:right w:val="single" w:sz="4" w:space="0" w:color="DDDDDF" w:themeColor="accent1" w:themeTint="99"/>
        <w:insideH w:val="single" w:sz="4" w:space="0" w:color="DDDDDF" w:themeColor="accent1" w:themeTint="99"/>
        <w:insideV w:val="single" w:sz="4" w:space="0" w:color="DDDDD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4" w:themeFill="accent1" w:themeFillTint="33"/>
      </w:tcPr>
    </w:tblStylePr>
    <w:tblStylePr w:type="band1Horz">
      <w:tblPr/>
      <w:tcPr>
        <w:shd w:val="clear" w:color="auto" w:fill="F3F3F4" w:themeFill="accent1" w:themeFillTint="33"/>
      </w:tcPr>
    </w:tblStylePr>
    <w:tblStylePr w:type="neCell">
      <w:tblPr/>
      <w:tcPr>
        <w:tcBorders>
          <w:bottom w:val="single" w:sz="4" w:space="0" w:color="DDDDDF" w:themeColor="accent1" w:themeTint="99"/>
        </w:tcBorders>
      </w:tcPr>
    </w:tblStylePr>
    <w:tblStylePr w:type="nwCell">
      <w:tblPr/>
      <w:tcPr>
        <w:tcBorders>
          <w:bottom w:val="single" w:sz="4" w:space="0" w:color="DDDDDF" w:themeColor="accent1" w:themeTint="99"/>
        </w:tcBorders>
      </w:tcPr>
    </w:tblStylePr>
    <w:tblStylePr w:type="seCell">
      <w:tblPr/>
      <w:tcPr>
        <w:tcBorders>
          <w:top w:val="single" w:sz="4" w:space="0" w:color="DDDDDF" w:themeColor="accent1" w:themeTint="99"/>
        </w:tcBorders>
      </w:tcPr>
    </w:tblStylePr>
    <w:tblStylePr w:type="swCell">
      <w:tblPr/>
      <w:tcPr>
        <w:tcBorders>
          <w:top w:val="single" w:sz="4" w:space="0" w:color="DDDDDF" w:themeColor="accent1" w:themeTint="99"/>
        </w:tcBorders>
      </w:tcPr>
    </w:tblStylePr>
  </w:style>
  <w:style w:type="table" w:styleId="GridTable7Colorful-Accent2">
    <w:name w:val="Grid Table 7 Colorful Accent 2"/>
    <w:basedOn w:val="TableNormal"/>
    <w:uiPriority w:val="52"/>
    <w:rsid w:val="00F527CC"/>
    <w:pPr>
      <w:spacing w:after="0" w:line="240" w:lineRule="auto"/>
    </w:pPr>
    <w:rPr>
      <w:color w:val="6D6F72" w:themeColor="accent2" w:themeShade="BF"/>
    </w:rPr>
    <w:tblPr>
      <w:tblStyleRowBandSize w:val="1"/>
      <w:tblStyleColBandSize w:val="1"/>
      <w:tblBorders>
        <w:top w:val="single" w:sz="4" w:space="0" w:color="BEBFC1" w:themeColor="accent2" w:themeTint="99"/>
        <w:left w:val="single" w:sz="4" w:space="0" w:color="BEBFC1" w:themeColor="accent2" w:themeTint="99"/>
        <w:bottom w:val="single" w:sz="4" w:space="0" w:color="BEBFC1" w:themeColor="accent2" w:themeTint="99"/>
        <w:right w:val="single" w:sz="4" w:space="0" w:color="BEBFC1" w:themeColor="accent2" w:themeTint="99"/>
        <w:insideH w:val="single" w:sz="4" w:space="0" w:color="BEBFC1" w:themeColor="accent2" w:themeTint="99"/>
        <w:insideV w:val="single" w:sz="4" w:space="0" w:color="BEBFC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9EA" w:themeFill="accent2" w:themeFillTint="33"/>
      </w:tcPr>
    </w:tblStylePr>
    <w:tblStylePr w:type="band1Horz">
      <w:tblPr/>
      <w:tcPr>
        <w:shd w:val="clear" w:color="auto" w:fill="E9E9EA" w:themeFill="accent2" w:themeFillTint="33"/>
      </w:tcPr>
    </w:tblStylePr>
    <w:tblStylePr w:type="neCell">
      <w:tblPr/>
      <w:tcPr>
        <w:tcBorders>
          <w:bottom w:val="single" w:sz="4" w:space="0" w:color="BEBFC1" w:themeColor="accent2" w:themeTint="99"/>
        </w:tcBorders>
      </w:tcPr>
    </w:tblStylePr>
    <w:tblStylePr w:type="nwCell">
      <w:tblPr/>
      <w:tcPr>
        <w:tcBorders>
          <w:bottom w:val="single" w:sz="4" w:space="0" w:color="BEBFC1" w:themeColor="accent2" w:themeTint="99"/>
        </w:tcBorders>
      </w:tcPr>
    </w:tblStylePr>
    <w:tblStylePr w:type="seCell">
      <w:tblPr/>
      <w:tcPr>
        <w:tcBorders>
          <w:top w:val="single" w:sz="4" w:space="0" w:color="BEBFC1" w:themeColor="accent2" w:themeTint="99"/>
        </w:tcBorders>
      </w:tcPr>
    </w:tblStylePr>
    <w:tblStylePr w:type="swCell">
      <w:tblPr/>
      <w:tcPr>
        <w:tcBorders>
          <w:top w:val="single" w:sz="4" w:space="0" w:color="BEBFC1" w:themeColor="accent2" w:themeTint="99"/>
        </w:tcBorders>
      </w:tcPr>
    </w:tblStylePr>
  </w:style>
  <w:style w:type="table" w:styleId="GridTable7Colorful-Accent3">
    <w:name w:val="Grid Table 7 Colorful Accent 3"/>
    <w:basedOn w:val="TableNormal"/>
    <w:uiPriority w:val="52"/>
    <w:rsid w:val="00F527CC"/>
    <w:pPr>
      <w:spacing w:after="0" w:line="240" w:lineRule="auto"/>
    </w:pPr>
    <w:rPr>
      <w:color w:val="4A4A4C" w:themeColor="accent3" w:themeShade="BF"/>
    </w:rPr>
    <w:tblPr>
      <w:tblStyleRowBandSize w:val="1"/>
      <w:tblStyleColBandSize w:val="1"/>
      <w:tblBorders>
        <w:top w:val="single" w:sz="4" w:space="0" w:color="A0A1A3" w:themeColor="accent3" w:themeTint="99"/>
        <w:left w:val="single" w:sz="4" w:space="0" w:color="A0A1A3" w:themeColor="accent3" w:themeTint="99"/>
        <w:bottom w:val="single" w:sz="4" w:space="0" w:color="A0A1A3" w:themeColor="accent3" w:themeTint="99"/>
        <w:right w:val="single" w:sz="4" w:space="0" w:color="A0A1A3" w:themeColor="accent3" w:themeTint="99"/>
        <w:insideH w:val="single" w:sz="4" w:space="0" w:color="A0A1A3" w:themeColor="accent3" w:themeTint="99"/>
        <w:insideV w:val="single" w:sz="4" w:space="0" w:color="A0A1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0" w:themeFill="accent3" w:themeFillTint="33"/>
      </w:tcPr>
    </w:tblStylePr>
    <w:tblStylePr w:type="band1Horz">
      <w:tblPr/>
      <w:tcPr>
        <w:shd w:val="clear" w:color="auto" w:fill="DFDFE0" w:themeFill="accent3" w:themeFillTint="33"/>
      </w:tcPr>
    </w:tblStylePr>
    <w:tblStylePr w:type="neCell">
      <w:tblPr/>
      <w:tcPr>
        <w:tcBorders>
          <w:bottom w:val="single" w:sz="4" w:space="0" w:color="A0A1A3" w:themeColor="accent3" w:themeTint="99"/>
        </w:tcBorders>
      </w:tcPr>
    </w:tblStylePr>
    <w:tblStylePr w:type="nwCell">
      <w:tblPr/>
      <w:tcPr>
        <w:tcBorders>
          <w:bottom w:val="single" w:sz="4" w:space="0" w:color="A0A1A3" w:themeColor="accent3" w:themeTint="99"/>
        </w:tcBorders>
      </w:tcPr>
    </w:tblStylePr>
    <w:tblStylePr w:type="seCell">
      <w:tblPr/>
      <w:tcPr>
        <w:tcBorders>
          <w:top w:val="single" w:sz="4" w:space="0" w:color="A0A1A3" w:themeColor="accent3" w:themeTint="99"/>
        </w:tcBorders>
      </w:tcPr>
    </w:tblStylePr>
    <w:tblStylePr w:type="swCell">
      <w:tblPr/>
      <w:tcPr>
        <w:tcBorders>
          <w:top w:val="single" w:sz="4" w:space="0" w:color="A0A1A3" w:themeColor="accent3" w:themeTint="99"/>
        </w:tcBorders>
      </w:tcPr>
    </w:tblStylePr>
  </w:style>
  <w:style w:type="table" w:styleId="GridTable7Colorful-Accent4">
    <w:name w:val="Grid Table 7 Colorful Accent 4"/>
    <w:basedOn w:val="TableNormal"/>
    <w:uiPriority w:val="52"/>
    <w:rsid w:val="00F527CC"/>
    <w:pPr>
      <w:spacing w:after="0" w:line="240" w:lineRule="auto"/>
    </w:pPr>
    <w:rPr>
      <w:color w:val="991820" w:themeColor="accent4" w:themeShade="BF"/>
    </w:rPr>
    <w:tblPr>
      <w:tblStyleRowBandSize w:val="1"/>
      <w:tblStyleColBandSize w:val="1"/>
      <w:tblBorders>
        <w:top w:val="single" w:sz="4" w:space="0" w:color="E87179" w:themeColor="accent4" w:themeTint="99"/>
        <w:left w:val="single" w:sz="4" w:space="0" w:color="E87179" w:themeColor="accent4" w:themeTint="99"/>
        <w:bottom w:val="single" w:sz="4" w:space="0" w:color="E87179" w:themeColor="accent4" w:themeTint="99"/>
        <w:right w:val="single" w:sz="4" w:space="0" w:color="E87179" w:themeColor="accent4" w:themeTint="99"/>
        <w:insideH w:val="single" w:sz="4" w:space="0" w:color="E87179" w:themeColor="accent4" w:themeTint="99"/>
        <w:insideV w:val="single" w:sz="4" w:space="0" w:color="E8717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CFD2" w:themeFill="accent4" w:themeFillTint="33"/>
      </w:tcPr>
    </w:tblStylePr>
    <w:tblStylePr w:type="band1Horz">
      <w:tblPr/>
      <w:tcPr>
        <w:shd w:val="clear" w:color="auto" w:fill="F7CFD2" w:themeFill="accent4" w:themeFillTint="33"/>
      </w:tcPr>
    </w:tblStylePr>
    <w:tblStylePr w:type="neCell">
      <w:tblPr/>
      <w:tcPr>
        <w:tcBorders>
          <w:bottom w:val="single" w:sz="4" w:space="0" w:color="E87179" w:themeColor="accent4" w:themeTint="99"/>
        </w:tcBorders>
      </w:tcPr>
    </w:tblStylePr>
    <w:tblStylePr w:type="nwCell">
      <w:tblPr/>
      <w:tcPr>
        <w:tcBorders>
          <w:bottom w:val="single" w:sz="4" w:space="0" w:color="E87179" w:themeColor="accent4" w:themeTint="99"/>
        </w:tcBorders>
      </w:tcPr>
    </w:tblStylePr>
    <w:tblStylePr w:type="seCell">
      <w:tblPr/>
      <w:tcPr>
        <w:tcBorders>
          <w:top w:val="single" w:sz="4" w:space="0" w:color="E87179" w:themeColor="accent4" w:themeTint="99"/>
        </w:tcBorders>
      </w:tcPr>
    </w:tblStylePr>
    <w:tblStylePr w:type="swCell">
      <w:tblPr/>
      <w:tcPr>
        <w:tcBorders>
          <w:top w:val="single" w:sz="4" w:space="0" w:color="E87179" w:themeColor="accent4" w:themeTint="99"/>
        </w:tcBorders>
      </w:tcPr>
    </w:tblStylePr>
  </w:style>
  <w:style w:type="table" w:styleId="GridTable7Colorful-Accent5">
    <w:name w:val="Grid Table 7 Colorful Accent 5"/>
    <w:basedOn w:val="TableNormal"/>
    <w:uiPriority w:val="52"/>
    <w:rsid w:val="00F527CC"/>
    <w:pPr>
      <w:spacing w:after="0" w:line="240" w:lineRule="auto"/>
    </w:pPr>
    <w:rPr>
      <w:color w:val="003F7F" w:themeColor="accent5" w:themeShade="BF"/>
    </w:rPr>
    <w:tblPr>
      <w:tblStyleRowBandSize w:val="1"/>
      <w:tblStyleColBandSize w:val="1"/>
      <w:tblBorders>
        <w:top w:val="single" w:sz="4" w:space="0" w:color="3398FF" w:themeColor="accent5" w:themeTint="99"/>
        <w:left w:val="single" w:sz="4" w:space="0" w:color="3398FF" w:themeColor="accent5" w:themeTint="99"/>
        <w:bottom w:val="single" w:sz="4" w:space="0" w:color="3398FF" w:themeColor="accent5" w:themeTint="99"/>
        <w:right w:val="single" w:sz="4" w:space="0" w:color="3398FF" w:themeColor="accent5" w:themeTint="99"/>
        <w:insideH w:val="single" w:sz="4" w:space="0" w:color="3398FF" w:themeColor="accent5" w:themeTint="99"/>
        <w:insideV w:val="single" w:sz="4" w:space="0" w:color="339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DCFF" w:themeFill="accent5" w:themeFillTint="33"/>
      </w:tcPr>
    </w:tblStylePr>
    <w:tblStylePr w:type="band1Horz">
      <w:tblPr/>
      <w:tcPr>
        <w:shd w:val="clear" w:color="auto" w:fill="BBDCFF" w:themeFill="accent5" w:themeFillTint="33"/>
      </w:tcPr>
    </w:tblStylePr>
    <w:tblStylePr w:type="neCell">
      <w:tblPr/>
      <w:tcPr>
        <w:tcBorders>
          <w:bottom w:val="single" w:sz="4" w:space="0" w:color="3398FF" w:themeColor="accent5" w:themeTint="99"/>
        </w:tcBorders>
      </w:tcPr>
    </w:tblStylePr>
    <w:tblStylePr w:type="nwCell">
      <w:tblPr/>
      <w:tcPr>
        <w:tcBorders>
          <w:bottom w:val="single" w:sz="4" w:space="0" w:color="3398FF" w:themeColor="accent5" w:themeTint="99"/>
        </w:tcBorders>
      </w:tcPr>
    </w:tblStylePr>
    <w:tblStylePr w:type="seCell">
      <w:tblPr/>
      <w:tcPr>
        <w:tcBorders>
          <w:top w:val="single" w:sz="4" w:space="0" w:color="3398FF" w:themeColor="accent5" w:themeTint="99"/>
        </w:tcBorders>
      </w:tcPr>
    </w:tblStylePr>
    <w:tblStylePr w:type="swCell">
      <w:tblPr/>
      <w:tcPr>
        <w:tcBorders>
          <w:top w:val="single" w:sz="4" w:space="0" w:color="3398FF" w:themeColor="accent5" w:themeTint="99"/>
        </w:tcBorders>
      </w:tcPr>
    </w:tblStylePr>
  </w:style>
  <w:style w:type="table" w:styleId="GridTable7Colorful-Accent6">
    <w:name w:val="Grid Table 7 Colorful Accent 6"/>
    <w:basedOn w:val="TableNormal"/>
    <w:uiPriority w:val="52"/>
    <w:rsid w:val="00F527CC"/>
    <w:pPr>
      <w:spacing w:after="0" w:line="240" w:lineRule="auto"/>
    </w:pPr>
    <w:rPr>
      <w:color w:val="D88400" w:themeColor="accent6" w:themeShade="BF"/>
    </w:rPr>
    <w:tblPr>
      <w:tblStyleRowBandSize w:val="1"/>
      <w:tblStyleColBandSize w:val="1"/>
      <w:tblBorders>
        <w:top w:val="single" w:sz="4" w:space="0" w:color="FFCB7A" w:themeColor="accent6" w:themeTint="99"/>
        <w:left w:val="single" w:sz="4" w:space="0" w:color="FFCB7A" w:themeColor="accent6" w:themeTint="99"/>
        <w:bottom w:val="single" w:sz="4" w:space="0" w:color="FFCB7A" w:themeColor="accent6" w:themeTint="99"/>
        <w:right w:val="single" w:sz="4" w:space="0" w:color="FFCB7A" w:themeColor="accent6" w:themeTint="99"/>
        <w:insideH w:val="single" w:sz="4" w:space="0" w:color="FFCB7A" w:themeColor="accent6" w:themeTint="99"/>
        <w:insideV w:val="single" w:sz="4" w:space="0" w:color="FFCB7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DD2" w:themeFill="accent6" w:themeFillTint="33"/>
      </w:tcPr>
    </w:tblStylePr>
    <w:tblStylePr w:type="band1Horz">
      <w:tblPr/>
      <w:tcPr>
        <w:shd w:val="clear" w:color="auto" w:fill="FFEDD2" w:themeFill="accent6" w:themeFillTint="33"/>
      </w:tcPr>
    </w:tblStylePr>
    <w:tblStylePr w:type="neCell">
      <w:tblPr/>
      <w:tcPr>
        <w:tcBorders>
          <w:bottom w:val="single" w:sz="4" w:space="0" w:color="FFCB7A" w:themeColor="accent6" w:themeTint="99"/>
        </w:tcBorders>
      </w:tcPr>
    </w:tblStylePr>
    <w:tblStylePr w:type="nwCell">
      <w:tblPr/>
      <w:tcPr>
        <w:tcBorders>
          <w:bottom w:val="single" w:sz="4" w:space="0" w:color="FFCB7A" w:themeColor="accent6" w:themeTint="99"/>
        </w:tcBorders>
      </w:tcPr>
    </w:tblStylePr>
    <w:tblStylePr w:type="seCell">
      <w:tblPr/>
      <w:tcPr>
        <w:tcBorders>
          <w:top w:val="single" w:sz="4" w:space="0" w:color="FFCB7A" w:themeColor="accent6" w:themeTint="99"/>
        </w:tcBorders>
      </w:tcPr>
    </w:tblStylePr>
    <w:tblStylePr w:type="swCell">
      <w:tblPr/>
      <w:tcPr>
        <w:tcBorders>
          <w:top w:val="single" w:sz="4" w:space="0" w:color="FFCB7A" w:themeColor="accent6" w:themeTint="99"/>
        </w:tcBorders>
      </w:tcPr>
    </w:tblStylePr>
  </w:style>
  <w:style w:type="character" w:styleId="HTMLAcronym">
    <w:name w:val="HTML Acronym"/>
    <w:basedOn w:val="DefaultParagraphFont"/>
    <w:uiPriority w:val="99"/>
    <w:semiHidden/>
    <w:unhideWhenUsed/>
    <w:rsid w:val="00F527CC"/>
    <w:rPr>
      <w:lang w:val="en-US"/>
    </w:rPr>
  </w:style>
  <w:style w:type="paragraph" w:styleId="HTMLAddress">
    <w:name w:val="HTML Address"/>
    <w:basedOn w:val="Normal"/>
    <w:link w:val="HTMLAddressChar"/>
    <w:uiPriority w:val="99"/>
    <w:semiHidden/>
    <w:unhideWhenUsed/>
    <w:rsid w:val="00F527CC"/>
    <w:pPr>
      <w:spacing w:after="0" w:line="240" w:lineRule="auto"/>
    </w:pPr>
    <w:rPr>
      <w:i/>
      <w:iCs/>
    </w:rPr>
  </w:style>
  <w:style w:type="character" w:customStyle="1" w:styleId="HTMLAddressChar">
    <w:name w:val="HTML Address Char"/>
    <w:basedOn w:val="DefaultParagraphFont"/>
    <w:link w:val="HTMLAddress"/>
    <w:uiPriority w:val="99"/>
    <w:semiHidden/>
    <w:rsid w:val="00F527CC"/>
    <w:rPr>
      <w:i/>
      <w:iCs/>
      <w:lang w:val="en-US"/>
    </w:rPr>
  </w:style>
  <w:style w:type="character" w:styleId="HTMLCite">
    <w:name w:val="HTML Cite"/>
    <w:basedOn w:val="DefaultParagraphFont"/>
    <w:uiPriority w:val="99"/>
    <w:semiHidden/>
    <w:unhideWhenUsed/>
    <w:rsid w:val="00F527CC"/>
    <w:rPr>
      <w:i/>
      <w:iCs/>
      <w:lang w:val="en-US"/>
    </w:rPr>
  </w:style>
  <w:style w:type="character" w:styleId="HTMLCode">
    <w:name w:val="HTML Code"/>
    <w:basedOn w:val="DefaultParagraphFont"/>
    <w:uiPriority w:val="99"/>
    <w:semiHidden/>
    <w:unhideWhenUsed/>
    <w:rsid w:val="00F527CC"/>
    <w:rPr>
      <w:rFonts w:ascii="Consolas" w:hAnsi="Consolas"/>
      <w:sz w:val="20"/>
      <w:szCs w:val="20"/>
      <w:lang w:val="en-US"/>
    </w:rPr>
  </w:style>
  <w:style w:type="character" w:styleId="HTMLDefinition">
    <w:name w:val="HTML Definition"/>
    <w:basedOn w:val="DefaultParagraphFont"/>
    <w:uiPriority w:val="99"/>
    <w:semiHidden/>
    <w:unhideWhenUsed/>
    <w:rsid w:val="00F527CC"/>
    <w:rPr>
      <w:i/>
      <w:iCs/>
      <w:lang w:val="en-US"/>
    </w:rPr>
  </w:style>
  <w:style w:type="character" w:styleId="HTMLKeyboard">
    <w:name w:val="HTML Keyboard"/>
    <w:basedOn w:val="DefaultParagraphFont"/>
    <w:uiPriority w:val="99"/>
    <w:semiHidden/>
    <w:unhideWhenUsed/>
    <w:rsid w:val="00F527CC"/>
    <w:rPr>
      <w:rFonts w:ascii="Consolas" w:hAnsi="Consolas"/>
      <w:sz w:val="20"/>
      <w:szCs w:val="20"/>
      <w:lang w:val="en-US"/>
    </w:rPr>
  </w:style>
  <w:style w:type="paragraph" w:styleId="HTMLPreformatted">
    <w:name w:val="HTML Preformatted"/>
    <w:basedOn w:val="Normal"/>
    <w:link w:val="HTMLPreformattedChar"/>
    <w:uiPriority w:val="99"/>
    <w:semiHidden/>
    <w:unhideWhenUsed/>
    <w:rsid w:val="00F527C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27CC"/>
    <w:rPr>
      <w:rFonts w:ascii="Consolas" w:hAnsi="Consolas"/>
      <w:sz w:val="20"/>
      <w:szCs w:val="20"/>
      <w:lang w:val="en-US"/>
    </w:rPr>
  </w:style>
  <w:style w:type="character" w:styleId="HTMLSample">
    <w:name w:val="HTML Sample"/>
    <w:basedOn w:val="DefaultParagraphFont"/>
    <w:uiPriority w:val="99"/>
    <w:semiHidden/>
    <w:unhideWhenUsed/>
    <w:rsid w:val="00F527CC"/>
    <w:rPr>
      <w:rFonts w:ascii="Consolas" w:hAnsi="Consolas"/>
      <w:sz w:val="24"/>
      <w:szCs w:val="24"/>
      <w:lang w:val="en-US"/>
    </w:rPr>
  </w:style>
  <w:style w:type="character" w:styleId="HTMLTypewriter">
    <w:name w:val="HTML Typewriter"/>
    <w:basedOn w:val="DefaultParagraphFont"/>
    <w:uiPriority w:val="99"/>
    <w:semiHidden/>
    <w:unhideWhenUsed/>
    <w:rsid w:val="00F527CC"/>
    <w:rPr>
      <w:rFonts w:ascii="Consolas" w:hAnsi="Consolas"/>
      <w:sz w:val="20"/>
      <w:szCs w:val="20"/>
      <w:lang w:val="en-US"/>
    </w:rPr>
  </w:style>
  <w:style w:type="character" w:styleId="HTMLVariable">
    <w:name w:val="HTML Variable"/>
    <w:basedOn w:val="DefaultParagraphFont"/>
    <w:uiPriority w:val="99"/>
    <w:semiHidden/>
    <w:unhideWhenUsed/>
    <w:rsid w:val="00F527CC"/>
    <w:rPr>
      <w:i/>
      <w:iCs/>
      <w:lang w:val="en-US"/>
    </w:rPr>
  </w:style>
  <w:style w:type="paragraph" w:styleId="Index1">
    <w:name w:val="index 1"/>
    <w:basedOn w:val="Normal"/>
    <w:next w:val="Normal"/>
    <w:autoRedefine/>
    <w:uiPriority w:val="99"/>
    <w:semiHidden/>
    <w:unhideWhenUsed/>
    <w:rsid w:val="00F527CC"/>
    <w:pPr>
      <w:spacing w:after="0" w:line="240" w:lineRule="auto"/>
      <w:ind w:left="220" w:hanging="220"/>
    </w:pPr>
  </w:style>
  <w:style w:type="paragraph" w:styleId="Index2">
    <w:name w:val="index 2"/>
    <w:basedOn w:val="Normal"/>
    <w:next w:val="Normal"/>
    <w:autoRedefine/>
    <w:uiPriority w:val="99"/>
    <w:semiHidden/>
    <w:unhideWhenUsed/>
    <w:rsid w:val="00F527CC"/>
    <w:pPr>
      <w:spacing w:after="0" w:line="240" w:lineRule="auto"/>
      <w:ind w:left="440" w:hanging="220"/>
    </w:pPr>
  </w:style>
  <w:style w:type="paragraph" w:styleId="Index3">
    <w:name w:val="index 3"/>
    <w:basedOn w:val="Normal"/>
    <w:next w:val="Normal"/>
    <w:autoRedefine/>
    <w:uiPriority w:val="99"/>
    <w:semiHidden/>
    <w:unhideWhenUsed/>
    <w:rsid w:val="00F527CC"/>
    <w:pPr>
      <w:spacing w:after="0" w:line="240" w:lineRule="auto"/>
      <w:ind w:left="660" w:hanging="220"/>
    </w:pPr>
  </w:style>
  <w:style w:type="paragraph" w:styleId="Index4">
    <w:name w:val="index 4"/>
    <w:basedOn w:val="Normal"/>
    <w:next w:val="Normal"/>
    <w:autoRedefine/>
    <w:uiPriority w:val="99"/>
    <w:semiHidden/>
    <w:unhideWhenUsed/>
    <w:rsid w:val="00F527CC"/>
    <w:pPr>
      <w:spacing w:after="0" w:line="240" w:lineRule="auto"/>
      <w:ind w:left="880" w:hanging="220"/>
    </w:pPr>
  </w:style>
  <w:style w:type="paragraph" w:styleId="Index5">
    <w:name w:val="index 5"/>
    <w:basedOn w:val="Normal"/>
    <w:next w:val="Normal"/>
    <w:autoRedefine/>
    <w:uiPriority w:val="99"/>
    <w:semiHidden/>
    <w:unhideWhenUsed/>
    <w:rsid w:val="00F527CC"/>
    <w:pPr>
      <w:spacing w:after="0" w:line="240" w:lineRule="auto"/>
      <w:ind w:left="1100" w:hanging="220"/>
    </w:pPr>
  </w:style>
  <w:style w:type="paragraph" w:styleId="Index6">
    <w:name w:val="index 6"/>
    <w:basedOn w:val="Normal"/>
    <w:next w:val="Normal"/>
    <w:autoRedefine/>
    <w:uiPriority w:val="99"/>
    <w:semiHidden/>
    <w:unhideWhenUsed/>
    <w:rsid w:val="00F527CC"/>
    <w:pPr>
      <w:spacing w:after="0" w:line="240" w:lineRule="auto"/>
      <w:ind w:left="1320" w:hanging="220"/>
    </w:pPr>
  </w:style>
  <w:style w:type="paragraph" w:styleId="Index7">
    <w:name w:val="index 7"/>
    <w:basedOn w:val="Normal"/>
    <w:next w:val="Normal"/>
    <w:autoRedefine/>
    <w:uiPriority w:val="99"/>
    <w:semiHidden/>
    <w:unhideWhenUsed/>
    <w:rsid w:val="00F527CC"/>
    <w:pPr>
      <w:spacing w:after="0" w:line="240" w:lineRule="auto"/>
      <w:ind w:left="1540" w:hanging="220"/>
    </w:pPr>
  </w:style>
  <w:style w:type="paragraph" w:styleId="Index8">
    <w:name w:val="index 8"/>
    <w:basedOn w:val="Normal"/>
    <w:next w:val="Normal"/>
    <w:autoRedefine/>
    <w:uiPriority w:val="99"/>
    <w:semiHidden/>
    <w:unhideWhenUsed/>
    <w:rsid w:val="00F527CC"/>
    <w:pPr>
      <w:spacing w:after="0" w:line="240" w:lineRule="auto"/>
      <w:ind w:left="1760" w:hanging="220"/>
    </w:pPr>
  </w:style>
  <w:style w:type="paragraph" w:styleId="Index9">
    <w:name w:val="index 9"/>
    <w:basedOn w:val="Normal"/>
    <w:next w:val="Normal"/>
    <w:autoRedefine/>
    <w:uiPriority w:val="99"/>
    <w:semiHidden/>
    <w:unhideWhenUsed/>
    <w:rsid w:val="00F527CC"/>
    <w:pPr>
      <w:spacing w:after="0" w:line="240" w:lineRule="auto"/>
      <w:ind w:left="1980" w:hanging="220"/>
    </w:pPr>
  </w:style>
  <w:style w:type="paragraph" w:styleId="IndexHeading">
    <w:name w:val="index heading"/>
    <w:basedOn w:val="Normal"/>
    <w:next w:val="Index1"/>
    <w:uiPriority w:val="99"/>
    <w:semiHidden/>
    <w:unhideWhenUsed/>
    <w:rsid w:val="00F527CC"/>
    <w:rPr>
      <w:rFonts w:eastAsiaTheme="majorEastAsia" w:cs="Arial"/>
      <w:b/>
      <w:bCs/>
    </w:rPr>
  </w:style>
  <w:style w:type="character" w:styleId="IntenseEmphasis">
    <w:name w:val="Intense Emphasis"/>
    <w:basedOn w:val="DefaultParagraphFont"/>
    <w:uiPriority w:val="21"/>
    <w:qFormat/>
    <w:rsid w:val="00F527CC"/>
    <w:rPr>
      <w:i/>
      <w:iCs/>
      <w:color w:val="C7C8CA" w:themeColor="accent1"/>
      <w:lang w:val="en-US"/>
    </w:rPr>
  </w:style>
  <w:style w:type="paragraph" w:styleId="IntenseQuote">
    <w:name w:val="Intense Quote"/>
    <w:basedOn w:val="Normal"/>
    <w:next w:val="Normal"/>
    <w:link w:val="IntenseQuoteChar"/>
    <w:uiPriority w:val="30"/>
    <w:qFormat/>
    <w:rsid w:val="00F527CC"/>
    <w:pPr>
      <w:pBdr>
        <w:top w:val="single" w:sz="4" w:space="10" w:color="C7C8CA" w:themeColor="accent1"/>
        <w:bottom w:val="single" w:sz="4" w:space="10" w:color="C7C8CA" w:themeColor="accent1"/>
      </w:pBdr>
      <w:spacing w:before="360" w:after="360"/>
      <w:ind w:left="864" w:right="864"/>
      <w:jc w:val="center"/>
    </w:pPr>
    <w:rPr>
      <w:i/>
      <w:iCs/>
      <w:color w:val="C7C8CA" w:themeColor="accent1"/>
    </w:rPr>
  </w:style>
  <w:style w:type="character" w:customStyle="1" w:styleId="IntenseQuoteChar">
    <w:name w:val="Intense Quote Char"/>
    <w:basedOn w:val="DefaultParagraphFont"/>
    <w:link w:val="IntenseQuote"/>
    <w:uiPriority w:val="30"/>
    <w:rsid w:val="00F527CC"/>
    <w:rPr>
      <w:i/>
      <w:iCs/>
      <w:color w:val="C7C8CA" w:themeColor="accent1"/>
      <w:lang w:val="en-US"/>
    </w:rPr>
  </w:style>
  <w:style w:type="character" w:styleId="IntenseReference">
    <w:name w:val="Intense Reference"/>
    <w:basedOn w:val="DefaultParagraphFont"/>
    <w:uiPriority w:val="32"/>
    <w:qFormat/>
    <w:rsid w:val="00F527CC"/>
    <w:rPr>
      <w:b/>
      <w:bCs/>
      <w:smallCaps/>
      <w:color w:val="C7C8CA" w:themeColor="accent1"/>
      <w:spacing w:val="5"/>
      <w:lang w:val="en-US"/>
    </w:rPr>
  </w:style>
  <w:style w:type="table" w:styleId="LightGrid">
    <w:name w:val="Light Grid"/>
    <w:basedOn w:val="TableNormal"/>
    <w:uiPriority w:val="62"/>
    <w:semiHidden/>
    <w:unhideWhenUsed/>
    <w:rsid w:val="00F527CC"/>
    <w:pPr>
      <w:spacing w:after="0" w:line="240" w:lineRule="auto"/>
    </w:pPr>
    <w:tblPr>
      <w:tblStyleRowBandSize w:val="1"/>
      <w:tblStyleColBandSize w:val="1"/>
      <w:tblBorders>
        <w:top w:val="single" w:sz="8" w:space="0" w:color="404040" w:themeColor="text1"/>
        <w:left w:val="single" w:sz="8" w:space="0" w:color="404040" w:themeColor="text1"/>
        <w:bottom w:val="single" w:sz="8" w:space="0" w:color="404040" w:themeColor="text1"/>
        <w:right w:val="single" w:sz="8" w:space="0" w:color="404040" w:themeColor="text1"/>
        <w:insideH w:val="single" w:sz="8" w:space="0" w:color="404040" w:themeColor="text1"/>
        <w:insideV w:val="single" w:sz="8" w:space="0" w:color="40404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04040" w:themeColor="text1"/>
          <w:left w:val="single" w:sz="8" w:space="0" w:color="404040" w:themeColor="text1"/>
          <w:bottom w:val="single" w:sz="18" w:space="0" w:color="404040" w:themeColor="text1"/>
          <w:right w:val="single" w:sz="8" w:space="0" w:color="404040" w:themeColor="text1"/>
          <w:insideH w:val="nil"/>
          <w:insideV w:val="single" w:sz="8" w:space="0" w:color="40404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04040" w:themeColor="text1"/>
          <w:left w:val="single" w:sz="8" w:space="0" w:color="404040" w:themeColor="text1"/>
          <w:bottom w:val="single" w:sz="8" w:space="0" w:color="404040" w:themeColor="text1"/>
          <w:right w:val="single" w:sz="8" w:space="0" w:color="404040" w:themeColor="text1"/>
          <w:insideH w:val="nil"/>
          <w:insideV w:val="single" w:sz="8" w:space="0" w:color="40404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04040" w:themeColor="text1"/>
          <w:left w:val="single" w:sz="8" w:space="0" w:color="404040" w:themeColor="text1"/>
          <w:bottom w:val="single" w:sz="8" w:space="0" w:color="404040" w:themeColor="text1"/>
          <w:right w:val="single" w:sz="8" w:space="0" w:color="404040" w:themeColor="text1"/>
        </w:tcBorders>
      </w:tcPr>
    </w:tblStylePr>
    <w:tblStylePr w:type="band1Vert">
      <w:tblPr/>
      <w:tcPr>
        <w:tcBorders>
          <w:top w:val="single" w:sz="8" w:space="0" w:color="404040" w:themeColor="text1"/>
          <w:left w:val="single" w:sz="8" w:space="0" w:color="404040" w:themeColor="text1"/>
          <w:bottom w:val="single" w:sz="8" w:space="0" w:color="404040" w:themeColor="text1"/>
          <w:right w:val="single" w:sz="8" w:space="0" w:color="404040" w:themeColor="text1"/>
        </w:tcBorders>
        <w:shd w:val="clear" w:color="auto" w:fill="CFCFCF" w:themeFill="text1" w:themeFillTint="3F"/>
      </w:tcPr>
    </w:tblStylePr>
    <w:tblStylePr w:type="band1Horz">
      <w:tblPr/>
      <w:tcPr>
        <w:tcBorders>
          <w:top w:val="single" w:sz="8" w:space="0" w:color="404040" w:themeColor="text1"/>
          <w:left w:val="single" w:sz="8" w:space="0" w:color="404040" w:themeColor="text1"/>
          <w:bottom w:val="single" w:sz="8" w:space="0" w:color="404040" w:themeColor="text1"/>
          <w:right w:val="single" w:sz="8" w:space="0" w:color="404040" w:themeColor="text1"/>
          <w:insideV w:val="single" w:sz="8" w:space="0" w:color="404040" w:themeColor="text1"/>
        </w:tcBorders>
        <w:shd w:val="clear" w:color="auto" w:fill="CFCFCF" w:themeFill="text1" w:themeFillTint="3F"/>
      </w:tcPr>
    </w:tblStylePr>
    <w:tblStylePr w:type="band2Horz">
      <w:tblPr/>
      <w:tcPr>
        <w:tcBorders>
          <w:top w:val="single" w:sz="8" w:space="0" w:color="404040" w:themeColor="text1"/>
          <w:left w:val="single" w:sz="8" w:space="0" w:color="404040" w:themeColor="text1"/>
          <w:bottom w:val="single" w:sz="8" w:space="0" w:color="404040" w:themeColor="text1"/>
          <w:right w:val="single" w:sz="8" w:space="0" w:color="404040" w:themeColor="text1"/>
          <w:insideV w:val="single" w:sz="8" w:space="0" w:color="404040" w:themeColor="text1"/>
        </w:tcBorders>
      </w:tcPr>
    </w:tblStylePr>
  </w:style>
  <w:style w:type="table" w:styleId="LightGrid-Accent1">
    <w:name w:val="Light Grid Accent 1"/>
    <w:basedOn w:val="TableNormal"/>
    <w:uiPriority w:val="62"/>
    <w:semiHidden/>
    <w:unhideWhenUsed/>
    <w:rsid w:val="00F527CC"/>
    <w:pPr>
      <w:spacing w:after="0" w:line="240" w:lineRule="auto"/>
    </w:pPr>
    <w:tblPr>
      <w:tblStyleRowBandSize w:val="1"/>
      <w:tblStyleColBandSize w:val="1"/>
      <w:tblBorders>
        <w:top w:val="single" w:sz="8" w:space="0" w:color="C7C8CA" w:themeColor="accent1"/>
        <w:left w:val="single" w:sz="8" w:space="0" w:color="C7C8CA" w:themeColor="accent1"/>
        <w:bottom w:val="single" w:sz="8" w:space="0" w:color="C7C8CA" w:themeColor="accent1"/>
        <w:right w:val="single" w:sz="8" w:space="0" w:color="C7C8CA" w:themeColor="accent1"/>
        <w:insideH w:val="single" w:sz="8" w:space="0" w:color="C7C8CA" w:themeColor="accent1"/>
        <w:insideV w:val="single" w:sz="8" w:space="0" w:color="C7C8C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7C8CA" w:themeColor="accent1"/>
          <w:left w:val="single" w:sz="8" w:space="0" w:color="C7C8CA" w:themeColor="accent1"/>
          <w:bottom w:val="single" w:sz="18" w:space="0" w:color="C7C8CA" w:themeColor="accent1"/>
          <w:right w:val="single" w:sz="8" w:space="0" w:color="C7C8CA" w:themeColor="accent1"/>
          <w:insideH w:val="nil"/>
          <w:insideV w:val="single" w:sz="8" w:space="0" w:color="C7C8C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7C8CA" w:themeColor="accent1"/>
          <w:left w:val="single" w:sz="8" w:space="0" w:color="C7C8CA" w:themeColor="accent1"/>
          <w:bottom w:val="single" w:sz="8" w:space="0" w:color="C7C8CA" w:themeColor="accent1"/>
          <w:right w:val="single" w:sz="8" w:space="0" w:color="C7C8CA" w:themeColor="accent1"/>
          <w:insideH w:val="nil"/>
          <w:insideV w:val="single" w:sz="8" w:space="0" w:color="C7C8C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7C8CA" w:themeColor="accent1"/>
          <w:left w:val="single" w:sz="8" w:space="0" w:color="C7C8CA" w:themeColor="accent1"/>
          <w:bottom w:val="single" w:sz="8" w:space="0" w:color="C7C8CA" w:themeColor="accent1"/>
          <w:right w:val="single" w:sz="8" w:space="0" w:color="C7C8CA" w:themeColor="accent1"/>
        </w:tcBorders>
      </w:tcPr>
    </w:tblStylePr>
    <w:tblStylePr w:type="band1Vert">
      <w:tblPr/>
      <w:tcPr>
        <w:tcBorders>
          <w:top w:val="single" w:sz="8" w:space="0" w:color="C7C8CA" w:themeColor="accent1"/>
          <w:left w:val="single" w:sz="8" w:space="0" w:color="C7C8CA" w:themeColor="accent1"/>
          <w:bottom w:val="single" w:sz="8" w:space="0" w:color="C7C8CA" w:themeColor="accent1"/>
          <w:right w:val="single" w:sz="8" w:space="0" w:color="C7C8CA" w:themeColor="accent1"/>
        </w:tcBorders>
        <w:shd w:val="clear" w:color="auto" w:fill="F1F1F2" w:themeFill="accent1" w:themeFillTint="3F"/>
      </w:tcPr>
    </w:tblStylePr>
    <w:tblStylePr w:type="band1Horz">
      <w:tblPr/>
      <w:tcPr>
        <w:tcBorders>
          <w:top w:val="single" w:sz="8" w:space="0" w:color="C7C8CA" w:themeColor="accent1"/>
          <w:left w:val="single" w:sz="8" w:space="0" w:color="C7C8CA" w:themeColor="accent1"/>
          <w:bottom w:val="single" w:sz="8" w:space="0" w:color="C7C8CA" w:themeColor="accent1"/>
          <w:right w:val="single" w:sz="8" w:space="0" w:color="C7C8CA" w:themeColor="accent1"/>
          <w:insideV w:val="single" w:sz="8" w:space="0" w:color="C7C8CA" w:themeColor="accent1"/>
        </w:tcBorders>
        <w:shd w:val="clear" w:color="auto" w:fill="F1F1F2" w:themeFill="accent1" w:themeFillTint="3F"/>
      </w:tcPr>
    </w:tblStylePr>
    <w:tblStylePr w:type="band2Horz">
      <w:tblPr/>
      <w:tcPr>
        <w:tcBorders>
          <w:top w:val="single" w:sz="8" w:space="0" w:color="C7C8CA" w:themeColor="accent1"/>
          <w:left w:val="single" w:sz="8" w:space="0" w:color="C7C8CA" w:themeColor="accent1"/>
          <w:bottom w:val="single" w:sz="8" w:space="0" w:color="C7C8CA" w:themeColor="accent1"/>
          <w:right w:val="single" w:sz="8" w:space="0" w:color="C7C8CA" w:themeColor="accent1"/>
          <w:insideV w:val="single" w:sz="8" w:space="0" w:color="C7C8CA" w:themeColor="accent1"/>
        </w:tcBorders>
      </w:tcPr>
    </w:tblStylePr>
  </w:style>
  <w:style w:type="table" w:styleId="LightGrid-Accent2">
    <w:name w:val="Light Grid Accent 2"/>
    <w:basedOn w:val="TableNormal"/>
    <w:uiPriority w:val="62"/>
    <w:semiHidden/>
    <w:unhideWhenUsed/>
    <w:rsid w:val="00F527CC"/>
    <w:pPr>
      <w:spacing w:after="0" w:line="240" w:lineRule="auto"/>
    </w:pPr>
    <w:tblPr>
      <w:tblStyleRowBandSize w:val="1"/>
      <w:tblStyleColBandSize w:val="1"/>
      <w:tblBorders>
        <w:top w:val="single" w:sz="8" w:space="0" w:color="939598" w:themeColor="accent2"/>
        <w:left w:val="single" w:sz="8" w:space="0" w:color="939598" w:themeColor="accent2"/>
        <w:bottom w:val="single" w:sz="8" w:space="0" w:color="939598" w:themeColor="accent2"/>
        <w:right w:val="single" w:sz="8" w:space="0" w:color="939598" w:themeColor="accent2"/>
        <w:insideH w:val="single" w:sz="8" w:space="0" w:color="939598" w:themeColor="accent2"/>
        <w:insideV w:val="single" w:sz="8" w:space="0" w:color="93959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39598" w:themeColor="accent2"/>
          <w:left w:val="single" w:sz="8" w:space="0" w:color="939598" w:themeColor="accent2"/>
          <w:bottom w:val="single" w:sz="18" w:space="0" w:color="939598" w:themeColor="accent2"/>
          <w:right w:val="single" w:sz="8" w:space="0" w:color="939598" w:themeColor="accent2"/>
          <w:insideH w:val="nil"/>
          <w:insideV w:val="single" w:sz="8" w:space="0" w:color="93959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39598" w:themeColor="accent2"/>
          <w:left w:val="single" w:sz="8" w:space="0" w:color="939598" w:themeColor="accent2"/>
          <w:bottom w:val="single" w:sz="8" w:space="0" w:color="939598" w:themeColor="accent2"/>
          <w:right w:val="single" w:sz="8" w:space="0" w:color="939598" w:themeColor="accent2"/>
          <w:insideH w:val="nil"/>
          <w:insideV w:val="single" w:sz="8" w:space="0" w:color="93959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39598" w:themeColor="accent2"/>
          <w:left w:val="single" w:sz="8" w:space="0" w:color="939598" w:themeColor="accent2"/>
          <w:bottom w:val="single" w:sz="8" w:space="0" w:color="939598" w:themeColor="accent2"/>
          <w:right w:val="single" w:sz="8" w:space="0" w:color="939598" w:themeColor="accent2"/>
        </w:tcBorders>
      </w:tcPr>
    </w:tblStylePr>
    <w:tblStylePr w:type="band1Vert">
      <w:tblPr/>
      <w:tcPr>
        <w:tcBorders>
          <w:top w:val="single" w:sz="8" w:space="0" w:color="939598" w:themeColor="accent2"/>
          <w:left w:val="single" w:sz="8" w:space="0" w:color="939598" w:themeColor="accent2"/>
          <w:bottom w:val="single" w:sz="8" w:space="0" w:color="939598" w:themeColor="accent2"/>
          <w:right w:val="single" w:sz="8" w:space="0" w:color="939598" w:themeColor="accent2"/>
        </w:tcBorders>
        <w:shd w:val="clear" w:color="auto" w:fill="E4E4E5" w:themeFill="accent2" w:themeFillTint="3F"/>
      </w:tcPr>
    </w:tblStylePr>
    <w:tblStylePr w:type="band1Horz">
      <w:tblPr/>
      <w:tcPr>
        <w:tcBorders>
          <w:top w:val="single" w:sz="8" w:space="0" w:color="939598" w:themeColor="accent2"/>
          <w:left w:val="single" w:sz="8" w:space="0" w:color="939598" w:themeColor="accent2"/>
          <w:bottom w:val="single" w:sz="8" w:space="0" w:color="939598" w:themeColor="accent2"/>
          <w:right w:val="single" w:sz="8" w:space="0" w:color="939598" w:themeColor="accent2"/>
          <w:insideV w:val="single" w:sz="8" w:space="0" w:color="939598" w:themeColor="accent2"/>
        </w:tcBorders>
        <w:shd w:val="clear" w:color="auto" w:fill="E4E4E5" w:themeFill="accent2" w:themeFillTint="3F"/>
      </w:tcPr>
    </w:tblStylePr>
    <w:tblStylePr w:type="band2Horz">
      <w:tblPr/>
      <w:tcPr>
        <w:tcBorders>
          <w:top w:val="single" w:sz="8" w:space="0" w:color="939598" w:themeColor="accent2"/>
          <w:left w:val="single" w:sz="8" w:space="0" w:color="939598" w:themeColor="accent2"/>
          <w:bottom w:val="single" w:sz="8" w:space="0" w:color="939598" w:themeColor="accent2"/>
          <w:right w:val="single" w:sz="8" w:space="0" w:color="939598" w:themeColor="accent2"/>
          <w:insideV w:val="single" w:sz="8" w:space="0" w:color="939598" w:themeColor="accent2"/>
        </w:tcBorders>
      </w:tcPr>
    </w:tblStylePr>
  </w:style>
  <w:style w:type="table" w:styleId="LightGrid-Accent3">
    <w:name w:val="Light Grid Accent 3"/>
    <w:basedOn w:val="TableNormal"/>
    <w:uiPriority w:val="62"/>
    <w:semiHidden/>
    <w:unhideWhenUsed/>
    <w:rsid w:val="00F527CC"/>
    <w:pPr>
      <w:spacing w:after="0" w:line="240" w:lineRule="auto"/>
    </w:pPr>
    <w:tblPr>
      <w:tblStyleRowBandSize w:val="1"/>
      <w:tblStyleColBandSize w:val="1"/>
      <w:tblBorders>
        <w:top w:val="single" w:sz="8" w:space="0" w:color="636466" w:themeColor="accent3"/>
        <w:left w:val="single" w:sz="8" w:space="0" w:color="636466" w:themeColor="accent3"/>
        <w:bottom w:val="single" w:sz="8" w:space="0" w:color="636466" w:themeColor="accent3"/>
        <w:right w:val="single" w:sz="8" w:space="0" w:color="636466" w:themeColor="accent3"/>
        <w:insideH w:val="single" w:sz="8" w:space="0" w:color="636466" w:themeColor="accent3"/>
        <w:insideV w:val="single" w:sz="8" w:space="0" w:color="63646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36466" w:themeColor="accent3"/>
          <w:left w:val="single" w:sz="8" w:space="0" w:color="636466" w:themeColor="accent3"/>
          <w:bottom w:val="single" w:sz="18" w:space="0" w:color="636466" w:themeColor="accent3"/>
          <w:right w:val="single" w:sz="8" w:space="0" w:color="636466" w:themeColor="accent3"/>
          <w:insideH w:val="nil"/>
          <w:insideV w:val="single" w:sz="8" w:space="0" w:color="63646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36466" w:themeColor="accent3"/>
          <w:left w:val="single" w:sz="8" w:space="0" w:color="636466" w:themeColor="accent3"/>
          <w:bottom w:val="single" w:sz="8" w:space="0" w:color="636466" w:themeColor="accent3"/>
          <w:right w:val="single" w:sz="8" w:space="0" w:color="636466" w:themeColor="accent3"/>
          <w:insideH w:val="nil"/>
          <w:insideV w:val="single" w:sz="8" w:space="0" w:color="63646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36466" w:themeColor="accent3"/>
          <w:left w:val="single" w:sz="8" w:space="0" w:color="636466" w:themeColor="accent3"/>
          <w:bottom w:val="single" w:sz="8" w:space="0" w:color="636466" w:themeColor="accent3"/>
          <w:right w:val="single" w:sz="8" w:space="0" w:color="636466" w:themeColor="accent3"/>
        </w:tcBorders>
      </w:tcPr>
    </w:tblStylePr>
    <w:tblStylePr w:type="band1Vert">
      <w:tblPr/>
      <w:tcPr>
        <w:tcBorders>
          <w:top w:val="single" w:sz="8" w:space="0" w:color="636466" w:themeColor="accent3"/>
          <w:left w:val="single" w:sz="8" w:space="0" w:color="636466" w:themeColor="accent3"/>
          <w:bottom w:val="single" w:sz="8" w:space="0" w:color="636466" w:themeColor="accent3"/>
          <w:right w:val="single" w:sz="8" w:space="0" w:color="636466" w:themeColor="accent3"/>
        </w:tcBorders>
        <w:shd w:val="clear" w:color="auto" w:fill="D8D8D9" w:themeFill="accent3" w:themeFillTint="3F"/>
      </w:tcPr>
    </w:tblStylePr>
    <w:tblStylePr w:type="band1Horz">
      <w:tblPr/>
      <w:tcPr>
        <w:tcBorders>
          <w:top w:val="single" w:sz="8" w:space="0" w:color="636466" w:themeColor="accent3"/>
          <w:left w:val="single" w:sz="8" w:space="0" w:color="636466" w:themeColor="accent3"/>
          <w:bottom w:val="single" w:sz="8" w:space="0" w:color="636466" w:themeColor="accent3"/>
          <w:right w:val="single" w:sz="8" w:space="0" w:color="636466" w:themeColor="accent3"/>
          <w:insideV w:val="single" w:sz="8" w:space="0" w:color="636466" w:themeColor="accent3"/>
        </w:tcBorders>
        <w:shd w:val="clear" w:color="auto" w:fill="D8D8D9" w:themeFill="accent3" w:themeFillTint="3F"/>
      </w:tcPr>
    </w:tblStylePr>
    <w:tblStylePr w:type="band2Horz">
      <w:tblPr/>
      <w:tcPr>
        <w:tcBorders>
          <w:top w:val="single" w:sz="8" w:space="0" w:color="636466" w:themeColor="accent3"/>
          <w:left w:val="single" w:sz="8" w:space="0" w:color="636466" w:themeColor="accent3"/>
          <w:bottom w:val="single" w:sz="8" w:space="0" w:color="636466" w:themeColor="accent3"/>
          <w:right w:val="single" w:sz="8" w:space="0" w:color="636466" w:themeColor="accent3"/>
          <w:insideV w:val="single" w:sz="8" w:space="0" w:color="636466" w:themeColor="accent3"/>
        </w:tcBorders>
      </w:tcPr>
    </w:tblStylePr>
  </w:style>
  <w:style w:type="table" w:styleId="LightGrid-Accent4">
    <w:name w:val="Light Grid Accent 4"/>
    <w:basedOn w:val="TableNormal"/>
    <w:uiPriority w:val="62"/>
    <w:semiHidden/>
    <w:unhideWhenUsed/>
    <w:rsid w:val="00F527CC"/>
    <w:pPr>
      <w:spacing w:after="0" w:line="240" w:lineRule="auto"/>
    </w:pPr>
    <w:tblPr>
      <w:tblStyleRowBandSize w:val="1"/>
      <w:tblStyleColBandSize w:val="1"/>
      <w:tblBorders>
        <w:top w:val="single" w:sz="8" w:space="0" w:color="CD202C" w:themeColor="accent4"/>
        <w:left w:val="single" w:sz="8" w:space="0" w:color="CD202C" w:themeColor="accent4"/>
        <w:bottom w:val="single" w:sz="8" w:space="0" w:color="CD202C" w:themeColor="accent4"/>
        <w:right w:val="single" w:sz="8" w:space="0" w:color="CD202C" w:themeColor="accent4"/>
        <w:insideH w:val="single" w:sz="8" w:space="0" w:color="CD202C" w:themeColor="accent4"/>
        <w:insideV w:val="single" w:sz="8" w:space="0" w:color="CD20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202C" w:themeColor="accent4"/>
          <w:left w:val="single" w:sz="8" w:space="0" w:color="CD202C" w:themeColor="accent4"/>
          <w:bottom w:val="single" w:sz="18" w:space="0" w:color="CD202C" w:themeColor="accent4"/>
          <w:right w:val="single" w:sz="8" w:space="0" w:color="CD202C" w:themeColor="accent4"/>
          <w:insideH w:val="nil"/>
          <w:insideV w:val="single" w:sz="8" w:space="0" w:color="CD20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202C" w:themeColor="accent4"/>
          <w:left w:val="single" w:sz="8" w:space="0" w:color="CD202C" w:themeColor="accent4"/>
          <w:bottom w:val="single" w:sz="8" w:space="0" w:color="CD202C" w:themeColor="accent4"/>
          <w:right w:val="single" w:sz="8" w:space="0" w:color="CD202C" w:themeColor="accent4"/>
          <w:insideH w:val="nil"/>
          <w:insideV w:val="single" w:sz="8" w:space="0" w:color="CD20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202C" w:themeColor="accent4"/>
          <w:left w:val="single" w:sz="8" w:space="0" w:color="CD202C" w:themeColor="accent4"/>
          <w:bottom w:val="single" w:sz="8" w:space="0" w:color="CD202C" w:themeColor="accent4"/>
          <w:right w:val="single" w:sz="8" w:space="0" w:color="CD202C" w:themeColor="accent4"/>
        </w:tcBorders>
      </w:tcPr>
    </w:tblStylePr>
    <w:tblStylePr w:type="band1Vert">
      <w:tblPr/>
      <w:tcPr>
        <w:tcBorders>
          <w:top w:val="single" w:sz="8" w:space="0" w:color="CD202C" w:themeColor="accent4"/>
          <w:left w:val="single" w:sz="8" w:space="0" w:color="CD202C" w:themeColor="accent4"/>
          <w:bottom w:val="single" w:sz="8" w:space="0" w:color="CD202C" w:themeColor="accent4"/>
          <w:right w:val="single" w:sz="8" w:space="0" w:color="CD202C" w:themeColor="accent4"/>
        </w:tcBorders>
        <w:shd w:val="clear" w:color="auto" w:fill="F6C4C7" w:themeFill="accent4" w:themeFillTint="3F"/>
      </w:tcPr>
    </w:tblStylePr>
    <w:tblStylePr w:type="band1Horz">
      <w:tblPr/>
      <w:tcPr>
        <w:tcBorders>
          <w:top w:val="single" w:sz="8" w:space="0" w:color="CD202C" w:themeColor="accent4"/>
          <w:left w:val="single" w:sz="8" w:space="0" w:color="CD202C" w:themeColor="accent4"/>
          <w:bottom w:val="single" w:sz="8" w:space="0" w:color="CD202C" w:themeColor="accent4"/>
          <w:right w:val="single" w:sz="8" w:space="0" w:color="CD202C" w:themeColor="accent4"/>
          <w:insideV w:val="single" w:sz="8" w:space="0" w:color="CD202C" w:themeColor="accent4"/>
        </w:tcBorders>
        <w:shd w:val="clear" w:color="auto" w:fill="F6C4C7" w:themeFill="accent4" w:themeFillTint="3F"/>
      </w:tcPr>
    </w:tblStylePr>
    <w:tblStylePr w:type="band2Horz">
      <w:tblPr/>
      <w:tcPr>
        <w:tcBorders>
          <w:top w:val="single" w:sz="8" w:space="0" w:color="CD202C" w:themeColor="accent4"/>
          <w:left w:val="single" w:sz="8" w:space="0" w:color="CD202C" w:themeColor="accent4"/>
          <w:bottom w:val="single" w:sz="8" w:space="0" w:color="CD202C" w:themeColor="accent4"/>
          <w:right w:val="single" w:sz="8" w:space="0" w:color="CD202C" w:themeColor="accent4"/>
          <w:insideV w:val="single" w:sz="8" w:space="0" w:color="CD202C" w:themeColor="accent4"/>
        </w:tcBorders>
      </w:tcPr>
    </w:tblStylePr>
  </w:style>
  <w:style w:type="table" w:styleId="LightGrid-Accent5">
    <w:name w:val="Light Grid Accent 5"/>
    <w:basedOn w:val="TableNormal"/>
    <w:uiPriority w:val="62"/>
    <w:semiHidden/>
    <w:unhideWhenUsed/>
    <w:rsid w:val="00F527CC"/>
    <w:pPr>
      <w:spacing w:after="0" w:line="240" w:lineRule="auto"/>
    </w:pPr>
    <w:tblPr>
      <w:tblStyleRowBandSize w:val="1"/>
      <w:tblStyleColBandSize w:val="1"/>
      <w:tblBorders>
        <w:top w:val="single" w:sz="8" w:space="0" w:color="0055AA" w:themeColor="accent5"/>
        <w:left w:val="single" w:sz="8" w:space="0" w:color="0055AA" w:themeColor="accent5"/>
        <w:bottom w:val="single" w:sz="8" w:space="0" w:color="0055AA" w:themeColor="accent5"/>
        <w:right w:val="single" w:sz="8" w:space="0" w:color="0055AA" w:themeColor="accent5"/>
        <w:insideH w:val="single" w:sz="8" w:space="0" w:color="0055AA" w:themeColor="accent5"/>
        <w:insideV w:val="single" w:sz="8" w:space="0" w:color="0055A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AA" w:themeColor="accent5"/>
          <w:left w:val="single" w:sz="8" w:space="0" w:color="0055AA" w:themeColor="accent5"/>
          <w:bottom w:val="single" w:sz="18" w:space="0" w:color="0055AA" w:themeColor="accent5"/>
          <w:right w:val="single" w:sz="8" w:space="0" w:color="0055AA" w:themeColor="accent5"/>
          <w:insideH w:val="nil"/>
          <w:insideV w:val="single" w:sz="8" w:space="0" w:color="0055A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AA" w:themeColor="accent5"/>
          <w:left w:val="single" w:sz="8" w:space="0" w:color="0055AA" w:themeColor="accent5"/>
          <w:bottom w:val="single" w:sz="8" w:space="0" w:color="0055AA" w:themeColor="accent5"/>
          <w:right w:val="single" w:sz="8" w:space="0" w:color="0055AA" w:themeColor="accent5"/>
          <w:insideH w:val="nil"/>
          <w:insideV w:val="single" w:sz="8" w:space="0" w:color="0055A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AA" w:themeColor="accent5"/>
          <w:left w:val="single" w:sz="8" w:space="0" w:color="0055AA" w:themeColor="accent5"/>
          <w:bottom w:val="single" w:sz="8" w:space="0" w:color="0055AA" w:themeColor="accent5"/>
          <w:right w:val="single" w:sz="8" w:space="0" w:color="0055AA" w:themeColor="accent5"/>
        </w:tcBorders>
      </w:tcPr>
    </w:tblStylePr>
    <w:tblStylePr w:type="band1Vert">
      <w:tblPr/>
      <w:tcPr>
        <w:tcBorders>
          <w:top w:val="single" w:sz="8" w:space="0" w:color="0055AA" w:themeColor="accent5"/>
          <w:left w:val="single" w:sz="8" w:space="0" w:color="0055AA" w:themeColor="accent5"/>
          <w:bottom w:val="single" w:sz="8" w:space="0" w:color="0055AA" w:themeColor="accent5"/>
          <w:right w:val="single" w:sz="8" w:space="0" w:color="0055AA" w:themeColor="accent5"/>
        </w:tcBorders>
        <w:shd w:val="clear" w:color="auto" w:fill="ABD4FF" w:themeFill="accent5" w:themeFillTint="3F"/>
      </w:tcPr>
    </w:tblStylePr>
    <w:tblStylePr w:type="band1Horz">
      <w:tblPr/>
      <w:tcPr>
        <w:tcBorders>
          <w:top w:val="single" w:sz="8" w:space="0" w:color="0055AA" w:themeColor="accent5"/>
          <w:left w:val="single" w:sz="8" w:space="0" w:color="0055AA" w:themeColor="accent5"/>
          <w:bottom w:val="single" w:sz="8" w:space="0" w:color="0055AA" w:themeColor="accent5"/>
          <w:right w:val="single" w:sz="8" w:space="0" w:color="0055AA" w:themeColor="accent5"/>
          <w:insideV w:val="single" w:sz="8" w:space="0" w:color="0055AA" w:themeColor="accent5"/>
        </w:tcBorders>
        <w:shd w:val="clear" w:color="auto" w:fill="ABD4FF" w:themeFill="accent5" w:themeFillTint="3F"/>
      </w:tcPr>
    </w:tblStylePr>
    <w:tblStylePr w:type="band2Horz">
      <w:tblPr/>
      <w:tcPr>
        <w:tcBorders>
          <w:top w:val="single" w:sz="8" w:space="0" w:color="0055AA" w:themeColor="accent5"/>
          <w:left w:val="single" w:sz="8" w:space="0" w:color="0055AA" w:themeColor="accent5"/>
          <w:bottom w:val="single" w:sz="8" w:space="0" w:color="0055AA" w:themeColor="accent5"/>
          <w:right w:val="single" w:sz="8" w:space="0" w:color="0055AA" w:themeColor="accent5"/>
          <w:insideV w:val="single" w:sz="8" w:space="0" w:color="0055AA" w:themeColor="accent5"/>
        </w:tcBorders>
      </w:tcPr>
    </w:tblStylePr>
  </w:style>
  <w:style w:type="table" w:styleId="LightGrid-Accent6">
    <w:name w:val="Light Grid Accent 6"/>
    <w:basedOn w:val="TableNormal"/>
    <w:uiPriority w:val="62"/>
    <w:semiHidden/>
    <w:unhideWhenUsed/>
    <w:rsid w:val="00F527CC"/>
    <w:pPr>
      <w:spacing w:after="0" w:line="240" w:lineRule="auto"/>
    </w:pPr>
    <w:tblPr>
      <w:tblStyleRowBandSize w:val="1"/>
      <w:tblStyleColBandSize w:val="1"/>
      <w:tblBorders>
        <w:top w:val="single" w:sz="8" w:space="0" w:color="FFAA22" w:themeColor="accent6"/>
        <w:left w:val="single" w:sz="8" w:space="0" w:color="FFAA22" w:themeColor="accent6"/>
        <w:bottom w:val="single" w:sz="8" w:space="0" w:color="FFAA22" w:themeColor="accent6"/>
        <w:right w:val="single" w:sz="8" w:space="0" w:color="FFAA22" w:themeColor="accent6"/>
        <w:insideH w:val="single" w:sz="8" w:space="0" w:color="FFAA22" w:themeColor="accent6"/>
        <w:insideV w:val="single" w:sz="8" w:space="0" w:color="FFAA2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AA22" w:themeColor="accent6"/>
          <w:left w:val="single" w:sz="8" w:space="0" w:color="FFAA22" w:themeColor="accent6"/>
          <w:bottom w:val="single" w:sz="18" w:space="0" w:color="FFAA22" w:themeColor="accent6"/>
          <w:right w:val="single" w:sz="8" w:space="0" w:color="FFAA22" w:themeColor="accent6"/>
          <w:insideH w:val="nil"/>
          <w:insideV w:val="single" w:sz="8" w:space="0" w:color="FFAA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AA22" w:themeColor="accent6"/>
          <w:left w:val="single" w:sz="8" w:space="0" w:color="FFAA22" w:themeColor="accent6"/>
          <w:bottom w:val="single" w:sz="8" w:space="0" w:color="FFAA22" w:themeColor="accent6"/>
          <w:right w:val="single" w:sz="8" w:space="0" w:color="FFAA22" w:themeColor="accent6"/>
          <w:insideH w:val="nil"/>
          <w:insideV w:val="single" w:sz="8" w:space="0" w:color="FFAA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AA22" w:themeColor="accent6"/>
          <w:left w:val="single" w:sz="8" w:space="0" w:color="FFAA22" w:themeColor="accent6"/>
          <w:bottom w:val="single" w:sz="8" w:space="0" w:color="FFAA22" w:themeColor="accent6"/>
          <w:right w:val="single" w:sz="8" w:space="0" w:color="FFAA22" w:themeColor="accent6"/>
        </w:tcBorders>
      </w:tcPr>
    </w:tblStylePr>
    <w:tblStylePr w:type="band1Vert">
      <w:tblPr/>
      <w:tcPr>
        <w:tcBorders>
          <w:top w:val="single" w:sz="8" w:space="0" w:color="FFAA22" w:themeColor="accent6"/>
          <w:left w:val="single" w:sz="8" w:space="0" w:color="FFAA22" w:themeColor="accent6"/>
          <w:bottom w:val="single" w:sz="8" w:space="0" w:color="FFAA22" w:themeColor="accent6"/>
          <w:right w:val="single" w:sz="8" w:space="0" w:color="FFAA22" w:themeColor="accent6"/>
        </w:tcBorders>
        <w:shd w:val="clear" w:color="auto" w:fill="FFE9C8" w:themeFill="accent6" w:themeFillTint="3F"/>
      </w:tcPr>
    </w:tblStylePr>
    <w:tblStylePr w:type="band1Horz">
      <w:tblPr/>
      <w:tcPr>
        <w:tcBorders>
          <w:top w:val="single" w:sz="8" w:space="0" w:color="FFAA22" w:themeColor="accent6"/>
          <w:left w:val="single" w:sz="8" w:space="0" w:color="FFAA22" w:themeColor="accent6"/>
          <w:bottom w:val="single" w:sz="8" w:space="0" w:color="FFAA22" w:themeColor="accent6"/>
          <w:right w:val="single" w:sz="8" w:space="0" w:color="FFAA22" w:themeColor="accent6"/>
          <w:insideV w:val="single" w:sz="8" w:space="0" w:color="FFAA22" w:themeColor="accent6"/>
        </w:tcBorders>
        <w:shd w:val="clear" w:color="auto" w:fill="FFE9C8" w:themeFill="accent6" w:themeFillTint="3F"/>
      </w:tcPr>
    </w:tblStylePr>
    <w:tblStylePr w:type="band2Horz">
      <w:tblPr/>
      <w:tcPr>
        <w:tcBorders>
          <w:top w:val="single" w:sz="8" w:space="0" w:color="FFAA22" w:themeColor="accent6"/>
          <w:left w:val="single" w:sz="8" w:space="0" w:color="FFAA22" w:themeColor="accent6"/>
          <w:bottom w:val="single" w:sz="8" w:space="0" w:color="FFAA22" w:themeColor="accent6"/>
          <w:right w:val="single" w:sz="8" w:space="0" w:color="FFAA22" w:themeColor="accent6"/>
          <w:insideV w:val="single" w:sz="8" w:space="0" w:color="FFAA22" w:themeColor="accent6"/>
        </w:tcBorders>
      </w:tcPr>
    </w:tblStylePr>
  </w:style>
  <w:style w:type="table" w:styleId="LightList">
    <w:name w:val="Light List"/>
    <w:basedOn w:val="TableNormal"/>
    <w:uiPriority w:val="61"/>
    <w:semiHidden/>
    <w:unhideWhenUsed/>
    <w:rsid w:val="00F527CC"/>
    <w:pPr>
      <w:spacing w:after="0" w:line="240" w:lineRule="auto"/>
    </w:pPr>
    <w:tblPr>
      <w:tblStyleRowBandSize w:val="1"/>
      <w:tblStyleColBandSize w:val="1"/>
      <w:tblBorders>
        <w:top w:val="single" w:sz="8" w:space="0" w:color="404040" w:themeColor="text1"/>
        <w:left w:val="single" w:sz="8" w:space="0" w:color="404040" w:themeColor="text1"/>
        <w:bottom w:val="single" w:sz="8" w:space="0" w:color="404040" w:themeColor="text1"/>
        <w:right w:val="single" w:sz="8" w:space="0" w:color="404040" w:themeColor="text1"/>
      </w:tblBorders>
    </w:tblPr>
    <w:tblStylePr w:type="firstRow">
      <w:pPr>
        <w:spacing w:before="0" w:after="0" w:line="240" w:lineRule="auto"/>
      </w:pPr>
      <w:rPr>
        <w:b/>
        <w:bCs/>
        <w:color w:val="FFFFFF" w:themeColor="background1"/>
      </w:rPr>
      <w:tblPr/>
      <w:tcPr>
        <w:shd w:val="clear" w:color="auto" w:fill="404040" w:themeFill="text1"/>
      </w:tcPr>
    </w:tblStylePr>
    <w:tblStylePr w:type="lastRow">
      <w:pPr>
        <w:spacing w:before="0" w:after="0" w:line="240" w:lineRule="auto"/>
      </w:pPr>
      <w:rPr>
        <w:b/>
        <w:bCs/>
      </w:rPr>
      <w:tblPr/>
      <w:tcPr>
        <w:tcBorders>
          <w:top w:val="double" w:sz="6" w:space="0" w:color="404040" w:themeColor="text1"/>
          <w:left w:val="single" w:sz="8" w:space="0" w:color="404040" w:themeColor="text1"/>
          <w:bottom w:val="single" w:sz="8" w:space="0" w:color="404040" w:themeColor="text1"/>
          <w:right w:val="single" w:sz="8" w:space="0" w:color="404040" w:themeColor="text1"/>
        </w:tcBorders>
      </w:tcPr>
    </w:tblStylePr>
    <w:tblStylePr w:type="firstCol">
      <w:rPr>
        <w:b/>
        <w:bCs/>
      </w:rPr>
    </w:tblStylePr>
    <w:tblStylePr w:type="lastCol">
      <w:rPr>
        <w:b/>
        <w:bCs/>
      </w:rPr>
    </w:tblStylePr>
    <w:tblStylePr w:type="band1Vert">
      <w:tblPr/>
      <w:tcPr>
        <w:tcBorders>
          <w:top w:val="single" w:sz="8" w:space="0" w:color="404040" w:themeColor="text1"/>
          <w:left w:val="single" w:sz="8" w:space="0" w:color="404040" w:themeColor="text1"/>
          <w:bottom w:val="single" w:sz="8" w:space="0" w:color="404040" w:themeColor="text1"/>
          <w:right w:val="single" w:sz="8" w:space="0" w:color="404040" w:themeColor="text1"/>
        </w:tcBorders>
      </w:tcPr>
    </w:tblStylePr>
    <w:tblStylePr w:type="band1Horz">
      <w:tblPr/>
      <w:tcPr>
        <w:tcBorders>
          <w:top w:val="single" w:sz="8" w:space="0" w:color="404040" w:themeColor="text1"/>
          <w:left w:val="single" w:sz="8" w:space="0" w:color="404040" w:themeColor="text1"/>
          <w:bottom w:val="single" w:sz="8" w:space="0" w:color="404040" w:themeColor="text1"/>
          <w:right w:val="single" w:sz="8" w:space="0" w:color="404040" w:themeColor="text1"/>
        </w:tcBorders>
      </w:tcPr>
    </w:tblStylePr>
  </w:style>
  <w:style w:type="table" w:styleId="LightList-Accent1">
    <w:name w:val="Light List Accent 1"/>
    <w:basedOn w:val="TableNormal"/>
    <w:uiPriority w:val="61"/>
    <w:semiHidden/>
    <w:unhideWhenUsed/>
    <w:rsid w:val="00F527CC"/>
    <w:pPr>
      <w:spacing w:after="0" w:line="240" w:lineRule="auto"/>
    </w:pPr>
    <w:tblPr>
      <w:tblStyleRowBandSize w:val="1"/>
      <w:tblStyleColBandSize w:val="1"/>
      <w:tblBorders>
        <w:top w:val="single" w:sz="8" w:space="0" w:color="C7C8CA" w:themeColor="accent1"/>
        <w:left w:val="single" w:sz="8" w:space="0" w:color="C7C8CA" w:themeColor="accent1"/>
        <w:bottom w:val="single" w:sz="8" w:space="0" w:color="C7C8CA" w:themeColor="accent1"/>
        <w:right w:val="single" w:sz="8" w:space="0" w:color="C7C8CA" w:themeColor="accent1"/>
      </w:tblBorders>
    </w:tblPr>
    <w:tblStylePr w:type="firstRow">
      <w:pPr>
        <w:spacing w:before="0" w:after="0" w:line="240" w:lineRule="auto"/>
      </w:pPr>
      <w:rPr>
        <w:b/>
        <w:bCs/>
        <w:color w:val="FFFFFF" w:themeColor="background1"/>
      </w:rPr>
      <w:tblPr/>
      <w:tcPr>
        <w:shd w:val="clear" w:color="auto" w:fill="C7C8CA" w:themeFill="accent1"/>
      </w:tcPr>
    </w:tblStylePr>
    <w:tblStylePr w:type="lastRow">
      <w:pPr>
        <w:spacing w:before="0" w:after="0" w:line="240" w:lineRule="auto"/>
      </w:pPr>
      <w:rPr>
        <w:b/>
        <w:bCs/>
      </w:rPr>
      <w:tblPr/>
      <w:tcPr>
        <w:tcBorders>
          <w:top w:val="double" w:sz="6" w:space="0" w:color="C7C8CA" w:themeColor="accent1"/>
          <w:left w:val="single" w:sz="8" w:space="0" w:color="C7C8CA" w:themeColor="accent1"/>
          <w:bottom w:val="single" w:sz="8" w:space="0" w:color="C7C8CA" w:themeColor="accent1"/>
          <w:right w:val="single" w:sz="8" w:space="0" w:color="C7C8CA" w:themeColor="accent1"/>
        </w:tcBorders>
      </w:tcPr>
    </w:tblStylePr>
    <w:tblStylePr w:type="firstCol">
      <w:rPr>
        <w:b/>
        <w:bCs/>
      </w:rPr>
    </w:tblStylePr>
    <w:tblStylePr w:type="lastCol">
      <w:rPr>
        <w:b/>
        <w:bCs/>
      </w:rPr>
    </w:tblStylePr>
    <w:tblStylePr w:type="band1Vert">
      <w:tblPr/>
      <w:tcPr>
        <w:tcBorders>
          <w:top w:val="single" w:sz="8" w:space="0" w:color="C7C8CA" w:themeColor="accent1"/>
          <w:left w:val="single" w:sz="8" w:space="0" w:color="C7C8CA" w:themeColor="accent1"/>
          <w:bottom w:val="single" w:sz="8" w:space="0" w:color="C7C8CA" w:themeColor="accent1"/>
          <w:right w:val="single" w:sz="8" w:space="0" w:color="C7C8CA" w:themeColor="accent1"/>
        </w:tcBorders>
      </w:tcPr>
    </w:tblStylePr>
    <w:tblStylePr w:type="band1Horz">
      <w:tblPr/>
      <w:tcPr>
        <w:tcBorders>
          <w:top w:val="single" w:sz="8" w:space="0" w:color="C7C8CA" w:themeColor="accent1"/>
          <w:left w:val="single" w:sz="8" w:space="0" w:color="C7C8CA" w:themeColor="accent1"/>
          <w:bottom w:val="single" w:sz="8" w:space="0" w:color="C7C8CA" w:themeColor="accent1"/>
          <w:right w:val="single" w:sz="8" w:space="0" w:color="C7C8CA" w:themeColor="accent1"/>
        </w:tcBorders>
      </w:tcPr>
    </w:tblStylePr>
  </w:style>
  <w:style w:type="table" w:styleId="LightList-Accent2">
    <w:name w:val="Light List Accent 2"/>
    <w:basedOn w:val="TableNormal"/>
    <w:uiPriority w:val="61"/>
    <w:semiHidden/>
    <w:unhideWhenUsed/>
    <w:rsid w:val="00F527CC"/>
    <w:pPr>
      <w:spacing w:after="0" w:line="240" w:lineRule="auto"/>
    </w:pPr>
    <w:tblPr>
      <w:tblStyleRowBandSize w:val="1"/>
      <w:tblStyleColBandSize w:val="1"/>
      <w:tblBorders>
        <w:top w:val="single" w:sz="8" w:space="0" w:color="939598" w:themeColor="accent2"/>
        <w:left w:val="single" w:sz="8" w:space="0" w:color="939598" w:themeColor="accent2"/>
        <w:bottom w:val="single" w:sz="8" w:space="0" w:color="939598" w:themeColor="accent2"/>
        <w:right w:val="single" w:sz="8" w:space="0" w:color="939598" w:themeColor="accent2"/>
      </w:tblBorders>
    </w:tblPr>
    <w:tblStylePr w:type="firstRow">
      <w:pPr>
        <w:spacing w:before="0" w:after="0" w:line="240" w:lineRule="auto"/>
      </w:pPr>
      <w:rPr>
        <w:b/>
        <w:bCs/>
        <w:color w:val="FFFFFF" w:themeColor="background1"/>
      </w:rPr>
      <w:tblPr/>
      <w:tcPr>
        <w:shd w:val="clear" w:color="auto" w:fill="939598" w:themeFill="accent2"/>
      </w:tcPr>
    </w:tblStylePr>
    <w:tblStylePr w:type="lastRow">
      <w:pPr>
        <w:spacing w:before="0" w:after="0" w:line="240" w:lineRule="auto"/>
      </w:pPr>
      <w:rPr>
        <w:b/>
        <w:bCs/>
      </w:rPr>
      <w:tblPr/>
      <w:tcPr>
        <w:tcBorders>
          <w:top w:val="double" w:sz="6" w:space="0" w:color="939598" w:themeColor="accent2"/>
          <w:left w:val="single" w:sz="8" w:space="0" w:color="939598" w:themeColor="accent2"/>
          <w:bottom w:val="single" w:sz="8" w:space="0" w:color="939598" w:themeColor="accent2"/>
          <w:right w:val="single" w:sz="8" w:space="0" w:color="939598" w:themeColor="accent2"/>
        </w:tcBorders>
      </w:tcPr>
    </w:tblStylePr>
    <w:tblStylePr w:type="firstCol">
      <w:rPr>
        <w:b/>
        <w:bCs/>
      </w:rPr>
    </w:tblStylePr>
    <w:tblStylePr w:type="lastCol">
      <w:rPr>
        <w:b/>
        <w:bCs/>
      </w:rPr>
    </w:tblStylePr>
    <w:tblStylePr w:type="band1Vert">
      <w:tblPr/>
      <w:tcPr>
        <w:tcBorders>
          <w:top w:val="single" w:sz="8" w:space="0" w:color="939598" w:themeColor="accent2"/>
          <w:left w:val="single" w:sz="8" w:space="0" w:color="939598" w:themeColor="accent2"/>
          <w:bottom w:val="single" w:sz="8" w:space="0" w:color="939598" w:themeColor="accent2"/>
          <w:right w:val="single" w:sz="8" w:space="0" w:color="939598" w:themeColor="accent2"/>
        </w:tcBorders>
      </w:tcPr>
    </w:tblStylePr>
    <w:tblStylePr w:type="band1Horz">
      <w:tblPr/>
      <w:tcPr>
        <w:tcBorders>
          <w:top w:val="single" w:sz="8" w:space="0" w:color="939598" w:themeColor="accent2"/>
          <w:left w:val="single" w:sz="8" w:space="0" w:color="939598" w:themeColor="accent2"/>
          <w:bottom w:val="single" w:sz="8" w:space="0" w:color="939598" w:themeColor="accent2"/>
          <w:right w:val="single" w:sz="8" w:space="0" w:color="939598" w:themeColor="accent2"/>
        </w:tcBorders>
      </w:tcPr>
    </w:tblStylePr>
  </w:style>
  <w:style w:type="table" w:styleId="LightList-Accent3">
    <w:name w:val="Light List Accent 3"/>
    <w:basedOn w:val="TableNormal"/>
    <w:uiPriority w:val="61"/>
    <w:semiHidden/>
    <w:unhideWhenUsed/>
    <w:rsid w:val="00F527CC"/>
    <w:pPr>
      <w:spacing w:after="0" w:line="240" w:lineRule="auto"/>
    </w:pPr>
    <w:tblPr>
      <w:tblStyleRowBandSize w:val="1"/>
      <w:tblStyleColBandSize w:val="1"/>
      <w:tblBorders>
        <w:top w:val="single" w:sz="8" w:space="0" w:color="636466" w:themeColor="accent3"/>
        <w:left w:val="single" w:sz="8" w:space="0" w:color="636466" w:themeColor="accent3"/>
        <w:bottom w:val="single" w:sz="8" w:space="0" w:color="636466" w:themeColor="accent3"/>
        <w:right w:val="single" w:sz="8" w:space="0" w:color="636466" w:themeColor="accent3"/>
      </w:tblBorders>
    </w:tblPr>
    <w:tblStylePr w:type="firstRow">
      <w:pPr>
        <w:spacing w:before="0" w:after="0" w:line="240" w:lineRule="auto"/>
      </w:pPr>
      <w:rPr>
        <w:b/>
        <w:bCs/>
        <w:color w:val="FFFFFF" w:themeColor="background1"/>
      </w:rPr>
      <w:tblPr/>
      <w:tcPr>
        <w:shd w:val="clear" w:color="auto" w:fill="636466" w:themeFill="accent3"/>
      </w:tcPr>
    </w:tblStylePr>
    <w:tblStylePr w:type="lastRow">
      <w:pPr>
        <w:spacing w:before="0" w:after="0" w:line="240" w:lineRule="auto"/>
      </w:pPr>
      <w:rPr>
        <w:b/>
        <w:bCs/>
      </w:rPr>
      <w:tblPr/>
      <w:tcPr>
        <w:tcBorders>
          <w:top w:val="double" w:sz="6" w:space="0" w:color="636466" w:themeColor="accent3"/>
          <w:left w:val="single" w:sz="8" w:space="0" w:color="636466" w:themeColor="accent3"/>
          <w:bottom w:val="single" w:sz="8" w:space="0" w:color="636466" w:themeColor="accent3"/>
          <w:right w:val="single" w:sz="8" w:space="0" w:color="636466" w:themeColor="accent3"/>
        </w:tcBorders>
      </w:tcPr>
    </w:tblStylePr>
    <w:tblStylePr w:type="firstCol">
      <w:rPr>
        <w:b/>
        <w:bCs/>
      </w:rPr>
    </w:tblStylePr>
    <w:tblStylePr w:type="lastCol">
      <w:rPr>
        <w:b/>
        <w:bCs/>
      </w:rPr>
    </w:tblStylePr>
    <w:tblStylePr w:type="band1Vert">
      <w:tblPr/>
      <w:tcPr>
        <w:tcBorders>
          <w:top w:val="single" w:sz="8" w:space="0" w:color="636466" w:themeColor="accent3"/>
          <w:left w:val="single" w:sz="8" w:space="0" w:color="636466" w:themeColor="accent3"/>
          <w:bottom w:val="single" w:sz="8" w:space="0" w:color="636466" w:themeColor="accent3"/>
          <w:right w:val="single" w:sz="8" w:space="0" w:color="636466" w:themeColor="accent3"/>
        </w:tcBorders>
      </w:tcPr>
    </w:tblStylePr>
    <w:tblStylePr w:type="band1Horz">
      <w:tblPr/>
      <w:tcPr>
        <w:tcBorders>
          <w:top w:val="single" w:sz="8" w:space="0" w:color="636466" w:themeColor="accent3"/>
          <w:left w:val="single" w:sz="8" w:space="0" w:color="636466" w:themeColor="accent3"/>
          <w:bottom w:val="single" w:sz="8" w:space="0" w:color="636466" w:themeColor="accent3"/>
          <w:right w:val="single" w:sz="8" w:space="0" w:color="636466" w:themeColor="accent3"/>
        </w:tcBorders>
      </w:tcPr>
    </w:tblStylePr>
  </w:style>
  <w:style w:type="table" w:styleId="LightList-Accent4">
    <w:name w:val="Light List Accent 4"/>
    <w:basedOn w:val="TableNormal"/>
    <w:uiPriority w:val="61"/>
    <w:semiHidden/>
    <w:unhideWhenUsed/>
    <w:rsid w:val="00F527CC"/>
    <w:pPr>
      <w:spacing w:after="0" w:line="240" w:lineRule="auto"/>
    </w:pPr>
    <w:tblPr>
      <w:tblStyleRowBandSize w:val="1"/>
      <w:tblStyleColBandSize w:val="1"/>
      <w:tblBorders>
        <w:top w:val="single" w:sz="8" w:space="0" w:color="CD202C" w:themeColor="accent4"/>
        <w:left w:val="single" w:sz="8" w:space="0" w:color="CD202C" w:themeColor="accent4"/>
        <w:bottom w:val="single" w:sz="8" w:space="0" w:color="CD202C" w:themeColor="accent4"/>
        <w:right w:val="single" w:sz="8" w:space="0" w:color="CD202C" w:themeColor="accent4"/>
      </w:tblBorders>
    </w:tblPr>
    <w:tblStylePr w:type="firstRow">
      <w:pPr>
        <w:spacing w:before="0" w:after="0" w:line="240" w:lineRule="auto"/>
      </w:pPr>
      <w:rPr>
        <w:b/>
        <w:bCs/>
        <w:color w:val="FFFFFF" w:themeColor="background1"/>
      </w:rPr>
      <w:tblPr/>
      <w:tcPr>
        <w:shd w:val="clear" w:color="auto" w:fill="CD202C" w:themeFill="accent4"/>
      </w:tcPr>
    </w:tblStylePr>
    <w:tblStylePr w:type="lastRow">
      <w:pPr>
        <w:spacing w:before="0" w:after="0" w:line="240" w:lineRule="auto"/>
      </w:pPr>
      <w:rPr>
        <w:b/>
        <w:bCs/>
      </w:rPr>
      <w:tblPr/>
      <w:tcPr>
        <w:tcBorders>
          <w:top w:val="double" w:sz="6" w:space="0" w:color="CD202C" w:themeColor="accent4"/>
          <w:left w:val="single" w:sz="8" w:space="0" w:color="CD202C" w:themeColor="accent4"/>
          <w:bottom w:val="single" w:sz="8" w:space="0" w:color="CD202C" w:themeColor="accent4"/>
          <w:right w:val="single" w:sz="8" w:space="0" w:color="CD202C" w:themeColor="accent4"/>
        </w:tcBorders>
      </w:tcPr>
    </w:tblStylePr>
    <w:tblStylePr w:type="firstCol">
      <w:rPr>
        <w:b/>
        <w:bCs/>
      </w:rPr>
    </w:tblStylePr>
    <w:tblStylePr w:type="lastCol">
      <w:rPr>
        <w:b/>
        <w:bCs/>
      </w:rPr>
    </w:tblStylePr>
    <w:tblStylePr w:type="band1Vert">
      <w:tblPr/>
      <w:tcPr>
        <w:tcBorders>
          <w:top w:val="single" w:sz="8" w:space="0" w:color="CD202C" w:themeColor="accent4"/>
          <w:left w:val="single" w:sz="8" w:space="0" w:color="CD202C" w:themeColor="accent4"/>
          <w:bottom w:val="single" w:sz="8" w:space="0" w:color="CD202C" w:themeColor="accent4"/>
          <w:right w:val="single" w:sz="8" w:space="0" w:color="CD202C" w:themeColor="accent4"/>
        </w:tcBorders>
      </w:tcPr>
    </w:tblStylePr>
    <w:tblStylePr w:type="band1Horz">
      <w:tblPr/>
      <w:tcPr>
        <w:tcBorders>
          <w:top w:val="single" w:sz="8" w:space="0" w:color="CD202C" w:themeColor="accent4"/>
          <w:left w:val="single" w:sz="8" w:space="0" w:color="CD202C" w:themeColor="accent4"/>
          <w:bottom w:val="single" w:sz="8" w:space="0" w:color="CD202C" w:themeColor="accent4"/>
          <w:right w:val="single" w:sz="8" w:space="0" w:color="CD202C" w:themeColor="accent4"/>
        </w:tcBorders>
      </w:tcPr>
    </w:tblStylePr>
  </w:style>
  <w:style w:type="table" w:styleId="LightList-Accent5">
    <w:name w:val="Light List Accent 5"/>
    <w:basedOn w:val="TableNormal"/>
    <w:uiPriority w:val="61"/>
    <w:semiHidden/>
    <w:unhideWhenUsed/>
    <w:rsid w:val="00F527CC"/>
    <w:pPr>
      <w:spacing w:after="0" w:line="240" w:lineRule="auto"/>
    </w:pPr>
    <w:tblPr>
      <w:tblStyleRowBandSize w:val="1"/>
      <w:tblStyleColBandSize w:val="1"/>
      <w:tblBorders>
        <w:top w:val="single" w:sz="8" w:space="0" w:color="0055AA" w:themeColor="accent5"/>
        <w:left w:val="single" w:sz="8" w:space="0" w:color="0055AA" w:themeColor="accent5"/>
        <w:bottom w:val="single" w:sz="8" w:space="0" w:color="0055AA" w:themeColor="accent5"/>
        <w:right w:val="single" w:sz="8" w:space="0" w:color="0055AA" w:themeColor="accent5"/>
      </w:tblBorders>
    </w:tblPr>
    <w:tblStylePr w:type="firstRow">
      <w:pPr>
        <w:spacing w:before="0" w:after="0" w:line="240" w:lineRule="auto"/>
      </w:pPr>
      <w:rPr>
        <w:b/>
        <w:bCs/>
        <w:color w:val="FFFFFF" w:themeColor="background1"/>
      </w:rPr>
      <w:tblPr/>
      <w:tcPr>
        <w:shd w:val="clear" w:color="auto" w:fill="0055AA" w:themeFill="accent5"/>
      </w:tcPr>
    </w:tblStylePr>
    <w:tblStylePr w:type="lastRow">
      <w:pPr>
        <w:spacing w:before="0" w:after="0" w:line="240" w:lineRule="auto"/>
      </w:pPr>
      <w:rPr>
        <w:b/>
        <w:bCs/>
      </w:rPr>
      <w:tblPr/>
      <w:tcPr>
        <w:tcBorders>
          <w:top w:val="double" w:sz="6" w:space="0" w:color="0055AA" w:themeColor="accent5"/>
          <w:left w:val="single" w:sz="8" w:space="0" w:color="0055AA" w:themeColor="accent5"/>
          <w:bottom w:val="single" w:sz="8" w:space="0" w:color="0055AA" w:themeColor="accent5"/>
          <w:right w:val="single" w:sz="8" w:space="0" w:color="0055AA" w:themeColor="accent5"/>
        </w:tcBorders>
      </w:tcPr>
    </w:tblStylePr>
    <w:tblStylePr w:type="firstCol">
      <w:rPr>
        <w:b/>
        <w:bCs/>
      </w:rPr>
    </w:tblStylePr>
    <w:tblStylePr w:type="lastCol">
      <w:rPr>
        <w:b/>
        <w:bCs/>
      </w:rPr>
    </w:tblStylePr>
    <w:tblStylePr w:type="band1Vert">
      <w:tblPr/>
      <w:tcPr>
        <w:tcBorders>
          <w:top w:val="single" w:sz="8" w:space="0" w:color="0055AA" w:themeColor="accent5"/>
          <w:left w:val="single" w:sz="8" w:space="0" w:color="0055AA" w:themeColor="accent5"/>
          <w:bottom w:val="single" w:sz="8" w:space="0" w:color="0055AA" w:themeColor="accent5"/>
          <w:right w:val="single" w:sz="8" w:space="0" w:color="0055AA" w:themeColor="accent5"/>
        </w:tcBorders>
      </w:tcPr>
    </w:tblStylePr>
    <w:tblStylePr w:type="band1Horz">
      <w:tblPr/>
      <w:tcPr>
        <w:tcBorders>
          <w:top w:val="single" w:sz="8" w:space="0" w:color="0055AA" w:themeColor="accent5"/>
          <w:left w:val="single" w:sz="8" w:space="0" w:color="0055AA" w:themeColor="accent5"/>
          <w:bottom w:val="single" w:sz="8" w:space="0" w:color="0055AA" w:themeColor="accent5"/>
          <w:right w:val="single" w:sz="8" w:space="0" w:color="0055AA" w:themeColor="accent5"/>
        </w:tcBorders>
      </w:tcPr>
    </w:tblStylePr>
  </w:style>
  <w:style w:type="table" w:styleId="LightList-Accent6">
    <w:name w:val="Light List Accent 6"/>
    <w:basedOn w:val="TableNormal"/>
    <w:uiPriority w:val="61"/>
    <w:semiHidden/>
    <w:unhideWhenUsed/>
    <w:rsid w:val="00F527CC"/>
    <w:pPr>
      <w:spacing w:after="0" w:line="240" w:lineRule="auto"/>
    </w:pPr>
    <w:tblPr>
      <w:tblStyleRowBandSize w:val="1"/>
      <w:tblStyleColBandSize w:val="1"/>
      <w:tblBorders>
        <w:top w:val="single" w:sz="8" w:space="0" w:color="FFAA22" w:themeColor="accent6"/>
        <w:left w:val="single" w:sz="8" w:space="0" w:color="FFAA22" w:themeColor="accent6"/>
        <w:bottom w:val="single" w:sz="8" w:space="0" w:color="FFAA22" w:themeColor="accent6"/>
        <w:right w:val="single" w:sz="8" w:space="0" w:color="FFAA22" w:themeColor="accent6"/>
      </w:tblBorders>
    </w:tblPr>
    <w:tblStylePr w:type="firstRow">
      <w:pPr>
        <w:spacing w:before="0" w:after="0" w:line="240" w:lineRule="auto"/>
      </w:pPr>
      <w:rPr>
        <w:b/>
        <w:bCs/>
        <w:color w:val="FFFFFF" w:themeColor="background1"/>
      </w:rPr>
      <w:tblPr/>
      <w:tcPr>
        <w:shd w:val="clear" w:color="auto" w:fill="FFAA22" w:themeFill="accent6"/>
      </w:tcPr>
    </w:tblStylePr>
    <w:tblStylePr w:type="lastRow">
      <w:pPr>
        <w:spacing w:before="0" w:after="0" w:line="240" w:lineRule="auto"/>
      </w:pPr>
      <w:rPr>
        <w:b/>
        <w:bCs/>
      </w:rPr>
      <w:tblPr/>
      <w:tcPr>
        <w:tcBorders>
          <w:top w:val="double" w:sz="6" w:space="0" w:color="FFAA22" w:themeColor="accent6"/>
          <w:left w:val="single" w:sz="8" w:space="0" w:color="FFAA22" w:themeColor="accent6"/>
          <w:bottom w:val="single" w:sz="8" w:space="0" w:color="FFAA22" w:themeColor="accent6"/>
          <w:right w:val="single" w:sz="8" w:space="0" w:color="FFAA22" w:themeColor="accent6"/>
        </w:tcBorders>
      </w:tcPr>
    </w:tblStylePr>
    <w:tblStylePr w:type="firstCol">
      <w:rPr>
        <w:b/>
        <w:bCs/>
      </w:rPr>
    </w:tblStylePr>
    <w:tblStylePr w:type="lastCol">
      <w:rPr>
        <w:b/>
        <w:bCs/>
      </w:rPr>
    </w:tblStylePr>
    <w:tblStylePr w:type="band1Vert">
      <w:tblPr/>
      <w:tcPr>
        <w:tcBorders>
          <w:top w:val="single" w:sz="8" w:space="0" w:color="FFAA22" w:themeColor="accent6"/>
          <w:left w:val="single" w:sz="8" w:space="0" w:color="FFAA22" w:themeColor="accent6"/>
          <w:bottom w:val="single" w:sz="8" w:space="0" w:color="FFAA22" w:themeColor="accent6"/>
          <w:right w:val="single" w:sz="8" w:space="0" w:color="FFAA22" w:themeColor="accent6"/>
        </w:tcBorders>
      </w:tcPr>
    </w:tblStylePr>
    <w:tblStylePr w:type="band1Horz">
      <w:tblPr/>
      <w:tcPr>
        <w:tcBorders>
          <w:top w:val="single" w:sz="8" w:space="0" w:color="FFAA22" w:themeColor="accent6"/>
          <w:left w:val="single" w:sz="8" w:space="0" w:color="FFAA22" w:themeColor="accent6"/>
          <w:bottom w:val="single" w:sz="8" w:space="0" w:color="FFAA22" w:themeColor="accent6"/>
          <w:right w:val="single" w:sz="8" w:space="0" w:color="FFAA22" w:themeColor="accent6"/>
        </w:tcBorders>
      </w:tcPr>
    </w:tblStylePr>
  </w:style>
  <w:style w:type="table" w:styleId="LightShading">
    <w:name w:val="Light Shading"/>
    <w:basedOn w:val="TableNormal"/>
    <w:uiPriority w:val="60"/>
    <w:semiHidden/>
    <w:unhideWhenUsed/>
    <w:rsid w:val="00F527CC"/>
    <w:pPr>
      <w:spacing w:after="0" w:line="240" w:lineRule="auto"/>
    </w:pPr>
    <w:rPr>
      <w:color w:val="2F2F2F" w:themeColor="text1" w:themeShade="BF"/>
    </w:rPr>
    <w:tblPr>
      <w:tblStyleRowBandSize w:val="1"/>
      <w:tblStyleColBandSize w:val="1"/>
      <w:tblBorders>
        <w:top w:val="single" w:sz="8" w:space="0" w:color="404040" w:themeColor="text1"/>
        <w:bottom w:val="single" w:sz="8" w:space="0" w:color="404040" w:themeColor="text1"/>
      </w:tblBorders>
    </w:tblPr>
    <w:tblStylePr w:type="firstRow">
      <w:pPr>
        <w:spacing w:before="0" w:after="0" w:line="240" w:lineRule="auto"/>
      </w:pPr>
      <w:rPr>
        <w:b/>
        <w:bCs/>
      </w:rPr>
      <w:tblPr/>
      <w:tcPr>
        <w:tcBorders>
          <w:top w:val="single" w:sz="8" w:space="0" w:color="404040" w:themeColor="text1"/>
          <w:left w:val="nil"/>
          <w:bottom w:val="single" w:sz="8" w:space="0" w:color="404040" w:themeColor="text1"/>
          <w:right w:val="nil"/>
          <w:insideH w:val="nil"/>
          <w:insideV w:val="nil"/>
        </w:tcBorders>
      </w:tcPr>
    </w:tblStylePr>
    <w:tblStylePr w:type="lastRow">
      <w:pPr>
        <w:spacing w:before="0" w:after="0" w:line="240" w:lineRule="auto"/>
      </w:pPr>
      <w:rPr>
        <w:b/>
        <w:bCs/>
      </w:rPr>
      <w:tblPr/>
      <w:tcPr>
        <w:tcBorders>
          <w:top w:val="single" w:sz="8" w:space="0" w:color="404040" w:themeColor="text1"/>
          <w:left w:val="nil"/>
          <w:bottom w:val="single" w:sz="8" w:space="0" w:color="4040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FCF" w:themeFill="text1" w:themeFillTint="3F"/>
      </w:tcPr>
    </w:tblStylePr>
    <w:tblStylePr w:type="band1Horz">
      <w:tblPr/>
      <w:tcPr>
        <w:tcBorders>
          <w:left w:val="nil"/>
          <w:right w:val="nil"/>
          <w:insideH w:val="nil"/>
          <w:insideV w:val="nil"/>
        </w:tcBorders>
        <w:shd w:val="clear" w:color="auto" w:fill="CFCFCF" w:themeFill="text1" w:themeFillTint="3F"/>
      </w:tcPr>
    </w:tblStylePr>
  </w:style>
  <w:style w:type="table" w:styleId="LightShading-Accent1">
    <w:name w:val="Light Shading Accent 1"/>
    <w:basedOn w:val="TableNormal"/>
    <w:uiPriority w:val="60"/>
    <w:semiHidden/>
    <w:unhideWhenUsed/>
    <w:rsid w:val="00F527CC"/>
    <w:pPr>
      <w:spacing w:after="0" w:line="240" w:lineRule="auto"/>
    </w:pPr>
    <w:rPr>
      <w:color w:val="939599" w:themeColor="accent1" w:themeShade="BF"/>
    </w:rPr>
    <w:tblPr>
      <w:tblStyleRowBandSize w:val="1"/>
      <w:tblStyleColBandSize w:val="1"/>
      <w:tblBorders>
        <w:top w:val="single" w:sz="8" w:space="0" w:color="C7C8CA" w:themeColor="accent1"/>
        <w:bottom w:val="single" w:sz="8" w:space="0" w:color="C7C8CA" w:themeColor="accent1"/>
      </w:tblBorders>
    </w:tblPr>
    <w:tblStylePr w:type="firstRow">
      <w:pPr>
        <w:spacing w:before="0" w:after="0" w:line="240" w:lineRule="auto"/>
      </w:pPr>
      <w:rPr>
        <w:b/>
        <w:bCs/>
      </w:rPr>
      <w:tblPr/>
      <w:tcPr>
        <w:tcBorders>
          <w:top w:val="single" w:sz="8" w:space="0" w:color="C7C8CA" w:themeColor="accent1"/>
          <w:left w:val="nil"/>
          <w:bottom w:val="single" w:sz="8" w:space="0" w:color="C7C8CA" w:themeColor="accent1"/>
          <w:right w:val="nil"/>
          <w:insideH w:val="nil"/>
          <w:insideV w:val="nil"/>
        </w:tcBorders>
      </w:tcPr>
    </w:tblStylePr>
    <w:tblStylePr w:type="lastRow">
      <w:pPr>
        <w:spacing w:before="0" w:after="0" w:line="240" w:lineRule="auto"/>
      </w:pPr>
      <w:rPr>
        <w:b/>
        <w:bCs/>
      </w:rPr>
      <w:tblPr/>
      <w:tcPr>
        <w:tcBorders>
          <w:top w:val="single" w:sz="8" w:space="0" w:color="C7C8CA" w:themeColor="accent1"/>
          <w:left w:val="nil"/>
          <w:bottom w:val="single" w:sz="8" w:space="0" w:color="C7C8C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1F2" w:themeFill="accent1" w:themeFillTint="3F"/>
      </w:tcPr>
    </w:tblStylePr>
    <w:tblStylePr w:type="band1Horz">
      <w:tblPr/>
      <w:tcPr>
        <w:tcBorders>
          <w:left w:val="nil"/>
          <w:right w:val="nil"/>
          <w:insideH w:val="nil"/>
          <w:insideV w:val="nil"/>
        </w:tcBorders>
        <w:shd w:val="clear" w:color="auto" w:fill="F1F1F2" w:themeFill="accent1" w:themeFillTint="3F"/>
      </w:tcPr>
    </w:tblStylePr>
  </w:style>
  <w:style w:type="table" w:styleId="LightShading-Accent2">
    <w:name w:val="Light Shading Accent 2"/>
    <w:basedOn w:val="TableNormal"/>
    <w:uiPriority w:val="60"/>
    <w:semiHidden/>
    <w:unhideWhenUsed/>
    <w:rsid w:val="00F527CC"/>
    <w:pPr>
      <w:spacing w:after="0" w:line="240" w:lineRule="auto"/>
    </w:pPr>
    <w:rPr>
      <w:color w:val="6D6F72" w:themeColor="accent2" w:themeShade="BF"/>
    </w:rPr>
    <w:tblPr>
      <w:tblStyleRowBandSize w:val="1"/>
      <w:tblStyleColBandSize w:val="1"/>
      <w:tblBorders>
        <w:top w:val="single" w:sz="8" w:space="0" w:color="939598" w:themeColor="accent2"/>
        <w:bottom w:val="single" w:sz="8" w:space="0" w:color="939598" w:themeColor="accent2"/>
      </w:tblBorders>
    </w:tblPr>
    <w:tblStylePr w:type="firstRow">
      <w:pPr>
        <w:spacing w:before="0" w:after="0" w:line="240" w:lineRule="auto"/>
      </w:pPr>
      <w:rPr>
        <w:b/>
        <w:bCs/>
      </w:rPr>
      <w:tblPr/>
      <w:tcPr>
        <w:tcBorders>
          <w:top w:val="single" w:sz="8" w:space="0" w:color="939598" w:themeColor="accent2"/>
          <w:left w:val="nil"/>
          <w:bottom w:val="single" w:sz="8" w:space="0" w:color="939598" w:themeColor="accent2"/>
          <w:right w:val="nil"/>
          <w:insideH w:val="nil"/>
          <w:insideV w:val="nil"/>
        </w:tcBorders>
      </w:tcPr>
    </w:tblStylePr>
    <w:tblStylePr w:type="lastRow">
      <w:pPr>
        <w:spacing w:before="0" w:after="0" w:line="240" w:lineRule="auto"/>
      </w:pPr>
      <w:rPr>
        <w:b/>
        <w:bCs/>
      </w:rPr>
      <w:tblPr/>
      <w:tcPr>
        <w:tcBorders>
          <w:top w:val="single" w:sz="8" w:space="0" w:color="939598" w:themeColor="accent2"/>
          <w:left w:val="nil"/>
          <w:bottom w:val="single" w:sz="8" w:space="0" w:color="93959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4E5" w:themeFill="accent2" w:themeFillTint="3F"/>
      </w:tcPr>
    </w:tblStylePr>
    <w:tblStylePr w:type="band1Horz">
      <w:tblPr/>
      <w:tcPr>
        <w:tcBorders>
          <w:left w:val="nil"/>
          <w:right w:val="nil"/>
          <w:insideH w:val="nil"/>
          <w:insideV w:val="nil"/>
        </w:tcBorders>
        <w:shd w:val="clear" w:color="auto" w:fill="E4E4E5" w:themeFill="accent2" w:themeFillTint="3F"/>
      </w:tcPr>
    </w:tblStylePr>
  </w:style>
  <w:style w:type="table" w:styleId="LightShading-Accent3">
    <w:name w:val="Light Shading Accent 3"/>
    <w:basedOn w:val="TableNormal"/>
    <w:uiPriority w:val="60"/>
    <w:semiHidden/>
    <w:unhideWhenUsed/>
    <w:rsid w:val="00F527CC"/>
    <w:pPr>
      <w:spacing w:after="0" w:line="240" w:lineRule="auto"/>
    </w:pPr>
    <w:rPr>
      <w:color w:val="4A4A4C" w:themeColor="accent3" w:themeShade="BF"/>
    </w:rPr>
    <w:tblPr>
      <w:tblStyleRowBandSize w:val="1"/>
      <w:tblStyleColBandSize w:val="1"/>
      <w:tblBorders>
        <w:top w:val="single" w:sz="8" w:space="0" w:color="636466" w:themeColor="accent3"/>
        <w:bottom w:val="single" w:sz="8" w:space="0" w:color="636466" w:themeColor="accent3"/>
      </w:tblBorders>
    </w:tblPr>
    <w:tblStylePr w:type="firstRow">
      <w:pPr>
        <w:spacing w:before="0" w:after="0" w:line="240" w:lineRule="auto"/>
      </w:pPr>
      <w:rPr>
        <w:b/>
        <w:bCs/>
      </w:rPr>
      <w:tblPr/>
      <w:tcPr>
        <w:tcBorders>
          <w:top w:val="single" w:sz="8" w:space="0" w:color="636466" w:themeColor="accent3"/>
          <w:left w:val="nil"/>
          <w:bottom w:val="single" w:sz="8" w:space="0" w:color="636466" w:themeColor="accent3"/>
          <w:right w:val="nil"/>
          <w:insideH w:val="nil"/>
          <w:insideV w:val="nil"/>
        </w:tcBorders>
      </w:tcPr>
    </w:tblStylePr>
    <w:tblStylePr w:type="lastRow">
      <w:pPr>
        <w:spacing w:before="0" w:after="0" w:line="240" w:lineRule="auto"/>
      </w:pPr>
      <w:rPr>
        <w:b/>
        <w:bCs/>
      </w:rPr>
      <w:tblPr/>
      <w:tcPr>
        <w:tcBorders>
          <w:top w:val="single" w:sz="8" w:space="0" w:color="636466" w:themeColor="accent3"/>
          <w:left w:val="nil"/>
          <w:bottom w:val="single" w:sz="8" w:space="0" w:color="63646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8D9" w:themeFill="accent3" w:themeFillTint="3F"/>
      </w:tcPr>
    </w:tblStylePr>
    <w:tblStylePr w:type="band1Horz">
      <w:tblPr/>
      <w:tcPr>
        <w:tcBorders>
          <w:left w:val="nil"/>
          <w:right w:val="nil"/>
          <w:insideH w:val="nil"/>
          <w:insideV w:val="nil"/>
        </w:tcBorders>
        <w:shd w:val="clear" w:color="auto" w:fill="D8D8D9" w:themeFill="accent3" w:themeFillTint="3F"/>
      </w:tcPr>
    </w:tblStylePr>
  </w:style>
  <w:style w:type="table" w:styleId="LightShading-Accent4">
    <w:name w:val="Light Shading Accent 4"/>
    <w:basedOn w:val="TableNormal"/>
    <w:uiPriority w:val="60"/>
    <w:semiHidden/>
    <w:unhideWhenUsed/>
    <w:rsid w:val="00F527CC"/>
    <w:pPr>
      <w:spacing w:after="0" w:line="240" w:lineRule="auto"/>
    </w:pPr>
    <w:rPr>
      <w:color w:val="991820" w:themeColor="accent4" w:themeShade="BF"/>
    </w:rPr>
    <w:tblPr>
      <w:tblStyleRowBandSize w:val="1"/>
      <w:tblStyleColBandSize w:val="1"/>
      <w:tblBorders>
        <w:top w:val="single" w:sz="8" w:space="0" w:color="CD202C" w:themeColor="accent4"/>
        <w:bottom w:val="single" w:sz="8" w:space="0" w:color="CD202C" w:themeColor="accent4"/>
      </w:tblBorders>
    </w:tblPr>
    <w:tblStylePr w:type="firstRow">
      <w:pPr>
        <w:spacing w:before="0" w:after="0" w:line="240" w:lineRule="auto"/>
      </w:pPr>
      <w:rPr>
        <w:b/>
        <w:bCs/>
      </w:rPr>
      <w:tblPr/>
      <w:tcPr>
        <w:tcBorders>
          <w:top w:val="single" w:sz="8" w:space="0" w:color="CD202C" w:themeColor="accent4"/>
          <w:left w:val="nil"/>
          <w:bottom w:val="single" w:sz="8" w:space="0" w:color="CD202C" w:themeColor="accent4"/>
          <w:right w:val="nil"/>
          <w:insideH w:val="nil"/>
          <w:insideV w:val="nil"/>
        </w:tcBorders>
      </w:tcPr>
    </w:tblStylePr>
    <w:tblStylePr w:type="lastRow">
      <w:pPr>
        <w:spacing w:before="0" w:after="0" w:line="240" w:lineRule="auto"/>
      </w:pPr>
      <w:rPr>
        <w:b/>
        <w:bCs/>
      </w:rPr>
      <w:tblPr/>
      <w:tcPr>
        <w:tcBorders>
          <w:top w:val="single" w:sz="8" w:space="0" w:color="CD202C" w:themeColor="accent4"/>
          <w:left w:val="nil"/>
          <w:bottom w:val="single" w:sz="8" w:space="0" w:color="CD20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4C7" w:themeFill="accent4" w:themeFillTint="3F"/>
      </w:tcPr>
    </w:tblStylePr>
    <w:tblStylePr w:type="band1Horz">
      <w:tblPr/>
      <w:tcPr>
        <w:tcBorders>
          <w:left w:val="nil"/>
          <w:right w:val="nil"/>
          <w:insideH w:val="nil"/>
          <w:insideV w:val="nil"/>
        </w:tcBorders>
        <w:shd w:val="clear" w:color="auto" w:fill="F6C4C7" w:themeFill="accent4" w:themeFillTint="3F"/>
      </w:tcPr>
    </w:tblStylePr>
  </w:style>
  <w:style w:type="table" w:styleId="LightShading-Accent5">
    <w:name w:val="Light Shading Accent 5"/>
    <w:basedOn w:val="TableNormal"/>
    <w:uiPriority w:val="60"/>
    <w:semiHidden/>
    <w:unhideWhenUsed/>
    <w:rsid w:val="00F527CC"/>
    <w:pPr>
      <w:spacing w:after="0" w:line="240" w:lineRule="auto"/>
    </w:pPr>
    <w:rPr>
      <w:color w:val="003F7F" w:themeColor="accent5" w:themeShade="BF"/>
    </w:rPr>
    <w:tblPr>
      <w:tblStyleRowBandSize w:val="1"/>
      <w:tblStyleColBandSize w:val="1"/>
      <w:tblBorders>
        <w:top w:val="single" w:sz="8" w:space="0" w:color="0055AA" w:themeColor="accent5"/>
        <w:bottom w:val="single" w:sz="8" w:space="0" w:color="0055AA" w:themeColor="accent5"/>
      </w:tblBorders>
    </w:tblPr>
    <w:tblStylePr w:type="firstRow">
      <w:pPr>
        <w:spacing w:before="0" w:after="0" w:line="240" w:lineRule="auto"/>
      </w:pPr>
      <w:rPr>
        <w:b/>
        <w:bCs/>
      </w:rPr>
      <w:tblPr/>
      <w:tcPr>
        <w:tcBorders>
          <w:top w:val="single" w:sz="8" w:space="0" w:color="0055AA" w:themeColor="accent5"/>
          <w:left w:val="nil"/>
          <w:bottom w:val="single" w:sz="8" w:space="0" w:color="0055AA" w:themeColor="accent5"/>
          <w:right w:val="nil"/>
          <w:insideH w:val="nil"/>
          <w:insideV w:val="nil"/>
        </w:tcBorders>
      </w:tcPr>
    </w:tblStylePr>
    <w:tblStylePr w:type="lastRow">
      <w:pPr>
        <w:spacing w:before="0" w:after="0" w:line="240" w:lineRule="auto"/>
      </w:pPr>
      <w:rPr>
        <w:b/>
        <w:bCs/>
      </w:rPr>
      <w:tblPr/>
      <w:tcPr>
        <w:tcBorders>
          <w:top w:val="single" w:sz="8" w:space="0" w:color="0055AA" w:themeColor="accent5"/>
          <w:left w:val="nil"/>
          <w:bottom w:val="single" w:sz="8" w:space="0" w:color="0055A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D4FF" w:themeFill="accent5" w:themeFillTint="3F"/>
      </w:tcPr>
    </w:tblStylePr>
    <w:tblStylePr w:type="band1Horz">
      <w:tblPr/>
      <w:tcPr>
        <w:tcBorders>
          <w:left w:val="nil"/>
          <w:right w:val="nil"/>
          <w:insideH w:val="nil"/>
          <w:insideV w:val="nil"/>
        </w:tcBorders>
        <w:shd w:val="clear" w:color="auto" w:fill="ABD4FF" w:themeFill="accent5" w:themeFillTint="3F"/>
      </w:tcPr>
    </w:tblStylePr>
  </w:style>
  <w:style w:type="table" w:styleId="LightShading-Accent6">
    <w:name w:val="Light Shading Accent 6"/>
    <w:basedOn w:val="TableNormal"/>
    <w:uiPriority w:val="60"/>
    <w:semiHidden/>
    <w:unhideWhenUsed/>
    <w:rsid w:val="00F527CC"/>
    <w:pPr>
      <w:spacing w:after="0" w:line="240" w:lineRule="auto"/>
    </w:pPr>
    <w:rPr>
      <w:color w:val="D88400" w:themeColor="accent6" w:themeShade="BF"/>
    </w:rPr>
    <w:tblPr>
      <w:tblStyleRowBandSize w:val="1"/>
      <w:tblStyleColBandSize w:val="1"/>
      <w:tblBorders>
        <w:top w:val="single" w:sz="8" w:space="0" w:color="FFAA22" w:themeColor="accent6"/>
        <w:bottom w:val="single" w:sz="8" w:space="0" w:color="FFAA22" w:themeColor="accent6"/>
      </w:tblBorders>
    </w:tblPr>
    <w:tblStylePr w:type="firstRow">
      <w:pPr>
        <w:spacing w:before="0" w:after="0" w:line="240" w:lineRule="auto"/>
      </w:pPr>
      <w:rPr>
        <w:b/>
        <w:bCs/>
      </w:rPr>
      <w:tblPr/>
      <w:tcPr>
        <w:tcBorders>
          <w:top w:val="single" w:sz="8" w:space="0" w:color="FFAA22" w:themeColor="accent6"/>
          <w:left w:val="nil"/>
          <w:bottom w:val="single" w:sz="8" w:space="0" w:color="FFAA22" w:themeColor="accent6"/>
          <w:right w:val="nil"/>
          <w:insideH w:val="nil"/>
          <w:insideV w:val="nil"/>
        </w:tcBorders>
      </w:tcPr>
    </w:tblStylePr>
    <w:tblStylePr w:type="lastRow">
      <w:pPr>
        <w:spacing w:before="0" w:after="0" w:line="240" w:lineRule="auto"/>
      </w:pPr>
      <w:rPr>
        <w:b/>
        <w:bCs/>
      </w:rPr>
      <w:tblPr/>
      <w:tcPr>
        <w:tcBorders>
          <w:top w:val="single" w:sz="8" w:space="0" w:color="FFAA22" w:themeColor="accent6"/>
          <w:left w:val="nil"/>
          <w:bottom w:val="single" w:sz="8" w:space="0" w:color="FFAA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9C8" w:themeFill="accent6" w:themeFillTint="3F"/>
      </w:tcPr>
    </w:tblStylePr>
    <w:tblStylePr w:type="band1Horz">
      <w:tblPr/>
      <w:tcPr>
        <w:tcBorders>
          <w:left w:val="nil"/>
          <w:right w:val="nil"/>
          <w:insideH w:val="nil"/>
          <w:insideV w:val="nil"/>
        </w:tcBorders>
        <w:shd w:val="clear" w:color="auto" w:fill="FFE9C8" w:themeFill="accent6" w:themeFillTint="3F"/>
      </w:tcPr>
    </w:tblStylePr>
  </w:style>
  <w:style w:type="character" w:styleId="LineNumber">
    <w:name w:val="line number"/>
    <w:basedOn w:val="DefaultParagraphFont"/>
    <w:uiPriority w:val="99"/>
    <w:semiHidden/>
    <w:unhideWhenUsed/>
    <w:rsid w:val="00F527CC"/>
    <w:rPr>
      <w:lang w:val="en-US"/>
    </w:rPr>
  </w:style>
  <w:style w:type="paragraph" w:styleId="List">
    <w:name w:val="List"/>
    <w:basedOn w:val="Normal"/>
    <w:uiPriority w:val="99"/>
    <w:semiHidden/>
    <w:unhideWhenUsed/>
    <w:rsid w:val="00F527CC"/>
    <w:pPr>
      <w:ind w:left="283" w:hanging="283"/>
      <w:contextualSpacing/>
    </w:pPr>
  </w:style>
  <w:style w:type="paragraph" w:styleId="List2">
    <w:name w:val="List 2"/>
    <w:basedOn w:val="Normal"/>
    <w:uiPriority w:val="99"/>
    <w:semiHidden/>
    <w:unhideWhenUsed/>
    <w:rsid w:val="00F527CC"/>
    <w:pPr>
      <w:ind w:left="566" w:hanging="283"/>
      <w:contextualSpacing/>
    </w:pPr>
  </w:style>
  <w:style w:type="paragraph" w:styleId="List3">
    <w:name w:val="List 3"/>
    <w:basedOn w:val="Normal"/>
    <w:uiPriority w:val="99"/>
    <w:semiHidden/>
    <w:unhideWhenUsed/>
    <w:rsid w:val="00F527CC"/>
    <w:pPr>
      <w:ind w:left="849" w:hanging="283"/>
      <w:contextualSpacing/>
    </w:pPr>
  </w:style>
  <w:style w:type="paragraph" w:styleId="List4">
    <w:name w:val="List 4"/>
    <w:basedOn w:val="Normal"/>
    <w:uiPriority w:val="99"/>
    <w:semiHidden/>
    <w:unhideWhenUsed/>
    <w:rsid w:val="00F527CC"/>
    <w:pPr>
      <w:ind w:left="1132" w:hanging="283"/>
      <w:contextualSpacing/>
    </w:pPr>
  </w:style>
  <w:style w:type="paragraph" w:styleId="List5">
    <w:name w:val="List 5"/>
    <w:basedOn w:val="Normal"/>
    <w:uiPriority w:val="99"/>
    <w:semiHidden/>
    <w:unhideWhenUsed/>
    <w:rsid w:val="00F527CC"/>
    <w:pPr>
      <w:ind w:left="1415" w:hanging="283"/>
      <w:contextualSpacing/>
    </w:pPr>
  </w:style>
  <w:style w:type="paragraph" w:styleId="ListBullet">
    <w:name w:val="List Bullet"/>
    <w:basedOn w:val="Normal"/>
    <w:uiPriority w:val="99"/>
    <w:semiHidden/>
    <w:unhideWhenUsed/>
    <w:rsid w:val="00F527CC"/>
    <w:pPr>
      <w:numPr>
        <w:numId w:val="1"/>
      </w:numPr>
      <w:contextualSpacing/>
    </w:pPr>
  </w:style>
  <w:style w:type="paragraph" w:styleId="ListBullet2">
    <w:name w:val="List Bullet 2"/>
    <w:basedOn w:val="Normal"/>
    <w:uiPriority w:val="99"/>
    <w:semiHidden/>
    <w:unhideWhenUsed/>
    <w:rsid w:val="00F527CC"/>
    <w:pPr>
      <w:numPr>
        <w:numId w:val="2"/>
      </w:numPr>
      <w:contextualSpacing/>
    </w:pPr>
  </w:style>
  <w:style w:type="paragraph" w:styleId="ListBullet3">
    <w:name w:val="List Bullet 3"/>
    <w:basedOn w:val="Normal"/>
    <w:uiPriority w:val="99"/>
    <w:semiHidden/>
    <w:unhideWhenUsed/>
    <w:rsid w:val="00F527CC"/>
    <w:pPr>
      <w:numPr>
        <w:numId w:val="3"/>
      </w:numPr>
      <w:contextualSpacing/>
    </w:pPr>
  </w:style>
  <w:style w:type="paragraph" w:styleId="ListBullet4">
    <w:name w:val="List Bullet 4"/>
    <w:basedOn w:val="Normal"/>
    <w:uiPriority w:val="99"/>
    <w:semiHidden/>
    <w:unhideWhenUsed/>
    <w:rsid w:val="00F527CC"/>
    <w:pPr>
      <w:numPr>
        <w:numId w:val="4"/>
      </w:numPr>
      <w:contextualSpacing/>
    </w:pPr>
  </w:style>
  <w:style w:type="paragraph" w:styleId="ListBullet5">
    <w:name w:val="List Bullet 5"/>
    <w:basedOn w:val="Normal"/>
    <w:uiPriority w:val="99"/>
    <w:semiHidden/>
    <w:unhideWhenUsed/>
    <w:rsid w:val="00F527CC"/>
    <w:pPr>
      <w:numPr>
        <w:numId w:val="5"/>
      </w:numPr>
      <w:contextualSpacing/>
    </w:pPr>
  </w:style>
  <w:style w:type="paragraph" w:styleId="ListContinue">
    <w:name w:val="List Continue"/>
    <w:basedOn w:val="Normal"/>
    <w:uiPriority w:val="99"/>
    <w:semiHidden/>
    <w:unhideWhenUsed/>
    <w:rsid w:val="00F527CC"/>
    <w:pPr>
      <w:ind w:left="283"/>
      <w:contextualSpacing/>
    </w:pPr>
  </w:style>
  <w:style w:type="paragraph" w:styleId="ListContinue2">
    <w:name w:val="List Continue 2"/>
    <w:basedOn w:val="Normal"/>
    <w:uiPriority w:val="99"/>
    <w:semiHidden/>
    <w:unhideWhenUsed/>
    <w:rsid w:val="00F527CC"/>
    <w:pPr>
      <w:ind w:left="566"/>
      <w:contextualSpacing/>
    </w:pPr>
  </w:style>
  <w:style w:type="paragraph" w:styleId="ListContinue3">
    <w:name w:val="List Continue 3"/>
    <w:basedOn w:val="Normal"/>
    <w:uiPriority w:val="99"/>
    <w:semiHidden/>
    <w:unhideWhenUsed/>
    <w:rsid w:val="00F527CC"/>
    <w:pPr>
      <w:ind w:left="849"/>
      <w:contextualSpacing/>
    </w:pPr>
  </w:style>
  <w:style w:type="paragraph" w:styleId="ListContinue4">
    <w:name w:val="List Continue 4"/>
    <w:basedOn w:val="Normal"/>
    <w:uiPriority w:val="99"/>
    <w:semiHidden/>
    <w:unhideWhenUsed/>
    <w:rsid w:val="00F527CC"/>
    <w:pPr>
      <w:ind w:left="1132"/>
      <w:contextualSpacing/>
    </w:pPr>
  </w:style>
  <w:style w:type="paragraph" w:styleId="ListContinue5">
    <w:name w:val="List Continue 5"/>
    <w:basedOn w:val="Normal"/>
    <w:uiPriority w:val="99"/>
    <w:semiHidden/>
    <w:unhideWhenUsed/>
    <w:rsid w:val="00F527CC"/>
    <w:pPr>
      <w:ind w:left="1415"/>
      <w:contextualSpacing/>
    </w:pPr>
  </w:style>
  <w:style w:type="paragraph" w:styleId="ListNumber">
    <w:name w:val="List Number"/>
    <w:basedOn w:val="Normal"/>
    <w:uiPriority w:val="99"/>
    <w:semiHidden/>
    <w:unhideWhenUsed/>
    <w:rsid w:val="00F527CC"/>
    <w:pPr>
      <w:numPr>
        <w:numId w:val="6"/>
      </w:numPr>
      <w:contextualSpacing/>
    </w:pPr>
  </w:style>
  <w:style w:type="paragraph" w:styleId="ListNumber2">
    <w:name w:val="List Number 2"/>
    <w:basedOn w:val="Normal"/>
    <w:uiPriority w:val="99"/>
    <w:semiHidden/>
    <w:unhideWhenUsed/>
    <w:rsid w:val="00F527CC"/>
    <w:pPr>
      <w:numPr>
        <w:numId w:val="7"/>
      </w:numPr>
      <w:contextualSpacing/>
    </w:pPr>
  </w:style>
  <w:style w:type="paragraph" w:styleId="ListNumber3">
    <w:name w:val="List Number 3"/>
    <w:basedOn w:val="Normal"/>
    <w:uiPriority w:val="99"/>
    <w:semiHidden/>
    <w:unhideWhenUsed/>
    <w:rsid w:val="00F527CC"/>
    <w:pPr>
      <w:numPr>
        <w:numId w:val="8"/>
      </w:numPr>
      <w:contextualSpacing/>
    </w:pPr>
  </w:style>
  <w:style w:type="paragraph" w:styleId="ListNumber4">
    <w:name w:val="List Number 4"/>
    <w:basedOn w:val="Normal"/>
    <w:uiPriority w:val="99"/>
    <w:semiHidden/>
    <w:unhideWhenUsed/>
    <w:rsid w:val="00F527CC"/>
    <w:pPr>
      <w:numPr>
        <w:numId w:val="9"/>
      </w:numPr>
      <w:contextualSpacing/>
    </w:pPr>
  </w:style>
  <w:style w:type="paragraph" w:styleId="ListNumber5">
    <w:name w:val="List Number 5"/>
    <w:basedOn w:val="Normal"/>
    <w:uiPriority w:val="99"/>
    <w:semiHidden/>
    <w:unhideWhenUsed/>
    <w:rsid w:val="00F527CC"/>
    <w:pPr>
      <w:numPr>
        <w:numId w:val="10"/>
      </w:numPr>
      <w:contextualSpacing/>
    </w:pPr>
  </w:style>
  <w:style w:type="paragraph" w:styleId="ListParagraph">
    <w:name w:val="List Paragraph"/>
    <w:aliases w:val="Paragraph,Header 2,Head1.1,References,Paragraphe de liste1,List Paragraph1,Liste couleur - Accent 11,Liste couleur - Accent 111,Paragraphe de liste3,List Paragraph2,Bullets,List Paragraph nowy,Numbered List Paragraph,titre_kely,Liste 1"/>
    <w:basedOn w:val="Normal"/>
    <w:link w:val="ListParagraphChar"/>
    <w:uiPriority w:val="34"/>
    <w:qFormat/>
    <w:rsid w:val="00F527CC"/>
    <w:pPr>
      <w:ind w:left="720"/>
      <w:contextualSpacing/>
    </w:pPr>
  </w:style>
  <w:style w:type="table" w:styleId="ListTable1Light">
    <w:name w:val="List Table 1 Light"/>
    <w:basedOn w:val="TableNormal"/>
    <w:uiPriority w:val="46"/>
    <w:rsid w:val="00F527CC"/>
    <w:pPr>
      <w:spacing w:after="0" w:line="240" w:lineRule="auto"/>
    </w:pPr>
    <w:tblPr>
      <w:tblStyleRowBandSize w:val="1"/>
      <w:tblStyleColBandSize w:val="1"/>
    </w:tblPr>
    <w:tblStylePr w:type="firstRow">
      <w:rPr>
        <w:b/>
        <w:bCs/>
      </w:rPr>
      <w:tblPr/>
      <w:tcPr>
        <w:tcBorders>
          <w:bottom w:val="single" w:sz="4" w:space="0" w:color="8C8C8C" w:themeColor="text1" w:themeTint="99"/>
        </w:tcBorders>
      </w:tcPr>
    </w:tblStylePr>
    <w:tblStylePr w:type="lastRow">
      <w:rPr>
        <w:b/>
        <w:bCs/>
      </w:rPr>
      <w:tblPr/>
      <w:tcPr>
        <w:tcBorders>
          <w:top w:val="single" w:sz="4" w:space="0" w:color="8C8C8C"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ListTable1Light-Accent1">
    <w:name w:val="List Table 1 Light Accent 1"/>
    <w:basedOn w:val="TableNormal"/>
    <w:uiPriority w:val="46"/>
    <w:rsid w:val="00F527CC"/>
    <w:pPr>
      <w:spacing w:after="0" w:line="240" w:lineRule="auto"/>
    </w:pPr>
    <w:tblPr>
      <w:tblStyleRowBandSize w:val="1"/>
      <w:tblStyleColBandSize w:val="1"/>
    </w:tblPr>
    <w:tblStylePr w:type="firstRow">
      <w:rPr>
        <w:b/>
        <w:bCs/>
      </w:rPr>
      <w:tblPr/>
      <w:tcPr>
        <w:tcBorders>
          <w:bottom w:val="single" w:sz="4" w:space="0" w:color="DDDDDF" w:themeColor="accent1" w:themeTint="99"/>
        </w:tcBorders>
      </w:tcPr>
    </w:tblStylePr>
    <w:tblStylePr w:type="lastRow">
      <w:rPr>
        <w:b/>
        <w:bCs/>
      </w:rPr>
      <w:tblPr/>
      <w:tcPr>
        <w:tcBorders>
          <w:top w:val="single" w:sz="4" w:space="0" w:color="DDDDDF" w:themeColor="accent1" w:themeTint="99"/>
        </w:tcBorders>
      </w:tcPr>
    </w:tblStylePr>
    <w:tblStylePr w:type="firstCol">
      <w:rPr>
        <w:b/>
        <w:bCs/>
      </w:rPr>
    </w:tblStylePr>
    <w:tblStylePr w:type="lastCol">
      <w:rPr>
        <w:b/>
        <w:bCs/>
      </w:rPr>
    </w:tblStylePr>
    <w:tblStylePr w:type="band1Vert">
      <w:tblPr/>
      <w:tcPr>
        <w:shd w:val="clear" w:color="auto" w:fill="F3F3F4" w:themeFill="accent1" w:themeFillTint="33"/>
      </w:tcPr>
    </w:tblStylePr>
    <w:tblStylePr w:type="band1Horz">
      <w:tblPr/>
      <w:tcPr>
        <w:shd w:val="clear" w:color="auto" w:fill="F3F3F4" w:themeFill="accent1" w:themeFillTint="33"/>
      </w:tcPr>
    </w:tblStylePr>
  </w:style>
  <w:style w:type="table" w:styleId="ListTable1Light-Accent2">
    <w:name w:val="List Table 1 Light Accent 2"/>
    <w:basedOn w:val="TableNormal"/>
    <w:uiPriority w:val="46"/>
    <w:rsid w:val="00F527CC"/>
    <w:pPr>
      <w:spacing w:after="0" w:line="240" w:lineRule="auto"/>
    </w:pPr>
    <w:tblPr>
      <w:tblStyleRowBandSize w:val="1"/>
      <w:tblStyleColBandSize w:val="1"/>
    </w:tblPr>
    <w:tblStylePr w:type="firstRow">
      <w:rPr>
        <w:b/>
        <w:bCs/>
      </w:rPr>
      <w:tblPr/>
      <w:tcPr>
        <w:tcBorders>
          <w:bottom w:val="single" w:sz="4" w:space="0" w:color="BEBFC1" w:themeColor="accent2" w:themeTint="99"/>
        </w:tcBorders>
      </w:tcPr>
    </w:tblStylePr>
    <w:tblStylePr w:type="lastRow">
      <w:rPr>
        <w:b/>
        <w:bCs/>
      </w:rPr>
      <w:tblPr/>
      <w:tcPr>
        <w:tcBorders>
          <w:top w:val="single" w:sz="4" w:space="0" w:color="BEBFC1" w:themeColor="accent2" w:themeTint="99"/>
        </w:tcBorders>
      </w:tcPr>
    </w:tblStylePr>
    <w:tblStylePr w:type="firstCol">
      <w:rPr>
        <w:b/>
        <w:bCs/>
      </w:rPr>
    </w:tblStylePr>
    <w:tblStylePr w:type="lastCol">
      <w:rPr>
        <w:b/>
        <w:bCs/>
      </w:rPr>
    </w:tblStylePr>
    <w:tblStylePr w:type="band1Vert">
      <w:tblPr/>
      <w:tcPr>
        <w:shd w:val="clear" w:color="auto" w:fill="E9E9EA" w:themeFill="accent2" w:themeFillTint="33"/>
      </w:tcPr>
    </w:tblStylePr>
    <w:tblStylePr w:type="band1Horz">
      <w:tblPr/>
      <w:tcPr>
        <w:shd w:val="clear" w:color="auto" w:fill="E9E9EA" w:themeFill="accent2" w:themeFillTint="33"/>
      </w:tcPr>
    </w:tblStylePr>
  </w:style>
  <w:style w:type="table" w:styleId="ListTable1Light-Accent3">
    <w:name w:val="List Table 1 Light Accent 3"/>
    <w:basedOn w:val="TableNormal"/>
    <w:uiPriority w:val="46"/>
    <w:rsid w:val="00F527CC"/>
    <w:pPr>
      <w:spacing w:after="0" w:line="240" w:lineRule="auto"/>
    </w:pPr>
    <w:tblPr>
      <w:tblStyleRowBandSize w:val="1"/>
      <w:tblStyleColBandSize w:val="1"/>
    </w:tblPr>
    <w:tblStylePr w:type="firstRow">
      <w:rPr>
        <w:b/>
        <w:bCs/>
      </w:rPr>
      <w:tblPr/>
      <w:tcPr>
        <w:tcBorders>
          <w:bottom w:val="single" w:sz="4" w:space="0" w:color="A0A1A3" w:themeColor="accent3" w:themeTint="99"/>
        </w:tcBorders>
      </w:tcPr>
    </w:tblStylePr>
    <w:tblStylePr w:type="lastRow">
      <w:rPr>
        <w:b/>
        <w:bCs/>
      </w:rPr>
      <w:tblPr/>
      <w:tcPr>
        <w:tcBorders>
          <w:top w:val="single" w:sz="4" w:space="0" w:color="A0A1A3" w:themeColor="accent3" w:themeTint="99"/>
        </w:tcBorders>
      </w:tcPr>
    </w:tblStylePr>
    <w:tblStylePr w:type="firstCol">
      <w:rPr>
        <w:b/>
        <w:bCs/>
      </w:rPr>
    </w:tblStylePr>
    <w:tblStylePr w:type="lastCol">
      <w:rPr>
        <w:b/>
        <w:bCs/>
      </w:rPr>
    </w:tblStylePr>
    <w:tblStylePr w:type="band1Vert">
      <w:tblPr/>
      <w:tcPr>
        <w:shd w:val="clear" w:color="auto" w:fill="DFDFE0" w:themeFill="accent3" w:themeFillTint="33"/>
      </w:tcPr>
    </w:tblStylePr>
    <w:tblStylePr w:type="band1Horz">
      <w:tblPr/>
      <w:tcPr>
        <w:shd w:val="clear" w:color="auto" w:fill="DFDFE0" w:themeFill="accent3" w:themeFillTint="33"/>
      </w:tcPr>
    </w:tblStylePr>
  </w:style>
  <w:style w:type="table" w:styleId="ListTable1Light-Accent4">
    <w:name w:val="List Table 1 Light Accent 4"/>
    <w:basedOn w:val="TableNormal"/>
    <w:uiPriority w:val="46"/>
    <w:rsid w:val="00F527CC"/>
    <w:pPr>
      <w:spacing w:after="0" w:line="240" w:lineRule="auto"/>
    </w:pPr>
    <w:tblPr>
      <w:tblStyleRowBandSize w:val="1"/>
      <w:tblStyleColBandSize w:val="1"/>
    </w:tblPr>
    <w:tblStylePr w:type="firstRow">
      <w:rPr>
        <w:b/>
        <w:bCs/>
      </w:rPr>
      <w:tblPr/>
      <w:tcPr>
        <w:tcBorders>
          <w:bottom w:val="single" w:sz="4" w:space="0" w:color="E87179" w:themeColor="accent4" w:themeTint="99"/>
        </w:tcBorders>
      </w:tcPr>
    </w:tblStylePr>
    <w:tblStylePr w:type="lastRow">
      <w:rPr>
        <w:b/>
        <w:bCs/>
      </w:rPr>
      <w:tblPr/>
      <w:tcPr>
        <w:tcBorders>
          <w:top w:val="single" w:sz="4" w:space="0" w:color="E87179" w:themeColor="accent4" w:themeTint="99"/>
        </w:tcBorders>
      </w:tcPr>
    </w:tblStylePr>
    <w:tblStylePr w:type="firstCol">
      <w:rPr>
        <w:b/>
        <w:bCs/>
      </w:rPr>
    </w:tblStylePr>
    <w:tblStylePr w:type="lastCol">
      <w:rPr>
        <w:b/>
        <w:bCs/>
      </w:rPr>
    </w:tblStylePr>
    <w:tblStylePr w:type="band1Vert">
      <w:tblPr/>
      <w:tcPr>
        <w:shd w:val="clear" w:color="auto" w:fill="F7CFD2" w:themeFill="accent4" w:themeFillTint="33"/>
      </w:tcPr>
    </w:tblStylePr>
    <w:tblStylePr w:type="band1Horz">
      <w:tblPr/>
      <w:tcPr>
        <w:shd w:val="clear" w:color="auto" w:fill="F7CFD2" w:themeFill="accent4" w:themeFillTint="33"/>
      </w:tcPr>
    </w:tblStylePr>
  </w:style>
  <w:style w:type="table" w:styleId="ListTable1Light-Accent5">
    <w:name w:val="List Table 1 Light Accent 5"/>
    <w:basedOn w:val="TableNormal"/>
    <w:uiPriority w:val="46"/>
    <w:rsid w:val="00F527CC"/>
    <w:pPr>
      <w:spacing w:after="0" w:line="240" w:lineRule="auto"/>
    </w:pPr>
    <w:tblPr>
      <w:tblStyleRowBandSize w:val="1"/>
      <w:tblStyleColBandSize w:val="1"/>
    </w:tblPr>
    <w:tblStylePr w:type="firstRow">
      <w:rPr>
        <w:b/>
        <w:bCs/>
      </w:rPr>
      <w:tblPr/>
      <w:tcPr>
        <w:tcBorders>
          <w:bottom w:val="single" w:sz="4" w:space="0" w:color="3398FF" w:themeColor="accent5" w:themeTint="99"/>
        </w:tcBorders>
      </w:tcPr>
    </w:tblStylePr>
    <w:tblStylePr w:type="lastRow">
      <w:rPr>
        <w:b/>
        <w:bCs/>
      </w:rPr>
      <w:tblPr/>
      <w:tcPr>
        <w:tcBorders>
          <w:top w:val="single" w:sz="4" w:space="0" w:color="3398FF" w:themeColor="accent5" w:themeTint="99"/>
        </w:tcBorders>
      </w:tcPr>
    </w:tblStylePr>
    <w:tblStylePr w:type="firstCol">
      <w:rPr>
        <w:b/>
        <w:bCs/>
      </w:rPr>
    </w:tblStylePr>
    <w:tblStylePr w:type="lastCol">
      <w:rPr>
        <w:b/>
        <w:bCs/>
      </w:rPr>
    </w:tblStylePr>
    <w:tblStylePr w:type="band1Vert">
      <w:tblPr/>
      <w:tcPr>
        <w:shd w:val="clear" w:color="auto" w:fill="BBDCFF" w:themeFill="accent5" w:themeFillTint="33"/>
      </w:tcPr>
    </w:tblStylePr>
    <w:tblStylePr w:type="band1Horz">
      <w:tblPr/>
      <w:tcPr>
        <w:shd w:val="clear" w:color="auto" w:fill="BBDCFF" w:themeFill="accent5" w:themeFillTint="33"/>
      </w:tcPr>
    </w:tblStylePr>
  </w:style>
  <w:style w:type="table" w:styleId="ListTable1Light-Accent6">
    <w:name w:val="List Table 1 Light Accent 6"/>
    <w:basedOn w:val="TableNormal"/>
    <w:uiPriority w:val="46"/>
    <w:rsid w:val="00F527CC"/>
    <w:pPr>
      <w:spacing w:after="0" w:line="240" w:lineRule="auto"/>
    </w:pPr>
    <w:tblPr>
      <w:tblStyleRowBandSize w:val="1"/>
      <w:tblStyleColBandSize w:val="1"/>
    </w:tblPr>
    <w:tblStylePr w:type="firstRow">
      <w:rPr>
        <w:b/>
        <w:bCs/>
      </w:rPr>
      <w:tblPr/>
      <w:tcPr>
        <w:tcBorders>
          <w:bottom w:val="single" w:sz="4" w:space="0" w:color="FFCB7A" w:themeColor="accent6" w:themeTint="99"/>
        </w:tcBorders>
      </w:tcPr>
    </w:tblStylePr>
    <w:tblStylePr w:type="lastRow">
      <w:rPr>
        <w:b/>
        <w:bCs/>
      </w:rPr>
      <w:tblPr/>
      <w:tcPr>
        <w:tcBorders>
          <w:top w:val="single" w:sz="4" w:space="0" w:color="FFCB7A" w:themeColor="accent6" w:themeTint="99"/>
        </w:tcBorders>
      </w:tcPr>
    </w:tblStylePr>
    <w:tblStylePr w:type="firstCol">
      <w:rPr>
        <w:b/>
        <w:bCs/>
      </w:rPr>
    </w:tblStylePr>
    <w:tblStylePr w:type="lastCol">
      <w:rPr>
        <w:b/>
        <w:bCs/>
      </w:rPr>
    </w:tblStylePr>
    <w:tblStylePr w:type="band1Vert">
      <w:tblPr/>
      <w:tcPr>
        <w:shd w:val="clear" w:color="auto" w:fill="FFEDD2" w:themeFill="accent6" w:themeFillTint="33"/>
      </w:tcPr>
    </w:tblStylePr>
    <w:tblStylePr w:type="band1Horz">
      <w:tblPr/>
      <w:tcPr>
        <w:shd w:val="clear" w:color="auto" w:fill="FFEDD2" w:themeFill="accent6" w:themeFillTint="33"/>
      </w:tcPr>
    </w:tblStylePr>
  </w:style>
  <w:style w:type="table" w:styleId="ListTable2">
    <w:name w:val="List Table 2"/>
    <w:basedOn w:val="TableNormal"/>
    <w:uiPriority w:val="47"/>
    <w:rsid w:val="00F527CC"/>
    <w:pPr>
      <w:spacing w:after="0" w:line="240" w:lineRule="auto"/>
    </w:pPr>
    <w:tblPr>
      <w:tblStyleRowBandSize w:val="1"/>
      <w:tblStyleColBandSize w:val="1"/>
      <w:tblBorders>
        <w:top w:val="single" w:sz="4" w:space="0" w:color="8C8C8C" w:themeColor="text1" w:themeTint="99"/>
        <w:bottom w:val="single" w:sz="4" w:space="0" w:color="8C8C8C" w:themeColor="text1" w:themeTint="99"/>
        <w:insideH w:val="single" w:sz="4" w:space="0" w:color="8C8C8C"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ListTable2-Accent1">
    <w:name w:val="List Table 2 Accent 1"/>
    <w:basedOn w:val="TableNormal"/>
    <w:uiPriority w:val="47"/>
    <w:rsid w:val="00F527CC"/>
    <w:pPr>
      <w:spacing w:after="0" w:line="240" w:lineRule="auto"/>
    </w:pPr>
    <w:tblPr>
      <w:tblStyleRowBandSize w:val="1"/>
      <w:tblStyleColBandSize w:val="1"/>
      <w:tblBorders>
        <w:top w:val="single" w:sz="4" w:space="0" w:color="DDDDDF" w:themeColor="accent1" w:themeTint="99"/>
        <w:bottom w:val="single" w:sz="4" w:space="0" w:color="DDDDDF" w:themeColor="accent1" w:themeTint="99"/>
        <w:insideH w:val="single" w:sz="4" w:space="0" w:color="DDDDD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4" w:themeFill="accent1" w:themeFillTint="33"/>
      </w:tcPr>
    </w:tblStylePr>
    <w:tblStylePr w:type="band1Horz">
      <w:tblPr/>
      <w:tcPr>
        <w:shd w:val="clear" w:color="auto" w:fill="F3F3F4" w:themeFill="accent1" w:themeFillTint="33"/>
      </w:tcPr>
    </w:tblStylePr>
  </w:style>
  <w:style w:type="table" w:styleId="ListTable2-Accent2">
    <w:name w:val="List Table 2 Accent 2"/>
    <w:basedOn w:val="TableNormal"/>
    <w:uiPriority w:val="47"/>
    <w:rsid w:val="00F527CC"/>
    <w:pPr>
      <w:spacing w:after="0" w:line="240" w:lineRule="auto"/>
    </w:pPr>
    <w:tblPr>
      <w:tblStyleRowBandSize w:val="1"/>
      <w:tblStyleColBandSize w:val="1"/>
      <w:tblBorders>
        <w:top w:val="single" w:sz="4" w:space="0" w:color="BEBFC1" w:themeColor="accent2" w:themeTint="99"/>
        <w:bottom w:val="single" w:sz="4" w:space="0" w:color="BEBFC1" w:themeColor="accent2" w:themeTint="99"/>
        <w:insideH w:val="single" w:sz="4" w:space="0" w:color="BEBFC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E9EA" w:themeFill="accent2" w:themeFillTint="33"/>
      </w:tcPr>
    </w:tblStylePr>
    <w:tblStylePr w:type="band1Horz">
      <w:tblPr/>
      <w:tcPr>
        <w:shd w:val="clear" w:color="auto" w:fill="E9E9EA" w:themeFill="accent2" w:themeFillTint="33"/>
      </w:tcPr>
    </w:tblStylePr>
  </w:style>
  <w:style w:type="table" w:styleId="ListTable2-Accent3">
    <w:name w:val="List Table 2 Accent 3"/>
    <w:basedOn w:val="TableNormal"/>
    <w:uiPriority w:val="47"/>
    <w:rsid w:val="00F527CC"/>
    <w:pPr>
      <w:spacing w:after="0" w:line="240" w:lineRule="auto"/>
    </w:pPr>
    <w:tblPr>
      <w:tblStyleRowBandSize w:val="1"/>
      <w:tblStyleColBandSize w:val="1"/>
      <w:tblBorders>
        <w:top w:val="single" w:sz="4" w:space="0" w:color="A0A1A3" w:themeColor="accent3" w:themeTint="99"/>
        <w:bottom w:val="single" w:sz="4" w:space="0" w:color="A0A1A3" w:themeColor="accent3" w:themeTint="99"/>
        <w:insideH w:val="single" w:sz="4" w:space="0" w:color="A0A1A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E0" w:themeFill="accent3" w:themeFillTint="33"/>
      </w:tcPr>
    </w:tblStylePr>
    <w:tblStylePr w:type="band1Horz">
      <w:tblPr/>
      <w:tcPr>
        <w:shd w:val="clear" w:color="auto" w:fill="DFDFE0" w:themeFill="accent3" w:themeFillTint="33"/>
      </w:tcPr>
    </w:tblStylePr>
  </w:style>
  <w:style w:type="table" w:styleId="ListTable2-Accent4">
    <w:name w:val="List Table 2 Accent 4"/>
    <w:basedOn w:val="TableNormal"/>
    <w:uiPriority w:val="47"/>
    <w:rsid w:val="00F527CC"/>
    <w:pPr>
      <w:spacing w:after="0" w:line="240" w:lineRule="auto"/>
    </w:pPr>
    <w:tblPr>
      <w:tblStyleRowBandSize w:val="1"/>
      <w:tblStyleColBandSize w:val="1"/>
      <w:tblBorders>
        <w:top w:val="single" w:sz="4" w:space="0" w:color="E87179" w:themeColor="accent4" w:themeTint="99"/>
        <w:bottom w:val="single" w:sz="4" w:space="0" w:color="E87179" w:themeColor="accent4" w:themeTint="99"/>
        <w:insideH w:val="single" w:sz="4" w:space="0" w:color="E8717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CFD2" w:themeFill="accent4" w:themeFillTint="33"/>
      </w:tcPr>
    </w:tblStylePr>
    <w:tblStylePr w:type="band1Horz">
      <w:tblPr/>
      <w:tcPr>
        <w:shd w:val="clear" w:color="auto" w:fill="F7CFD2" w:themeFill="accent4" w:themeFillTint="33"/>
      </w:tcPr>
    </w:tblStylePr>
  </w:style>
  <w:style w:type="table" w:styleId="ListTable2-Accent5">
    <w:name w:val="List Table 2 Accent 5"/>
    <w:basedOn w:val="TableNormal"/>
    <w:uiPriority w:val="47"/>
    <w:rsid w:val="00F527CC"/>
    <w:pPr>
      <w:spacing w:after="0" w:line="240" w:lineRule="auto"/>
    </w:pPr>
    <w:tblPr>
      <w:tblStyleRowBandSize w:val="1"/>
      <w:tblStyleColBandSize w:val="1"/>
      <w:tblBorders>
        <w:top w:val="single" w:sz="4" w:space="0" w:color="3398FF" w:themeColor="accent5" w:themeTint="99"/>
        <w:bottom w:val="single" w:sz="4" w:space="0" w:color="3398FF" w:themeColor="accent5" w:themeTint="99"/>
        <w:insideH w:val="single" w:sz="4" w:space="0" w:color="3398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DCFF" w:themeFill="accent5" w:themeFillTint="33"/>
      </w:tcPr>
    </w:tblStylePr>
    <w:tblStylePr w:type="band1Horz">
      <w:tblPr/>
      <w:tcPr>
        <w:shd w:val="clear" w:color="auto" w:fill="BBDCFF" w:themeFill="accent5" w:themeFillTint="33"/>
      </w:tcPr>
    </w:tblStylePr>
  </w:style>
  <w:style w:type="table" w:styleId="ListTable2-Accent6">
    <w:name w:val="List Table 2 Accent 6"/>
    <w:basedOn w:val="TableNormal"/>
    <w:uiPriority w:val="47"/>
    <w:rsid w:val="00F527CC"/>
    <w:pPr>
      <w:spacing w:after="0" w:line="240" w:lineRule="auto"/>
    </w:pPr>
    <w:tblPr>
      <w:tblStyleRowBandSize w:val="1"/>
      <w:tblStyleColBandSize w:val="1"/>
      <w:tblBorders>
        <w:top w:val="single" w:sz="4" w:space="0" w:color="FFCB7A" w:themeColor="accent6" w:themeTint="99"/>
        <w:bottom w:val="single" w:sz="4" w:space="0" w:color="FFCB7A" w:themeColor="accent6" w:themeTint="99"/>
        <w:insideH w:val="single" w:sz="4" w:space="0" w:color="FFCB7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DD2" w:themeFill="accent6" w:themeFillTint="33"/>
      </w:tcPr>
    </w:tblStylePr>
    <w:tblStylePr w:type="band1Horz">
      <w:tblPr/>
      <w:tcPr>
        <w:shd w:val="clear" w:color="auto" w:fill="FFEDD2" w:themeFill="accent6" w:themeFillTint="33"/>
      </w:tcPr>
    </w:tblStylePr>
  </w:style>
  <w:style w:type="table" w:styleId="ListTable3">
    <w:name w:val="List Table 3"/>
    <w:basedOn w:val="TableNormal"/>
    <w:uiPriority w:val="48"/>
    <w:rsid w:val="00F527CC"/>
    <w:pPr>
      <w:spacing w:after="0" w:line="240" w:lineRule="auto"/>
    </w:pPr>
    <w:tblPr>
      <w:tblStyleRowBandSize w:val="1"/>
      <w:tblStyleColBandSize w:val="1"/>
      <w:tblBorders>
        <w:top w:val="single" w:sz="4" w:space="0" w:color="404040" w:themeColor="text1"/>
        <w:left w:val="single" w:sz="4" w:space="0" w:color="404040" w:themeColor="text1"/>
        <w:bottom w:val="single" w:sz="4" w:space="0" w:color="404040" w:themeColor="text1"/>
        <w:right w:val="single" w:sz="4" w:space="0" w:color="404040" w:themeColor="text1"/>
      </w:tblBorders>
    </w:tblPr>
    <w:tblStylePr w:type="firstRow">
      <w:rPr>
        <w:b/>
        <w:bCs/>
        <w:color w:val="FFFFFF" w:themeColor="background1"/>
      </w:rPr>
      <w:tblPr/>
      <w:tcPr>
        <w:shd w:val="clear" w:color="auto" w:fill="404040" w:themeFill="text1"/>
      </w:tcPr>
    </w:tblStylePr>
    <w:tblStylePr w:type="lastRow">
      <w:rPr>
        <w:b/>
        <w:bCs/>
      </w:rPr>
      <w:tblPr/>
      <w:tcPr>
        <w:tcBorders>
          <w:top w:val="double" w:sz="4" w:space="0" w:color="40404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04040" w:themeColor="text1"/>
          <w:right w:val="single" w:sz="4" w:space="0" w:color="404040" w:themeColor="text1"/>
        </w:tcBorders>
      </w:tcPr>
    </w:tblStylePr>
    <w:tblStylePr w:type="band1Horz">
      <w:tblPr/>
      <w:tcPr>
        <w:tcBorders>
          <w:top w:val="single" w:sz="4" w:space="0" w:color="404040" w:themeColor="text1"/>
          <w:bottom w:val="single" w:sz="4" w:space="0" w:color="40404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04040" w:themeColor="text1"/>
          <w:left w:val="nil"/>
        </w:tcBorders>
      </w:tcPr>
    </w:tblStylePr>
    <w:tblStylePr w:type="swCell">
      <w:tblPr/>
      <w:tcPr>
        <w:tcBorders>
          <w:top w:val="double" w:sz="4" w:space="0" w:color="404040" w:themeColor="text1"/>
          <w:right w:val="nil"/>
        </w:tcBorders>
      </w:tcPr>
    </w:tblStylePr>
  </w:style>
  <w:style w:type="table" w:styleId="ListTable3-Accent1">
    <w:name w:val="List Table 3 Accent 1"/>
    <w:basedOn w:val="TableNormal"/>
    <w:uiPriority w:val="48"/>
    <w:rsid w:val="00F527CC"/>
    <w:pPr>
      <w:spacing w:after="0" w:line="240" w:lineRule="auto"/>
    </w:pPr>
    <w:tblPr>
      <w:tblStyleRowBandSize w:val="1"/>
      <w:tblStyleColBandSize w:val="1"/>
      <w:tblBorders>
        <w:top w:val="single" w:sz="4" w:space="0" w:color="C7C8CA" w:themeColor="accent1"/>
        <w:left w:val="single" w:sz="4" w:space="0" w:color="C7C8CA" w:themeColor="accent1"/>
        <w:bottom w:val="single" w:sz="4" w:space="0" w:color="C7C8CA" w:themeColor="accent1"/>
        <w:right w:val="single" w:sz="4" w:space="0" w:color="C7C8CA" w:themeColor="accent1"/>
      </w:tblBorders>
    </w:tblPr>
    <w:tblStylePr w:type="firstRow">
      <w:rPr>
        <w:b/>
        <w:bCs/>
        <w:color w:val="FFFFFF" w:themeColor="background1"/>
      </w:rPr>
      <w:tblPr/>
      <w:tcPr>
        <w:shd w:val="clear" w:color="auto" w:fill="C7C8CA" w:themeFill="accent1"/>
      </w:tcPr>
    </w:tblStylePr>
    <w:tblStylePr w:type="lastRow">
      <w:rPr>
        <w:b/>
        <w:bCs/>
      </w:rPr>
      <w:tblPr/>
      <w:tcPr>
        <w:tcBorders>
          <w:top w:val="double" w:sz="4" w:space="0" w:color="C7C8C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7C8CA" w:themeColor="accent1"/>
          <w:right w:val="single" w:sz="4" w:space="0" w:color="C7C8CA" w:themeColor="accent1"/>
        </w:tcBorders>
      </w:tcPr>
    </w:tblStylePr>
    <w:tblStylePr w:type="band1Horz">
      <w:tblPr/>
      <w:tcPr>
        <w:tcBorders>
          <w:top w:val="single" w:sz="4" w:space="0" w:color="C7C8CA" w:themeColor="accent1"/>
          <w:bottom w:val="single" w:sz="4" w:space="0" w:color="C7C8C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7C8CA" w:themeColor="accent1"/>
          <w:left w:val="nil"/>
        </w:tcBorders>
      </w:tcPr>
    </w:tblStylePr>
    <w:tblStylePr w:type="swCell">
      <w:tblPr/>
      <w:tcPr>
        <w:tcBorders>
          <w:top w:val="double" w:sz="4" w:space="0" w:color="C7C8CA" w:themeColor="accent1"/>
          <w:right w:val="nil"/>
        </w:tcBorders>
      </w:tcPr>
    </w:tblStylePr>
  </w:style>
  <w:style w:type="table" w:styleId="ListTable3-Accent2">
    <w:name w:val="List Table 3 Accent 2"/>
    <w:basedOn w:val="TableNormal"/>
    <w:uiPriority w:val="48"/>
    <w:rsid w:val="00F527CC"/>
    <w:pPr>
      <w:spacing w:after="0" w:line="240" w:lineRule="auto"/>
    </w:pPr>
    <w:tblPr>
      <w:tblStyleRowBandSize w:val="1"/>
      <w:tblStyleColBandSize w:val="1"/>
      <w:tblBorders>
        <w:top w:val="single" w:sz="4" w:space="0" w:color="939598" w:themeColor="accent2"/>
        <w:left w:val="single" w:sz="4" w:space="0" w:color="939598" w:themeColor="accent2"/>
        <w:bottom w:val="single" w:sz="4" w:space="0" w:color="939598" w:themeColor="accent2"/>
        <w:right w:val="single" w:sz="4" w:space="0" w:color="939598" w:themeColor="accent2"/>
      </w:tblBorders>
    </w:tblPr>
    <w:tblStylePr w:type="firstRow">
      <w:rPr>
        <w:b/>
        <w:bCs/>
        <w:color w:val="FFFFFF" w:themeColor="background1"/>
      </w:rPr>
      <w:tblPr/>
      <w:tcPr>
        <w:shd w:val="clear" w:color="auto" w:fill="939598" w:themeFill="accent2"/>
      </w:tcPr>
    </w:tblStylePr>
    <w:tblStylePr w:type="lastRow">
      <w:rPr>
        <w:b/>
        <w:bCs/>
      </w:rPr>
      <w:tblPr/>
      <w:tcPr>
        <w:tcBorders>
          <w:top w:val="double" w:sz="4" w:space="0" w:color="93959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39598" w:themeColor="accent2"/>
          <w:right w:val="single" w:sz="4" w:space="0" w:color="939598" w:themeColor="accent2"/>
        </w:tcBorders>
      </w:tcPr>
    </w:tblStylePr>
    <w:tblStylePr w:type="band1Horz">
      <w:tblPr/>
      <w:tcPr>
        <w:tcBorders>
          <w:top w:val="single" w:sz="4" w:space="0" w:color="939598" w:themeColor="accent2"/>
          <w:bottom w:val="single" w:sz="4" w:space="0" w:color="93959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39598" w:themeColor="accent2"/>
          <w:left w:val="nil"/>
        </w:tcBorders>
      </w:tcPr>
    </w:tblStylePr>
    <w:tblStylePr w:type="swCell">
      <w:tblPr/>
      <w:tcPr>
        <w:tcBorders>
          <w:top w:val="double" w:sz="4" w:space="0" w:color="939598" w:themeColor="accent2"/>
          <w:right w:val="nil"/>
        </w:tcBorders>
      </w:tcPr>
    </w:tblStylePr>
  </w:style>
  <w:style w:type="table" w:styleId="ListTable3-Accent3">
    <w:name w:val="List Table 3 Accent 3"/>
    <w:basedOn w:val="TableNormal"/>
    <w:uiPriority w:val="48"/>
    <w:rsid w:val="00F527CC"/>
    <w:pPr>
      <w:spacing w:after="0" w:line="240" w:lineRule="auto"/>
    </w:pPr>
    <w:tblPr>
      <w:tblStyleRowBandSize w:val="1"/>
      <w:tblStyleColBandSize w:val="1"/>
      <w:tblBorders>
        <w:top w:val="single" w:sz="4" w:space="0" w:color="636466" w:themeColor="accent3"/>
        <w:left w:val="single" w:sz="4" w:space="0" w:color="636466" w:themeColor="accent3"/>
        <w:bottom w:val="single" w:sz="4" w:space="0" w:color="636466" w:themeColor="accent3"/>
        <w:right w:val="single" w:sz="4" w:space="0" w:color="636466" w:themeColor="accent3"/>
      </w:tblBorders>
    </w:tblPr>
    <w:tblStylePr w:type="firstRow">
      <w:rPr>
        <w:b/>
        <w:bCs/>
        <w:color w:val="FFFFFF" w:themeColor="background1"/>
      </w:rPr>
      <w:tblPr/>
      <w:tcPr>
        <w:shd w:val="clear" w:color="auto" w:fill="636466" w:themeFill="accent3"/>
      </w:tcPr>
    </w:tblStylePr>
    <w:tblStylePr w:type="lastRow">
      <w:rPr>
        <w:b/>
        <w:bCs/>
      </w:rPr>
      <w:tblPr/>
      <w:tcPr>
        <w:tcBorders>
          <w:top w:val="double" w:sz="4" w:space="0" w:color="63646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6466" w:themeColor="accent3"/>
          <w:right w:val="single" w:sz="4" w:space="0" w:color="636466" w:themeColor="accent3"/>
        </w:tcBorders>
      </w:tcPr>
    </w:tblStylePr>
    <w:tblStylePr w:type="band1Horz">
      <w:tblPr/>
      <w:tcPr>
        <w:tcBorders>
          <w:top w:val="single" w:sz="4" w:space="0" w:color="636466" w:themeColor="accent3"/>
          <w:bottom w:val="single" w:sz="4" w:space="0" w:color="63646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6466" w:themeColor="accent3"/>
          <w:left w:val="nil"/>
        </w:tcBorders>
      </w:tcPr>
    </w:tblStylePr>
    <w:tblStylePr w:type="swCell">
      <w:tblPr/>
      <w:tcPr>
        <w:tcBorders>
          <w:top w:val="double" w:sz="4" w:space="0" w:color="636466" w:themeColor="accent3"/>
          <w:right w:val="nil"/>
        </w:tcBorders>
      </w:tcPr>
    </w:tblStylePr>
  </w:style>
  <w:style w:type="table" w:styleId="ListTable3-Accent4">
    <w:name w:val="List Table 3 Accent 4"/>
    <w:basedOn w:val="TableNormal"/>
    <w:uiPriority w:val="48"/>
    <w:rsid w:val="00F527CC"/>
    <w:pPr>
      <w:spacing w:after="0" w:line="240" w:lineRule="auto"/>
    </w:pPr>
    <w:tblPr>
      <w:tblStyleRowBandSize w:val="1"/>
      <w:tblStyleColBandSize w:val="1"/>
      <w:tblBorders>
        <w:top w:val="single" w:sz="4" w:space="0" w:color="CD202C" w:themeColor="accent4"/>
        <w:left w:val="single" w:sz="4" w:space="0" w:color="CD202C" w:themeColor="accent4"/>
        <w:bottom w:val="single" w:sz="4" w:space="0" w:color="CD202C" w:themeColor="accent4"/>
        <w:right w:val="single" w:sz="4" w:space="0" w:color="CD202C" w:themeColor="accent4"/>
      </w:tblBorders>
    </w:tblPr>
    <w:tblStylePr w:type="firstRow">
      <w:rPr>
        <w:b/>
        <w:bCs/>
        <w:color w:val="FFFFFF" w:themeColor="background1"/>
      </w:rPr>
      <w:tblPr/>
      <w:tcPr>
        <w:shd w:val="clear" w:color="auto" w:fill="CD202C" w:themeFill="accent4"/>
      </w:tcPr>
    </w:tblStylePr>
    <w:tblStylePr w:type="lastRow">
      <w:rPr>
        <w:b/>
        <w:bCs/>
      </w:rPr>
      <w:tblPr/>
      <w:tcPr>
        <w:tcBorders>
          <w:top w:val="double" w:sz="4" w:space="0" w:color="CD20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202C" w:themeColor="accent4"/>
          <w:right w:val="single" w:sz="4" w:space="0" w:color="CD202C" w:themeColor="accent4"/>
        </w:tcBorders>
      </w:tcPr>
    </w:tblStylePr>
    <w:tblStylePr w:type="band1Horz">
      <w:tblPr/>
      <w:tcPr>
        <w:tcBorders>
          <w:top w:val="single" w:sz="4" w:space="0" w:color="CD202C" w:themeColor="accent4"/>
          <w:bottom w:val="single" w:sz="4" w:space="0" w:color="CD20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202C" w:themeColor="accent4"/>
          <w:left w:val="nil"/>
        </w:tcBorders>
      </w:tcPr>
    </w:tblStylePr>
    <w:tblStylePr w:type="swCell">
      <w:tblPr/>
      <w:tcPr>
        <w:tcBorders>
          <w:top w:val="double" w:sz="4" w:space="0" w:color="CD202C" w:themeColor="accent4"/>
          <w:right w:val="nil"/>
        </w:tcBorders>
      </w:tcPr>
    </w:tblStylePr>
  </w:style>
  <w:style w:type="table" w:styleId="ListTable3-Accent5">
    <w:name w:val="List Table 3 Accent 5"/>
    <w:basedOn w:val="TableNormal"/>
    <w:uiPriority w:val="48"/>
    <w:rsid w:val="00F527CC"/>
    <w:pPr>
      <w:spacing w:after="0" w:line="240" w:lineRule="auto"/>
    </w:pPr>
    <w:tblPr>
      <w:tblStyleRowBandSize w:val="1"/>
      <w:tblStyleColBandSize w:val="1"/>
      <w:tblBorders>
        <w:top w:val="single" w:sz="4" w:space="0" w:color="0055AA" w:themeColor="accent5"/>
        <w:left w:val="single" w:sz="4" w:space="0" w:color="0055AA" w:themeColor="accent5"/>
        <w:bottom w:val="single" w:sz="4" w:space="0" w:color="0055AA" w:themeColor="accent5"/>
        <w:right w:val="single" w:sz="4" w:space="0" w:color="0055AA" w:themeColor="accent5"/>
      </w:tblBorders>
    </w:tblPr>
    <w:tblStylePr w:type="firstRow">
      <w:rPr>
        <w:b/>
        <w:bCs/>
        <w:color w:val="FFFFFF" w:themeColor="background1"/>
      </w:rPr>
      <w:tblPr/>
      <w:tcPr>
        <w:shd w:val="clear" w:color="auto" w:fill="0055AA" w:themeFill="accent5"/>
      </w:tcPr>
    </w:tblStylePr>
    <w:tblStylePr w:type="lastRow">
      <w:rPr>
        <w:b/>
        <w:bCs/>
      </w:rPr>
      <w:tblPr/>
      <w:tcPr>
        <w:tcBorders>
          <w:top w:val="double" w:sz="4" w:space="0" w:color="0055A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AA" w:themeColor="accent5"/>
          <w:right w:val="single" w:sz="4" w:space="0" w:color="0055AA" w:themeColor="accent5"/>
        </w:tcBorders>
      </w:tcPr>
    </w:tblStylePr>
    <w:tblStylePr w:type="band1Horz">
      <w:tblPr/>
      <w:tcPr>
        <w:tcBorders>
          <w:top w:val="single" w:sz="4" w:space="0" w:color="0055AA" w:themeColor="accent5"/>
          <w:bottom w:val="single" w:sz="4" w:space="0" w:color="0055A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AA" w:themeColor="accent5"/>
          <w:left w:val="nil"/>
        </w:tcBorders>
      </w:tcPr>
    </w:tblStylePr>
    <w:tblStylePr w:type="swCell">
      <w:tblPr/>
      <w:tcPr>
        <w:tcBorders>
          <w:top w:val="double" w:sz="4" w:space="0" w:color="0055AA" w:themeColor="accent5"/>
          <w:right w:val="nil"/>
        </w:tcBorders>
      </w:tcPr>
    </w:tblStylePr>
  </w:style>
  <w:style w:type="table" w:styleId="ListTable3-Accent6">
    <w:name w:val="List Table 3 Accent 6"/>
    <w:basedOn w:val="TableNormal"/>
    <w:uiPriority w:val="48"/>
    <w:rsid w:val="00F527CC"/>
    <w:pPr>
      <w:spacing w:after="0" w:line="240" w:lineRule="auto"/>
    </w:pPr>
    <w:tblPr>
      <w:tblStyleRowBandSize w:val="1"/>
      <w:tblStyleColBandSize w:val="1"/>
      <w:tblBorders>
        <w:top w:val="single" w:sz="4" w:space="0" w:color="FFAA22" w:themeColor="accent6"/>
        <w:left w:val="single" w:sz="4" w:space="0" w:color="FFAA22" w:themeColor="accent6"/>
        <w:bottom w:val="single" w:sz="4" w:space="0" w:color="FFAA22" w:themeColor="accent6"/>
        <w:right w:val="single" w:sz="4" w:space="0" w:color="FFAA22" w:themeColor="accent6"/>
      </w:tblBorders>
    </w:tblPr>
    <w:tblStylePr w:type="firstRow">
      <w:rPr>
        <w:b/>
        <w:bCs/>
        <w:color w:val="FFFFFF" w:themeColor="background1"/>
      </w:rPr>
      <w:tblPr/>
      <w:tcPr>
        <w:shd w:val="clear" w:color="auto" w:fill="FFAA22" w:themeFill="accent6"/>
      </w:tcPr>
    </w:tblStylePr>
    <w:tblStylePr w:type="lastRow">
      <w:rPr>
        <w:b/>
        <w:bCs/>
      </w:rPr>
      <w:tblPr/>
      <w:tcPr>
        <w:tcBorders>
          <w:top w:val="double" w:sz="4" w:space="0" w:color="FFAA2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AA22" w:themeColor="accent6"/>
          <w:right w:val="single" w:sz="4" w:space="0" w:color="FFAA22" w:themeColor="accent6"/>
        </w:tcBorders>
      </w:tcPr>
    </w:tblStylePr>
    <w:tblStylePr w:type="band1Horz">
      <w:tblPr/>
      <w:tcPr>
        <w:tcBorders>
          <w:top w:val="single" w:sz="4" w:space="0" w:color="FFAA22" w:themeColor="accent6"/>
          <w:bottom w:val="single" w:sz="4" w:space="0" w:color="FFAA2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AA22" w:themeColor="accent6"/>
          <w:left w:val="nil"/>
        </w:tcBorders>
      </w:tcPr>
    </w:tblStylePr>
    <w:tblStylePr w:type="swCell">
      <w:tblPr/>
      <w:tcPr>
        <w:tcBorders>
          <w:top w:val="double" w:sz="4" w:space="0" w:color="FFAA22" w:themeColor="accent6"/>
          <w:right w:val="nil"/>
        </w:tcBorders>
      </w:tcPr>
    </w:tblStylePr>
  </w:style>
  <w:style w:type="table" w:styleId="ListTable4">
    <w:name w:val="List Table 4"/>
    <w:basedOn w:val="TableNormal"/>
    <w:uiPriority w:val="49"/>
    <w:rsid w:val="00F527CC"/>
    <w:pPr>
      <w:spacing w:after="0" w:line="240" w:lineRule="auto"/>
    </w:pPr>
    <w:tblPr>
      <w:tblStyleRowBandSize w:val="1"/>
      <w:tblStyleColBandSize w:val="1"/>
      <w:tblBorders>
        <w:top w:val="single" w:sz="4" w:space="0" w:color="8C8C8C" w:themeColor="text1" w:themeTint="99"/>
        <w:left w:val="single" w:sz="4" w:space="0" w:color="8C8C8C" w:themeColor="text1" w:themeTint="99"/>
        <w:bottom w:val="single" w:sz="4" w:space="0" w:color="8C8C8C" w:themeColor="text1" w:themeTint="99"/>
        <w:right w:val="single" w:sz="4" w:space="0" w:color="8C8C8C" w:themeColor="text1" w:themeTint="99"/>
        <w:insideH w:val="single" w:sz="4" w:space="0" w:color="8C8C8C" w:themeColor="text1" w:themeTint="99"/>
      </w:tblBorders>
    </w:tblPr>
    <w:tblStylePr w:type="firstRow">
      <w:rPr>
        <w:b/>
        <w:bCs/>
        <w:color w:val="FFFFFF" w:themeColor="background1"/>
      </w:rPr>
      <w:tblPr/>
      <w:tcPr>
        <w:tcBorders>
          <w:top w:val="single" w:sz="4" w:space="0" w:color="404040" w:themeColor="text1"/>
          <w:left w:val="single" w:sz="4" w:space="0" w:color="404040" w:themeColor="text1"/>
          <w:bottom w:val="single" w:sz="4" w:space="0" w:color="404040" w:themeColor="text1"/>
          <w:right w:val="single" w:sz="4" w:space="0" w:color="404040" w:themeColor="text1"/>
          <w:insideH w:val="nil"/>
        </w:tcBorders>
        <w:shd w:val="clear" w:color="auto" w:fill="404040" w:themeFill="text1"/>
      </w:tcPr>
    </w:tblStylePr>
    <w:tblStylePr w:type="lastRow">
      <w:rPr>
        <w:b/>
        <w:bCs/>
      </w:rPr>
      <w:tblPr/>
      <w:tcPr>
        <w:tcBorders>
          <w:top w:val="double" w:sz="4" w:space="0" w:color="8C8C8C"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ListTable4-Accent1">
    <w:name w:val="List Table 4 Accent 1"/>
    <w:basedOn w:val="TableNormal"/>
    <w:uiPriority w:val="49"/>
    <w:rsid w:val="00F527CC"/>
    <w:pPr>
      <w:spacing w:after="0" w:line="240" w:lineRule="auto"/>
    </w:pPr>
    <w:tblPr>
      <w:tblStyleRowBandSize w:val="1"/>
      <w:tblStyleColBandSize w:val="1"/>
      <w:tblBorders>
        <w:top w:val="single" w:sz="4" w:space="0" w:color="DDDDDF" w:themeColor="accent1" w:themeTint="99"/>
        <w:left w:val="single" w:sz="4" w:space="0" w:color="DDDDDF" w:themeColor="accent1" w:themeTint="99"/>
        <w:bottom w:val="single" w:sz="4" w:space="0" w:color="DDDDDF" w:themeColor="accent1" w:themeTint="99"/>
        <w:right w:val="single" w:sz="4" w:space="0" w:color="DDDDDF" w:themeColor="accent1" w:themeTint="99"/>
        <w:insideH w:val="single" w:sz="4" w:space="0" w:color="DDDDDF" w:themeColor="accent1" w:themeTint="99"/>
      </w:tblBorders>
    </w:tblPr>
    <w:tblStylePr w:type="firstRow">
      <w:rPr>
        <w:b/>
        <w:bCs/>
        <w:color w:val="FFFFFF" w:themeColor="background1"/>
      </w:rPr>
      <w:tblPr/>
      <w:tcPr>
        <w:tcBorders>
          <w:top w:val="single" w:sz="4" w:space="0" w:color="C7C8CA" w:themeColor="accent1"/>
          <w:left w:val="single" w:sz="4" w:space="0" w:color="C7C8CA" w:themeColor="accent1"/>
          <w:bottom w:val="single" w:sz="4" w:space="0" w:color="C7C8CA" w:themeColor="accent1"/>
          <w:right w:val="single" w:sz="4" w:space="0" w:color="C7C8CA" w:themeColor="accent1"/>
          <w:insideH w:val="nil"/>
        </w:tcBorders>
        <w:shd w:val="clear" w:color="auto" w:fill="C7C8CA" w:themeFill="accent1"/>
      </w:tcPr>
    </w:tblStylePr>
    <w:tblStylePr w:type="lastRow">
      <w:rPr>
        <w:b/>
        <w:bCs/>
      </w:rPr>
      <w:tblPr/>
      <w:tcPr>
        <w:tcBorders>
          <w:top w:val="double" w:sz="4" w:space="0" w:color="DDDDDF" w:themeColor="accent1" w:themeTint="99"/>
        </w:tcBorders>
      </w:tcPr>
    </w:tblStylePr>
    <w:tblStylePr w:type="firstCol">
      <w:rPr>
        <w:b/>
        <w:bCs/>
      </w:rPr>
    </w:tblStylePr>
    <w:tblStylePr w:type="lastCol">
      <w:rPr>
        <w:b/>
        <w:bCs/>
      </w:rPr>
    </w:tblStylePr>
    <w:tblStylePr w:type="band1Vert">
      <w:tblPr/>
      <w:tcPr>
        <w:shd w:val="clear" w:color="auto" w:fill="F3F3F4" w:themeFill="accent1" w:themeFillTint="33"/>
      </w:tcPr>
    </w:tblStylePr>
    <w:tblStylePr w:type="band1Horz">
      <w:tblPr/>
      <w:tcPr>
        <w:shd w:val="clear" w:color="auto" w:fill="F3F3F4" w:themeFill="accent1" w:themeFillTint="33"/>
      </w:tcPr>
    </w:tblStylePr>
  </w:style>
  <w:style w:type="table" w:styleId="ListTable4-Accent2">
    <w:name w:val="List Table 4 Accent 2"/>
    <w:basedOn w:val="TableNormal"/>
    <w:uiPriority w:val="49"/>
    <w:rsid w:val="00F527CC"/>
    <w:pPr>
      <w:spacing w:after="0" w:line="240" w:lineRule="auto"/>
    </w:pPr>
    <w:tblPr>
      <w:tblStyleRowBandSize w:val="1"/>
      <w:tblStyleColBandSize w:val="1"/>
      <w:tblBorders>
        <w:top w:val="single" w:sz="4" w:space="0" w:color="BEBFC1" w:themeColor="accent2" w:themeTint="99"/>
        <w:left w:val="single" w:sz="4" w:space="0" w:color="BEBFC1" w:themeColor="accent2" w:themeTint="99"/>
        <w:bottom w:val="single" w:sz="4" w:space="0" w:color="BEBFC1" w:themeColor="accent2" w:themeTint="99"/>
        <w:right w:val="single" w:sz="4" w:space="0" w:color="BEBFC1" w:themeColor="accent2" w:themeTint="99"/>
        <w:insideH w:val="single" w:sz="4" w:space="0" w:color="BEBFC1" w:themeColor="accent2" w:themeTint="99"/>
      </w:tblBorders>
    </w:tblPr>
    <w:tblStylePr w:type="firstRow">
      <w:rPr>
        <w:b/>
        <w:bCs/>
        <w:color w:val="FFFFFF" w:themeColor="background1"/>
      </w:rPr>
      <w:tblPr/>
      <w:tcPr>
        <w:tcBorders>
          <w:top w:val="single" w:sz="4" w:space="0" w:color="939598" w:themeColor="accent2"/>
          <w:left w:val="single" w:sz="4" w:space="0" w:color="939598" w:themeColor="accent2"/>
          <w:bottom w:val="single" w:sz="4" w:space="0" w:color="939598" w:themeColor="accent2"/>
          <w:right w:val="single" w:sz="4" w:space="0" w:color="939598" w:themeColor="accent2"/>
          <w:insideH w:val="nil"/>
        </w:tcBorders>
        <w:shd w:val="clear" w:color="auto" w:fill="939598" w:themeFill="accent2"/>
      </w:tcPr>
    </w:tblStylePr>
    <w:tblStylePr w:type="lastRow">
      <w:rPr>
        <w:b/>
        <w:bCs/>
      </w:rPr>
      <w:tblPr/>
      <w:tcPr>
        <w:tcBorders>
          <w:top w:val="double" w:sz="4" w:space="0" w:color="BEBFC1" w:themeColor="accent2" w:themeTint="99"/>
        </w:tcBorders>
      </w:tcPr>
    </w:tblStylePr>
    <w:tblStylePr w:type="firstCol">
      <w:rPr>
        <w:b/>
        <w:bCs/>
      </w:rPr>
    </w:tblStylePr>
    <w:tblStylePr w:type="lastCol">
      <w:rPr>
        <w:b/>
        <w:bCs/>
      </w:rPr>
    </w:tblStylePr>
    <w:tblStylePr w:type="band1Vert">
      <w:tblPr/>
      <w:tcPr>
        <w:shd w:val="clear" w:color="auto" w:fill="E9E9EA" w:themeFill="accent2" w:themeFillTint="33"/>
      </w:tcPr>
    </w:tblStylePr>
    <w:tblStylePr w:type="band1Horz">
      <w:tblPr/>
      <w:tcPr>
        <w:shd w:val="clear" w:color="auto" w:fill="E9E9EA" w:themeFill="accent2" w:themeFillTint="33"/>
      </w:tcPr>
    </w:tblStylePr>
  </w:style>
  <w:style w:type="table" w:styleId="ListTable4-Accent3">
    <w:name w:val="List Table 4 Accent 3"/>
    <w:basedOn w:val="TableNormal"/>
    <w:uiPriority w:val="49"/>
    <w:rsid w:val="00F527CC"/>
    <w:pPr>
      <w:spacing w:after="0" w:line="240" w:lineRule="auto"/>
    </w:pPr>
    <w:tblPr>
      <w:tblStyleRowBandSize w:val="1"/>
      <w:tblStyleColBandSize w:val="1"/>
      <w:tblBorders>
        <w:top w:val="single" w:sz="4" w:space="0" w:color="A0A1A3" w:themeColor="accent3" w:themeTint="99"/>
        <w:left w:val="single" w:sz="4" w:space="0" w:color="A0A1A3" w:themeColor="accent3" w:themeTint="99"/>
        <w:bottom w:val="single" w:sz="4" w:space="0" w:color="A0A1A3" w:themeColor="accent3" w:themeTint="99"/>
        <w:right w:val="single" w:sz="4" w:space="0" w:color="A0A1A3" w:themeColor="accent3" w:themeTint="99"/>
        <w:insideH w:val="single" w:sz="4" w:space="0" w:color="A0A1A3" w:themeColor="accent3" w:themeTint="99"/>
      </w:tblBorders>
    </w:tblPr>
    <w:tblStylePr w:type="firstRow">
      <w:rPr>
        <w:b/>
        <w:bCs/>
        <w:color w:val="FFFFFF" w:themeColor="background1"/>
      </w:rPr>
      <w:tblPr/>
      <w:tcPr>
        <w:tcBorders>
          <w:top w:val="single" w:sz="4" w:space="0" w:color="636466" w:themeColor="accent3"/>
          <w:left w:val="single" w:sz="4" w:space="0" w:color="636466" w:themeColor="accent3"/>
          <w:bottom w:val="single" w:sz="4" w:space="0" w:color="636466" w:themeColor="accent3"/>
          <w:right w:val="single" w:sz="4" w:space="0" w:color="636466" w:themeColor="accent3"/>
          <w:insideH w:val="nil"/>
        </w:tcBorders>
        <w:shd w:val="clear" w:color="auto" w:fill="636466" w:themeFill="accent3"/>
      </w:tcPr>
    </w:tblStylePr>
    <w:tblStylePr w:type="lastRow">
      <w:rPr>
        <w:b/>
        <w:bCs/>
      </w:rPr>
      <w:tblPr/>
      <w:tcPr>
        <w:tcBorders>
          <w:top w:val="double" w:sz="4" w:space="0" w:color="A0A1A3" w:themeColor="accent3" w:themeTint="99"/>
        </w:tcBorders>
      </w:tcPr>
    </w:tblStylePr>
    <w:tblStylePr w:type="firstCol">
      <w:rPr>
        <w:b/>
        <w:bCs/>
      </w:rPr>
    </w:tblStylePr>
    <w:tblStylePr w:type="lastCol">
      <w:rPr>
        <w:b/>
        <w:bCs/>
      </w:rPr>
    </w:tblStylePr>
    <w:tblStylePr w:type="band1Vert">
      <w:tblPr/>
      <w:tcPr>
        <w:shd w:val="clear" w:color="auto" w:fill="DFDFE0" w:themeFill="accent3" w:themeFillTint="33"/>
      </w:tcPr>
    </w:tblStylePr>
    <w:tblStylePr w:type="band1Horz">
      <w:tblPr/>
      <w:tcPr>
        <w:shd w:val="clear" w:color="auto" w:fill="DFDFE0" w:themeFill="accent3" w:themeFillTint="33"/>
      </w:tcPr>
    </w:tblStylePr>
  </w:style>
  <w:style w:type="table" w:styleId="ListTable4-Accent4">
    <w:name w:val="List Table 4 Accent 4"/>
    <w:basedOn w:val="TableNormal"/>
    <w:uiPriority w:val="49"/>
    <w:rsid w:val="00F527CC"/>
    <w:pPr>
      <w:spacing w:after="0" w:line="240" w:lineRule="auto"/>
    </w:pPr>
    <w:tblPr>
      <w:tblStyleRowBandSize w:val="1"/>
      <w:tblStyleColBandSize w:val="1"/>
      <w:tblBorders>
        <w:top w:val="single" w:sz="4" w:space="0" w:color="E87179" w:themeColor="accent4" w:themeTint="99"/>
        <w:left w:val="single" w:sz="4" w:space="0" w:color="E87179" w:themeColor="accent4" w:themeTint="99"/>
        <w:bottom w:val="single" w:sz="4" w:space="0" w:color="E87179" w:themeColor="accent4" w:themeTint="99"/>
        <w:right w:val="single" w:sz="4" w:space="0" w:color="E87179" w:themeColor="accent4" w:themeTint="99"/>
        <w:insideH w:val="single" w:sz="4" w:space="0" w:color="E87179" w:themeColor="accent4" w:themeTint="99"/>
      </w:tblBorders>
    </w:tblPr>
    <w:tblStylePr w:type="firstRow">
      <w:rPr>
        <w:b/>
        <w:bCs/>
        <w:color w:val="FFFFFF" w:themeColor="background1"/>
      </w:rPr>
      <w:tblPr/>
      <w:tcPr>
        <w:tcBorders>
          <w:top w:val="single" w:sz="4" w:space="0" w:color="CD202C" w:themeColor="accent4"/>
          <w:left w:val="single" w:sz="4" w:space="0" w:color="CD202C" w:themeColor="accent4"/>
          <w:bottom w:val="single" w:sz="4" w:space="0" w:color="CD202C" w:themeColor="accent4"/>
          <w:right w:val="single" w:sz="4" w:space="0" w:color="CD202C" w:themeColor="accent4"/>
          <w:insideH w:val="nil"/>
        </w:tcBorders>
        <w:shd w:val="clear" w:color="auto" w:fill="CD202C" w:themeFill="accent4"/>
      </w:tcPr>
    </w:tblStylePr>
    <w:tblStylePr w:type="lastRow">
      <w:rPr>
        <w:b/>
        <w:bCs/>
      </w:rPr>
      <w:tblPr/>
      <w:tcPr>
        <w:tcBorders>
          <w:top w:val="double" w:sz="4" w:space="0" w:color="E87179" w:themeColor="accent4" w:themeTint="99"/>
        </w:tcBorders>
      </w:tcPr>
    </w:tblStylePr>
    <w:tblStylePr w:type="firstCol">
      <w:rPr>
        <w:b/>
        <w:bCs/>
      </w:rPr>
    </w:tblStylePr>
    <w:tblStylePr w:type="lastCol">
      <w:rPr>
        <w:b/>
        <w:bCs/>
      </w:rPr>
    </w:tblStylePr>
    <w:tblStylePr w:type="band1Vert">
      <w:tblPr/>
      <w:tcPr>
        <w:shd w:val="clear" w:color="auto" w:fill="F7CFD2" w:themeFill="accent4" w:themeFillTint="33"/>
      </w:tcPr>
    </w:tblStylePr>
    <w:tblStylePr w:type="band1Horz">
      <w:tblPr/>
      <w:tcPr>
        <w:shd w:val="clear" w:color="auto" w:fill="F7CFD2" w:themeFill="accent4" w:themeFillTint="33"/>
      </w:tcPr>
    </w:tblStylePr>
  </w:style>
  <w:style w:type="table" w:styleId="ListTable4-Accent5">
    <w:name w:val="List Table 4 Accent 5"/>
    <w:basedOn w:val="TableNormal"/>
    <w:uiPriority w:val="49"/>
    <w:rsid w:val="00F527CC"/>
    <w:pPr>
      <w:spacing w:after="0" w:line="240" w:lineRule="auto"/>
    </w:pPr>
    <w:tblPr>
      <w:tblStyleRowBandSize w:val="1"/>
      <w:tblStyleColBandSize w:val="1"/>
      <w:tblBorders>
        <w:top w:val="single" w:sz="4" w:space="0" w:color="3398FF" w:themeColor="accent5" w:themeTint="99"/>
        <w:left w:val="single" w:sz="4" w:space="0" w:color="3398FF" w:themeColor="accent5" w:themeTint="99"/>
        <w:bottom w:val="single" w:sz="4" w:space="0" w:color="3398FF" w:themeColor="accent5" w:themeTint="99"/>
        <w:right w:val="single" w:sz="4" w:space="0" w:color="3398FF" w:themeColor="accent5" w:themeTint="99"/>
        <w:insideH w:val="single" w:sz="4" w:space="0" w:color="3398FF" w:themeColor="accent5" w:themeTint="99"/>
      </w:tblBorders>
    </w:tblPr>
    <w:tblStylePr w:type="firstRow">
      <w:rPr>
        <w:b/>
        <w:bCs/>
        <w:color w:val="FFFFFF" w:themeColor="background1"/>
      </w:rPr>
      <w:tblPr/>
      <w:tcPr>
        <w:tcBorders>
          <w:top w:val="single" w:sz="4" w:space="0" w:color="0055AA" w:themeColor="accent5"/>
          <w:left w:val="single" w:sz="4" w:space="0" w:color="0055AA" w:themeColor="accent5"/>
          <w:bottom w:val="single" w:sz="4" w:space="0" w:color="0055AA" w:themeColor="accent5"/>
          <w:right w:val="single" w:sz="4" w:space="0" w:color="0055AA" w:themeColor="accent5"/>
          <w:insideH w:val="nil"/>
        </w:tcBorders>
        <w:shd w:val="clear" w:color="auto" w:fill="0055AA" w:themeFill="accent5"/>
      </w:tcPr>
    </w:tblStylePr>
    <w:tblStylePr w:type="lastRow">
      <w:rPr>
        <w:b/>
        <w:bCs/>
      </w:rPr>
      <w:tblPr/>
      <w:tcPr>
        <w:tcBorders>
          <w:top w:val="double" w:sz="4" w:space="0" w:color="3398FF" w:themeColor="accent5" w:themeTint="99"/>
        </w:tcBorders>
      </w:tcPr>
    </w:tblStylePr>
    <w:tblStylePr w:type="firstCol">
      <w:rPr>
        <w:b/>
        <w:bCs/>
      </w:rPr>
    </w:tblStylePr>
    <w:tblStylePr w:type="lastCol">
      <w:rPr>
        <w:b/>
        <w:bCs/>
      </w:rPr>
    </w:tblStylePr>
    <w:tblStylePr w:type="band1Vert">
      <w:tblPr/>
      <w:tcPr>
        <w:shd w:val="clear" w:color="auto" w:fill="BBDCFF" w:themeFill="accent5" w:themeFillTint="33"/>
      </w:tcPr>
    </w:tblStylePr>
    <w:tblStylePr w:type="band1Horz">
      <w:tblPr/>
      <w:tcPr>
        <w:shd w:val="clear" w:color="auto" w:fill="BBDCFF" w:themeFill="accent5" w:themeFillTint="33"/>
      </w:tcPr>
    </w:tblStylePr>
  </w:style>
  <w:style w:type="table" w:styleId="ListTable4-Accent6">
    <w:name w:val="List Table 4 Accent 6"/>
    <w:basedOn w:val="TableNormal"/>
    <w:uiPriority w:val="49"/>
    <w:rsid w:val="00F527CC"/>
    <w:pPr>
      <w:spacing w:after="0" w:line="240" w:lineRule="auto"/>
    </w:pPr>
    <w:tblPr>
      <w:tblStyleRowBandSize w:val="1"/>
      <w:tblStyleColBandSize w:val="1"/>
      <w:tblBorders>
        <w:top w:val="single" w:sz="4" w:space="0" w:color="FFCB7A" w:themeColor="accent6" w:themeTint="99"/>
        <w:left w:val="single" w:sz="4" w:space="0" w:color="FFCB7A" w:themeColor="accent6" w:themeTint="99"/>
        <w:bottom w:val="single" w:sz="4" w:space="0" w:color="FFCB7A" w:themeColor="accent6" w:themeTint="99"/>
        <w:right w:val="single" w:sz="4" w:space="0" w:color="FFCB7A" w:themeColor="accent6" w:themeTint="99"/>
        <w:insideH w:val="single" w:sz="4" w:space="0" w:color="FFCB7A" w:themeColor="accent6" w:themeTint="99"/>
      </w:tblBorders>
    </w:tblPr>
    <w:tblStylePr w:type="firstRow">
      <w:rPr>
        <w:b/>
        <w:bCs/>
        <w:color w:val="FFFFFF" w:themeColor="background1"/>
      </w:rPr>
      <w:tblPr/>
      <w:tcPr>
        <w:tcBorders>
          <w:top w:val="single" w:sz="4" w:space="0" w:color="FFAA22" w:themeColor="accent6"/>
          <w:left w:val="single" w:sz="4" w:space="0" w:color="FFAA22" w:themeColor="accent6"/>
          <w:bottom w:val="single" w:sz="4" w:space="0" w:color="FFAA22" w:themeColor="accent6"/>
          <w:right w:val="single" w:sz="4" w:space="0" w:color="FFAA22" w:themeColor="accent6"/>
          <w:insideH w:val="nil"/>
        </w:tcBorders>
        <w:shd w:val="clear" w:color="auto" w:fill="FFAA22" w:themeFill="accent6"/>
      </w:tcPr>
    </w:tblStylePr>
    <w:tblStylePr w:type="lastRow">
      <w:rPr>
        <w:b/>
        <w:bCs/>
      </w:rPr>
      <w:tblPr/>
      <w:tcPr>
        <w:tcBorders>
          <w:top w:val="double" w:sz="4" w:space="0" w:color="FFCB7A" w:themeColor="accent6" w:themeTint="99"/>
        </w:tcBorders>
      </w:tcPr>
    </w:tblStylePr>
    <w:tblStylePr w:type="firstCol">
      <w:rPr>
        <w:b/>
        <w:bCs/>
      </w:rPr>
    </w:tblStylePr>
    <w:tblStylePr w:type="lastCol">
      <w:rPr>
        <w:b/>
        <w:bCs/>
      </w:rPr>
    </w:tblStylePr>
    <w:tblStylePr w:type="band1Vert">
      <w:tblPr/>
      <w:tcPr>
        <w:shd w:val="clear" w:color="auto" w:fill="FFEDD2" w:themeFill="accent6" w:themeFillTint="33"/>
      </w:tcPr>
    </w:tblStylePr>
    <w:tblStylePr w:type="band1Horz">
      <w:tblPr/>
      <w:tcPr>
        <w:shd w:val="clear" w:color="auto" w:fill="FFEDD2" w:themeFill="accent6" w:themeFillTint="33"/>
      </w:tcPr>
    </w:tblStylePr>
  </w:style>
  <w:style w:type="table" w:styleId="ListTable5Dark">
    <w:name w:val="List Table 5 Dark"/>
    <w:basedOn w:val="TableNormal"/>
    <w:uiPriority w:val="50"/>
    <w:rsid w:val="00F527CC"/>
    <w:pPr>
      <w:spacing w:after="0" w:line="240" w:lineRule="auto"/>
    </w:pPr>
    <w:rPr>
      <w:color w:val="FFFFFF" w:themeColor="background1"/>
    </w:rPr>
    <w:tblPr>
      <w:tblStyleRowBandSize w:val="1"/>
      <w:tblStyleColBandSize w:val="1"/>
      <w:tblBorders>
        <w:top w:val="single" w:sz="24" w:space="0" w:color="404040" w:themeColor="text1"/>
        <w:left w:val="single" w:sz="24" w:space="0" w:color="404040" w:themeColor="text1"/>
        <w:bottom w:val="single" w:sz="24" w:space="0" w:color="404040" w:themeColor="text1"/>
        <w:right w:val="single" w:sz="24" w:space="0" w:color="404040" w:themeColor="text1"/>
      </w:tblBorders>
    </w:tblPr>
    <w:tcPr>
      <w:shd w:val="clear" w:color="auto" w:fill="40404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527CC"/>
    <w:pPr>
      <w:spacing w:after="0" w:line="240" w:lineRule="auto"/>
    </w:pPr>
    <w:rPr>
      <w:color w:val="FFFFFF" w:themeColor="background1"/>
    </w:rPr>
    <w:tblPr>
      <w:tblStyleRowBandSize w:val="1"/>
      <w:tblStyleColBandSize w:val="1"/>
      <w:tblBorders>
        <w:top w:val="single" w:sz="24" w:space="0" w:color="C7C8CA" w:themeColor="accent1"/>
        <w:left w:val="single" w:sz="24" w:space="0" w:color="C7C8CA" w:themeColor="accent1"/>
        <w:bottom w:val="single" w:sz="24" w:space="0" w:color="C7C8CA" w:themeColor="accent1"/>
        <w:right w:val="single" w:sz="24" w:space="0" w:color="C7C8CA" w:themeColor="accent1"/>
      </w:tblBorders>
    </w:tblPr>
    <w:tcPr>
      <w:shd w:val="clear" w:color="auto" w:fill="C7C8C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527CC"/>
    <w:pPr>
      <w:spacing w:after="0" w:line="240" w:lineRule="auto"/>
    </w:pPr>
    <w:rPr>
      <w:color w:val="FFFFFF" w:themeColor="background1"/>
    </w:rPr>
    <w:tblPr>
      <w:tblStyleRowBandSize w:val="1"/>
      <w:tblStyleColBandSize w:val="1"/>
      <w:tblBorders>
        <w:top w:val="single" w:sz="24" w:space="0" w:color="939598" w:themeColor="accent2"/>
        <w:left w:val="single" w:sz="24" w:space="0" w:color="939598" w:themeColor="accent2"/>
        <w:bottom w:val="single" w:sz="24" w:space="0" w:color="939598" w:themeColor="accent2"/>
        <w:right w:val="single" w:sz="24" w:space="0" w:color="939598" w:themeColor="accent2"/>
      </w:tblBorders>
    </w:tblPr>
    <w:tcPr>
      <w:shd w:val="clear" w:color="auto" w:fill="93959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527CC"/>
    <w:pPr>
      <w:spacing w:after="0" w:line="240" w:lineRule="auto"/>
    </w:pPr>
    <w:rPr>
      <w:color w:val="FFFFFF" w:themeColor="background1"/>
    </w:rPr>
    <w:tblPr>
      <w:tblStyleRowBandSize w:val="1"/>
      <w:tblStyleColBandSize w:val="1"/>
      <w:tblBorders>
        <w:top w:val="single" w:sz="24" w:space="0" w:color="636466" w:themeColor="accent3"/>
        <w:left w:val="single" w:sz="24" w:space="0" w:color="636466" w:themeColor="accent3"/>
        <w:bottom w:val="single" w:sz="24" w:space="0" w:color="636466" w:themeColor="accent3"/>
        <w:right w:val="single" w:sz="24" w:space="0" w:color="636466" w:themeColor="accent3"/>
      </w:tblBorders>
    </w:tblPr>
    <w:tcPr>
      <w:shd w:val="clear" w:color="auto" w:fill="63646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527CC"/>
    <w:pPr>
      <w:spacing w:after="0" w:line="240" w:lineRule="auto"/>
    </w:pPr>
    <w:rPr>
      <w:color w:val="FFFFFF" w:themeColor="background1"/>
    </w:rPr>
    <w:tblPr>
      <w:tblStyleRowBandSize w:val="1"/>
      <w:tblStyleColBandSize w:val="1"/>
      <w:tblBorders>
        <w:top w:val="single" w:sz="24" w:space="0" w:color="CD202C" w:themeColor="accent4"/>
        <w:left w:val="single" w:sz="24" w:space="0" w:color="CD202C" w:themeColor="accent4"/>
        <w:bottom w:val="single" w:sz="24" w:space="0" w:color="CD202C" w:themeColor="accent4"/>
        <w:right w:val="single" w:sz="24" w:space="0" w:color="CD202C" w:themeColor="accent4"/>
      </w:tblBorders>
    </w:tblPr>
    <w:tcPr>
      <w:shd w:val="clear" w:color="auto" w:fill="CD20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527CC"/>
    <w:pPr>
      <w:spacing w:after="0" w:line="240" w:lineRule="auto"/>
    </w:pPr>
    <w:rPr>
      <w:color w:val="FFFFFF" w:themeColor="background1"/>
    </w:rPr>
    <w:tblPr>
      <w:tblStyleRowBandSize w:val="1"/>
      <w:tblStyleColBandSize w:val="1"/>
      <w:tblBorders>
        <w:top w:val="single" w:sz="24" w:space="0" w:color="0055AA" w:themeColor="accent5"/>
        <w:left w:val="single" w:sz="24" w:space="0" w:color="0055AA" w:themeColor="accent5"/>
        <w:bottom w:val="single" w:sz="24" w:space="0" w:color="0055AA" w:themeColor="accent5"/>
        <w:right w:val="single" w:sz="24" w:space="0" w:color="0055AA" w:themeColor="accent5"/>
      </w:tblBorders>
    </w:tblPr>
    <w:tcPr>
      <w:shd w:val="clear" w:color="auto" w:fill="0055A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527CC"/>
    <w:pPr>
      <w:spacing w:after="0" w:line="240" w:lineRule="auto"/>
    </w:pPr>
    <w:rPr>
      <w:color w:val="FFFFFF" w:themeColor="background1"/>
    </w:rPr>
    <w:tblPr>
      <w:tblStyleRowBandSize w:val="1"/>
      <w:tblStyleColBandSize w:val="1"/>
      <w:tblBorders>
        <w:top w:val="single" w:sz="24" w:space="0" w:color="FFAA22" w:themeColor="accent6"/>
        <w:left w:val="single" w:sz="24" w:space="0" w:color="FFAA22" w:themeColor="accent6"/>
        <w:bottom w:val="single" w:sz="24" w:space="0" w:color="FFAA22" w:themeColor="accent6"/>
        <w:right w:val="single" w:sz="24" w:space="0" w:color="FFAA22" w:themeColor="accent6"/>
      </w:tblBorders>
    </w:tblPr>
    <w:tcPr>
      <w:shd w:val="clear" w:color="auto" w:fill="FFAA2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527CC"/>
    <w:pPr>
      <w:spacing w:after="0" w:line="240" w:lineRule="auto"/>
    </w:pPr>
    <w:rPr>
      <w:color w:val="404040" w:themeColor="text1"/>
    </w:rPr>
    <w:tblPr>
      <w:tblStyleRowBandSize w:val="1"/>
      <w:tblStyleColBandSize w:val="1"/>
      <w:tblBorders>
        <w:top w:val="single" w:sz="4" w:space="0" w:color="404040" w:themeColor="text1"/>
        <w:bottom w:val="single" w:sz="4" w:space="0" w:color="404040" w:themeColor="text1"/>
      </w:tblBorders>
    </w:tblPr>
    <w:tblStylePr w:type="firstRow">
      <w:rPr>
        <w:b/>
        <w:bCs/>
      </w:rPr>
      <w:tblPr/>
      <w:tcPr>
        <w:tcBorders>
          <w:bottom w:val="single" w:sz="4" w:space="0" w:color="404040" w:themeColor="text1"/>
        </w:tcBorders>
      </w:tcPr>
    </w:tblStylePr>
    <w:tblStylePr w:type="lastRow">
      <w:rPr>
        <w:b/>
        <w:bCs/>
      </w:rPr>
      <w:tblPr/>
      <w:tcPr>
        <w:tcBorders>
          <w:top w:val="double" w:sz="4" w:space="0" w:color="404040"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ListTable6Colorful-Accent1">
    <w:name w:val="List Table 6 Colorful Accent 1"/>
    <w:basedOn w:val="TableNormal"/>
    <w:uiPriority w:val="51"/>
    <w:rsid w:val="00F527CC"/>
    <w:pPr>
      <w:spacing w:after="0" w:line="240" w:lineRule="auto"/>
    </w:pPr>
    <w:rPr>
      <w:color w:val="939599" w:themeColor="accent1" w:themeShade="BF"/>
    </w:rPr>
    <w:tblPr>
      <w:tblStyleRowBandSize w:val="1"/>
      <w:tblStyleColBandSize w:val="1"/>
      <w:tblBorders>
        <w:top w:val="single" w:sz="4" w:space="0" w:color="C7C8CA" w:themeColor="accent1"/>
        <w:bottom w:val="single" w:sz="4" w:space="0" w:color="C7C8CA" w:themeColor="accent1"/>
      </w:tblBorders>
    </w:tblPr>
    <w:tblStylePr w:type="firstRow">
      <w:rPr>
        <w:b/>
        <w:bCs/>
      </w:rPr>
      <w:tblPr/>
      <w:tcPr>
        <w:tcBorders>
          <w:bottom w:val="single" w:sz="4" w:space="0" w:color="C7C8CA" w:themeColor="accent1"/>
        </w:tcBorders>
      </w:tcPr>
    </w:tblStylePr>
    <w:tblStylePr w:type="lastRow">
      <w:rPr>
        <w:b/>
        <w:bCs/>
      </w:rPr>
      <w:tblPr/>
      <w:tcPr>
        <w:tcBorders>
          <w:top w:val="double" w:sz="4" w:space="0" w:color="C7C8CA" w:themeColor="accent1"/>
        </w:tcBorders>
      </w:tcPr>
    </w:tblStylePr>
    <w:tblStylePr w:type="firstCol">
      <w:rPr>
        <w:b/>
        <w:bCs/>
      </w:rPr>
    </w:tblStylePr>
    <w:tblStylePr w:type="lastCol">
      <w:rPr>
        <w:b/>
        <w:bCs/>
      </w:rPr>
    </w:tblStylePr>
    <w:tblStylePr w:type="band1Vert">
      <w:tblPr/>
      <w:tcPr>
        <w:shd w:val="clear" w:color="auto" w:fill="F3F3F4" w:themeFill="accent1" w:themeFillTint="33"/>
      </w:tcPr>
    </w:tblStylePr>
    <w:tblStylePr w:type="band1Horz">
      <w:tblPr/>
      <w:tcPr>
        <w:shd w:val="clear" w:color="auto" w:fill="F3F3F4" w:themeFill="accent1" w:themeFillTint="33"/>
      </w:tcPr>
    </w:tblStylePr>
  </w:style>
  <w:style w:type="table" w:styleId="ListTable6Colorful-Accent2">
    <w:name w:val="List Table 6 Colorful Accent 2"/>
    <w:basedOn w:val="TableNormal"/>
    <w:uiPriority w:val="51"/>
    <w:rsid w:val="00F527CC"/>
    <w:pPr>
      <w:spacing w:after="0" w:line="240" w:lineRule="auto"/>
    </w:pPr>
    <w:rPr>
      <w:color w:val="6D6F72" w:themeColor="accent2" w:themeShade="BF"/>
    </w:rPr>
    <w:tblPr>
      <w:tblStyleRowBandSize w:val="1"/>
      <w:tblStyleColBandSize w:val="1"/>
      <w:tblBorders>
        <w:top w:val="single" w:sz="4" w:space="0" w:color="939598" w:themeColor="accent2"/>
        <w:bottom w:val="single" w:sz="4" w:space="0" w:color="939598" w:themeColor="accent2"/>
      </w:tblBorders>
    </w:tblPr>
    <w:tblStylePr w:type="firstRow">
      <w:rPr>
        <w:b/>
        <w:bCs/>
      </w:rPr>
      <w:tblPr/>
      <w:tcPr>
        <w:tcBorders>
          <w:bottom w:val="single" w:sz="4" w:space="0" w:color="939598" w:themeColor="accent2"/>
        </w:tcBorders>
      </w:tcPr>
    </w:tblStylePr>
    <w:tblStylePr w:type="lastRow">
      <w:rPr>
        <w:b/>
        <w:bCs/>
      </w:rPr>
      <w:tblPr/>
      <w:tcPr>
        <w:tcBorders>
          <w:top w:val="double" w:sz="4" w:space="0" w:color="939598" w:themeColor="accent2"/>
        </w:tcBorders>
      </w:tcPr>
    </w:tblStylePr>
    <w:tblStylePr w:type="firstCol">
      <w:rPr>
        <w:b/>
        <w:bCs/>
      </w:rPr>
    </w:tblStylePr>
    <w:tblStylePr w:type="lastCol">
      <w:rPr>
        <w:b/>
        <w:bCs/>
      </w:rPr>
    </w:tblStylePr>
    <w:tblStylePr w:type="band1Vert">
      <w:tblPr/>
      <w:tcPr>
        <w:shd w:val="clear" w:color="auto" w:fill="E9E9EA" w:themeFill="accent2" w:themeFillTint="33"/>
      </w:tcPr>
    </w:tblStylePr>
    <w:tblStylePr w:type="band1Horz">
      <w:tblPr/>
      <w:tcPr>
        <w:shd w:val="clear" w:color="auto" w:fill="E9E9EA" w:themeFill="accent2" w:themeFillTint="33"/>
      </w:tcPr>
    </w:tblStylePr>
  </w:style>
  <w:style w:type="table" w:styleId="ListTable6Colorful-Accent3">
    <w:name w:val="List Table 6 Colorful Accent 3"/>
    <w:basedOn w:val="TableNormal"/>
    <w:uiPriority w:val="51"/>
    <w:rsid w:val="00F527CC"/>
    <w:pPr>
      <w:spacing w:after="0" w:line="240" w:lineRule="auto"/>
    </w:pPr>
    <w:rPr>
      <w:color w:val="4A4A4C" w:themeColor="accent3" w:themeShade="BF"/>
    </w:rPr>
    <w:tblPr>
      <w:tblStyleRowBandSize w:val="1"/>
      <w:tblStyleColBandSize w:val="1"/>
      <w:tblBorders>
        <w:top w:val="single" w:sz="4" w:space="0" w:color="636466" w:themeColor="accent3"/>
        <w:bottom w:val="single" w:sz="4" w:space="0" w:color="636466" w:themeColor="accent3"/>
      </w:tblBorders>
    </w:tblPr>
    <w:tblStylePr w:type="firstRow">
      <w:rPr>
        <w:b/>
        <w:bCs/>
      </w:rPr>
      <w:tblPr/>
      <w:tcPr>
        <w:tcBorders>
          <w:bottom w:val="single" w:sz="4" w:space="0" w:color="636466" w:themeColor="accent3"/>
        </w:tcBorders>
      </w:tcPr>
    </w:tblStylePr>
    <w:tblStylePr w:type="lastRow">
      <w:rPr>
        <w:b/>
        <w:bCs/>
      </w:rPr>
      <w:tblPr/>
      <w:tcPr>
        <w:tcBorders>
          <w:top w:val="double" w:sz="4" w:space="0" w:color="636466" w:themeColor="accent3"/>
        </w:tcBorders>
      </w:tcPr>
    </w:tblStylePr>
    <w:tblStylePr w:type="firstCol">
      <w:rPr>
        <w:b/>
        <w:bCs/>
      </w:rPr>
    </w:tblStylePr>
    <w:tblStylePr w:type="lastCol">
      <w:rPr>
        <w:b/>
        <w:bCs/>
      </w:rPr>
    </w:tblStylePr>
    <w:tblStylePr w:type="band1Vert">
      <w:tblPr/>
      <w:tcPr>
        <w:shd w:val="clear" w:color="auto" w:fill="DFDFE0" w:themeFill="accent3" w:themeFillTint="33"/>
      </w:tcPr>
    </w:tblStylePr>
    <w:tblStylePr w:type="band1Horz">
      <w:tblPr/>
      <w:tcPr>
        <w:shd w:val="clear" w:color="auto" w:fill="DFDFE0" w:themeFill="accent3" w:themeFillTint="33"/>
      </w:tcPr>
    </w:tblStylePr>
  </w:style>
  <w:style w:type="table" w:styleId="ListTable6Colorful-Accent4">
    <w:name w:val="List Table 6 Colorful Accent 4"/>
    <w:basedOn w:val="TableNormal"/>
    <w:uiPriority w:val="51"/>
    <w:rsid w:val="00F527CC"/>
    <w:pPr>
      <w:spacing w:after="0" w:line="240" w:lineRule="auto"/>
    </w:pPr>
    <w:rPr>
      <w:color w:val="991820" w:themeColor="accent4" w:themeShade="BF"/>
    </w:rPr>
    <w:tblPr>
      <w:tblStyleRowBandSize w:val="1"/>
      <w:tblStyleColBandSize w:val="1"/>
      <w:tblBorders>
        <w:top w:val="single" w:sz="4" w:space="0" w:color="CD202C" w:themeColor="accent4"/>
        <w:bottom w:val="single" w:sz="4" w:space="0" w:color="CD202C" w:themeColor="accent4"/>
      </w:tblBorders>
    </w:tblPr>
    <w:tblStylePr w:type="firstRow">
      <w:rPr>
        <w:b/>
        <w:bCs/>
      </w:rPr>
      <w:tblPr/>
      <w:tcPr>
        <w:tcBorders>
          <w:bottom w:val="single" w:sz="4" w:space="0" w:color="CD202C" w:themeColor="accent4"/>
        </w:tcBorders>
      </w:tcPr>
    </w:tblStylePr>
    <w:tblStylePr w:type="lastRow">
      <w:rPr>
        <w:b/>
        <w:bCs/>
      </w:rPr>
      <w:tblPr/>
      <w:tcPr>
        <w:tcBorders>
          <w:top w:val="double" w:sz="4" w:space="0" w:color="CD202C" w:themeColor="accent4"/>
        </w:tcBorders>
      </w:tcPr>
    </w:tblStylePr>
    <w:tblStylePr w:type="firstCol">
      <w:rPr>
        <w:b/>
        <w:bCs/>
      </w:rPr>
    </w:tblStylePr>
    <w:tblStylePr w:type="lastCol">
      <w:rPr>
        <w:b/>
        <w:bCs/>
      </w:rPr>
    </w:tblStylePr>
    <w:tblStylePr w:type="band1Vert">
      <w:tblPr/>
      <w:tcPr>
        <w:shd w:val="clear" w:color="auto" w:fill="F7CFD2" w:themeFill="accent4" w:themeFillTint="33"/>
      </w:tcPr>
    </w:tblStylePr>
    <w:tblStylePr w:type="band1Horz">
      <w:tblPr/>
      <w:tcPr>
        <w:shd w:val="clear" w:color="auto" w:fill="F7CFD2" w:themeFill="accent4" w:themeFillTint="33"/>
      </w:tcPr>
    </w:tblStylePr>
  </w:style>
  <w:style w:type="table" w:styleId="ListTable6Colorful-Accent5">
    <w:name w:val="List Table 6 Colorful Accent 5"/>
    <w:basedOn w:val="TableNormal"/>
    <w:uiPriority w:val="51"/>
    <w:rsid w:val="00F527CC"/>
    <w:pPr>
      <w:spacing w:after="0" w:line="240" w:lineRule="auto"/>
    </w:pPr>
    <w:rPr>
      <w:color w:val="003F7F" w:themeColor="accent5" w:themeShade="BF"/>
    </w:rPr>
    <w:tblPr>
      <w:tblStyleRowBandSize w:val="1"/>
      <w:tblStyleColBandSize w:val="1"/>
      <w:tblBorders>
        <w:top w:val="single" w:sz="4" w:space="0" w:color="0055AA" w:themeColor="accent5"/>
        <w:bottom w:val="single" w:sz="4" w:space="0" w:color="0055AA" w:themeColor="accent5"/>
      </w:tblBorders>
    </w:tblPr>
    <w:tblStylePr w:type="firstRow">
      <w:rPr>
        <w:b/>
        <w:bCs/>
      </w:rPr>
      <w:tblPr/>
      <w:tcPr>
        <w:tcBorders>
          <w:bottom w:val="single" w:sz="4" w:space="0" w:color="0055AA" w:themeColor="accent5"/>
        </w:tcBorders>
      </w:tcPr>
    </w:tblStylePr>
    <w:tblStylePr w:type="lastRow">
      <w:rPr>
        <w:b/>
        <w:bCs/>
      </w:rPr>
      <w:tblPr/>
      <w:tcPr>
        <w:tcBorders>
          <w:top w:val="double" w:sz="4" w:space="0" w:color="0055AA" w:themeColor="accent5"/>
        </w:tcBorders>
      </w:tcPr>
    </w:tblStylePr>
    <w:tblStylePr w:type="firstCol">
      <w:rPr>
        <w:b/>
        <w:bCs/>
      </w:rPr>
    </w:tblStylePr>
    <w:tblStylePr w:type="lastCol">
      <w:rPr>
        <w:b/>
        <w:bCs/>
      </w:rPr>
    </w:tblStylePr>
    <w:tblStylePr w:type="band1Vert">
      <w:tblPr/>
      <w:tcPr>
        <w:shd w:val="clear" w:color="auto" w:fill="BBDCFF" w:themeFill="accent5" w:themeFillTint="33"/>
      </w:tcPr>
    </w:tblStylePr>
    <w:tblStylePr w:type="band1Horz">
      <w:tblPr/>
      <w:tcPr>
        <w:shd w:val="clear" w:color="auto" w:fill="BBDCFF" w:themeFill="accent5" w:themeFillTint="33"/>
      </w:tcPr>
    </w:tblStylePr>
  </w:style>
  <w:style w:type="table" w:styleId="ListTable6Colorful-Accent6">
    <w:name w:val="List Table 6 Colorful Accent 6"/>
    <w:basedOn w:val="TableNormal"/>
    <w:uiPriority w:val="51"/>
    <w:rsid w:val="00F527CC"/>
    <w:pPr>
      <w:spacing w:after="0" w:line="240" w:lineRule="auto"/>
    </w:pPr>
    <w:rPr>
      <w:color w:val="D88400" w:themeColor="accent6" w:themeShade="BF"/>
    </w:rPr>
    <w:tblPr>
      <w:tblStyleRowBandSize w:val="1"/>
      <w:tblStyleColBandSize w:val="1"/>
      <w:tblBorders>
        <w:top w:val="single" w:sz="4" w:space="0" w:color="FFAA22" w:themeColor="accent6"/>
        <w:bottom w:val="single" w:sz="4" w:space="0" w:color="FFAA22" w:themeColor="accent6"/>
      </w:tblBorders>
    </w:tblPr>
    <w:tblStylePr w:type="firstRow">
      <w:rPr>
        <w:b/>
        <w:bCs/>
      </w:rPr>
      <w:tblPr/>
      <w:tcPr>
        <w:tcBorders>
          <w:bottom w:val="single" w:sz="4" w:space="0" w:color="FFAA22" w:themeColor="accent6"/>
        </w:tcBorders>
      </w:tcPr>
    </w:tblStylePr>
    <w:tblStylePr w:type="lastRow">
      <w:rPr>
        <w:b/>
        <w:bCs/>
      </w:rPr>
      <w:tblPr/>
      <w:tcPr>
        <w:tcBorders>
          <w:top w:val="double" w:sz="4" w:space="0" w:color="FFAA22" w:themeColor="accent6"/>
        </w:tcBorders>
      </w:tcPr>
    </w:tblStylePr>
    <w:tblStylePr w:type="firstCol">
      <w:rPr>
        <w:b/>
        <w:bCs/>
      </w:rPr>
    </w:tblStylePr>
    <w:tblStylePr w:type="lastCol">
      <w:rPr>
        <w:b/>
        <w:bCs/>
      </w:rPr>
    </w:tblStylePr>
    <w:tblStylePr w:type="band1Vert">
      <w:tblPr/>
      <w:tcPr>
        <w:shd w:val="clear" w:color="auto" w:fill="FFEDD2" w:themeFill="accent6" w:themeFillTint="33"/>
      </w:tcPr>
    </w:tblStylePr>
    <w:tblStylePr w:type="band1Horz">
      <w:tblPr/>
      <w:tcPr>
        <w:shd w:val="clear" w:color="auto" w:fill="FFEDD2" w:themeFill="accent6" w:themeFillTint="33"/>
      </w:tcPr>
    </w:tblStylePr>
  </w:style>
  <w:style w:type="table" w:styleId="ListTable7Colorful">
    <w:name w:val="List Table 7 Colorful"/>
    <w:basedOn w:val="TableNormal"/>
    <w:uiPriority w:val="52"/>
    <w:rsid w:val="00F527CC"/>
    <w:pPr>
      <w:spacing w:after="0" w:line="240" w:lineRule="auto"/>
    </w:pPr>
    <w:rPr>
      <w:color w:val="40404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0404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0404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0404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04040" w:themeColor="text1"/>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527CC"/>
    <w:pPr>
      <w:spacing w:after="0" w:line="240" w:lineRule="auto"/>
    </w:pPr>
    <w:rPr>
      <w:color w:val="93959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7C8C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7C8C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7C8C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7C8CA" w:themeColor="accent1"/>
        </w:tcBorders>
        <w:shd w:val="clear" w:color="auto" w:fill="FFFFFF" w:themeFill="background1"/>
      </w:tcPr>
    </w:tblStylePr>
    <w:tblStylePr w:type="band1Vert">
      <w:tblPr/>
      <w:tcPr>
        <w:shd w:val="clear" w:color="auto" w:fill="F3F3F4" w:themeFill="accent1" w:themeFillTint="33"/>
      </w:tcPr>
    </w:tblStylePr>
    <w:tblStylePr w:type="band1Horz">
      <w:tblPr/>
      <w:tcPr>
        <w:shd w:val="clear" w:color="auto" w:fill="F3F3F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527CC"/>
    <w:pPr>
      <w:spacing w:after="0" w:line="240" w:lineRule="auto"/>
    </w:pPr>
    <w:rPr>
      <w:color w:val="6D6F7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59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3959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59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39598" w:themeColor="accent2"/>
        </w:tcBorders>
        <w:shd w:val="clear" w:color="auto" w:fill="FFFFFF" w:themeFill="background1"/>
      </w:tcPr>
    </w:tblStylePr>
    <w:tblStylePr w:type="band1Vert">
      <w:tblPr/>
      <w:tcPr>
        <w:shd w:val="clear" w:color="auto" w:fill="E9E9EA" w:themeFill="accent2" w:themeFillTint="33"/>
      </w:tcPr>
    </w:tblStylePr>
    <w:tblStylePr w:type="band1Horz">
      <w:tblPr/>
      <w:tcPr>
        <w:shd w:val="clear" w:color="auto" w:fill="E9E9E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527CC"/>
    <w:pPr>
      <w:spacing w:after="0" w:line="240" w:lineRule="auto"/>
    </w:pPr>
    <w:rPr>
      <w:color w:val="4A4A4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3646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3646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3646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36466" w:themeColor="accent3"/>
        </w:tcBorders>
        <w:shd w:val="clear" w:color="auto" w:fill="FFFFFF" w:themeFill="background1"/>
      </w:tcPr>
    </w:tblStylePr>
    <w:tblStylePr w:type="band1Vert">
      <w:tblPr/>
      <w:tcPr>
        <w:shd w:val="clear" w:color="auto" w:fill="DFDFE0" w:themeFill="accent3" w:themeFillTint="33"/>
      </w:tcPr>
    </w:tblStylePr>
    <w:tblStylePr w:type="band1Horz">
      <w:tblPr/>
      <w:tcPr>
        <w:shd w:val="clear" w:color="auto" w:fill="DFDFE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527CC"/>
    <w:pPr>
      <w:spacing w:after="0" w:line="240" w:lineRule="auto"/>
    </w:pPr>
    <w:rPr>
      <w:color w:val="9918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20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20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20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202C" w:themeColor="accent4"/>
        </w:tcBorders>
        <w:shd w:val="clear" w:color="auto" w:fill="FFFFFF" w:themeFill="background1"/>
      </w:tcPr>
    </w:tblStylePr>
    <w:tblStylePr w:type="band1Vert">
      <w:tblPr/>
      <w:tcPr>
        <w:shd w:val="clear" w:color="auto" w:fill="F7CFD2" w:themeFill="accent4" w:themeFillTint="33"/>
      </w:tcPr>
    </w:tblStylePr>
    <w:tblStylePr w:type="band1Horz">
      <w:tblPr/>
      <w:tcPr>
        <w:shd w:val="clear" w:color="auto" w:fill="F7CF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527CC"/>
    <w:pPr>
      <w:spacing w:after="0" w:line="240" w:lineRule="auto"/>
    </w:pPr>
    <w:rPr>
      <w:color w:val="003F7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A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A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A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AA" w:themeColor="accent5"/>
        </w:tcBorders>
        <w:shd w:val="clear" w:color="auto" w:fill="FFFFFF" w:themeFill="background1"/>
      </w:tcPr>
    </w:tblStylePr>
    <w:tblStylePr w:type="band1Vert">
      <w:tblPr/>
      <w:tcPr>
        <w:shd w:val="clear" w:color="auto" w:fill="BBDCFF" w:themeFill="accent5" w:themeFillTint="33"/>
      </w:tcPr>
    </w:tblStylePr>
    <w:tblStylePr w:type="band1Horz">
      <w:tblPr/>
      <w:tcPr>
        <w:shd w:val="clear" w:color="auto" w:fill="BBDC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527CC"/>
    <w:pPr>
      <w:spacing w:after="0" w:line="240" w:lineRule="auto"/>
    </w:pPr>
    <w:rPr>
      <w:color w:val="D884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AA2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AA2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AA2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AA22" w:themeColor="accent6"/>
        </w:tcBorders>
        <w:shd w:val="clear" w:color="auto" w:fill="FFFFFF" w:themeFill="background1"/>
      </w:tcPr>
    </w:tblStylePr>
    <w:tblStylePr w:type="band1Vert">
      <w:tblPr/>
      <w:tcPr>
        <w:shd w:val="clear" w:color="auto" w:fill="FFEDD2" w:themeFill="accent6" w:themeFillTint="33"/>
      </w:tcPr>
    </w:tblStylePr>
    <w:tblStylePr w:type="band1Horz">
      <w:tblPr/>
      <w:tcPr>
        <w:shd w:val="clear" w:color="auto" w:fill="FFED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527CC"/>
    <w:pPr>
      <w:tabs>
        <w:tab w:val="left" w:pos="480"/>
        <w:tab w:val="left" w:pos="960"/>
        <w:tab w:val="left" w:pos="1440"/>
        <w:tab w:val="left" w:pos="1920"/>
        <w:tab w:val="left" w:pos="2400"/>
        <w:tab w:val="left" w:pos="2880"/>
        <w:tab w:val="left" w:pos="3360"/>
        <w:tab w:val="left" w:pos="3840"/>
        <w:tab w:val="left" w:pos="4320"/>
      </w:tabs>
      <w:spacing w:after="0" w:line="240" w:lineRule="atLeast"/>
    </w:pPr>
    <w:rPr>
      <w:rFonts w:ascii="Consolas" w:hAnsi="Consolas"/>
      <w:sz w:val="20"/>
      <w:szCs w:val="20"/>
      <w:lang w:val="en-US"/>
    </w:rPr>
  </w:style>
  <w:style w:type="character" w:customStyle="1" w:styleId="MacroTextChar">
    <w:name w:val="Macro Text Char"/>
    <w:basedOn w:val="DefaultParagraphFont"/>
    <w:link w:val="MacroText"/>
    <w:uiPriority w:val="99"/>
    <w:semiHidden/>
    <w:rsid w:val="00F527CC"/>
    <w:rPr>
      <w:rFonts w:ascii="Consolas" w:hAnsi="Consolas"/>
      <w:sz w:val="20"/>
      <w:szCs w:val="20"/>
      <w:lang w:val="en-US"/>
    </w:rPr>
  </w:style>
  <w:style w:type="table" w:styleId="MediumGrid1">
    <w:name w:val="Medium Grid 1"/>
    <w:basedOn w:val="TableNormal"/>
    <w:uiPriority w:val="67"/>
    <w:semiHidden/>
    <w:unhideWhenUsed/>
    <w:rsid w:val="00F527CC"/>
    <w:pPr>
      <w:spacing w:after="0" w:line="240" w:lineRule="auto"/>
    </w:pPr>
    <w:tblPr>
      <w:tblStyleRowBandSize w:val="1"/>
      <w:tblStyleColBandSize w:val="1"/>
      <w:tblBorders>
        <w:top w:val="single" w:sz="8" w:space="0" w:color="6F6F6F" w:themeColor="text1" w:themeTint="BF"/>
        <w:left w:val="single" w:sz="8" w:space="0" w:color="6F6F6F" w:themeColor="text1" w:themeTint="BF"/>
        <w:bottom w:val="single" w:sz="8" w:space="0" w:color="6F6F6F" w:themeColor="text1" w:themeTint="BF"/>
        <w:right w:val="single" w:sz="8" w:space="0" w:color="6F6F6F" w:themeColor="text1" w:themeTint="BF"/>
        <w:insideH w:val="single" w:sz="8" w:space="0" w:color="6F6F6F" w:themeColor="text1" w:themeTint="BF"/>
        <w:insideV w:val="single" w:sz="8" w:space="0" w:color="6F6F6F" w:themeColor="text1" w:themeTint="BF"/>
      </w:tblBorders>
    </w:tblPr>
    <w:tcPr>
      <w:shd w:val="clear" w:color="auto" w:fill="CFCFCF" w:themeFill="text1" w:themeFillTint="3F"/>
    </w:tcPr>
    <w:tblStylePr w:type="firstRow">
      <w:rPr>
        <w:b/>
        <w:bCs/>
      </w:rPr>
    </w:tblStylePr>
    <w:tblStylePr w:type="lastRow">
      <w:rPr>
        <w:b/>
        <w:bCs/>
      </w:rPr>
      <w:tblPr/>
      <w:tcPr>
        <w:tcBorders>
          <w:top w:val="single" w:sz="18" w:space="0" w:color="6F6F6F" w:themeColor="text1" w:themeTint="BF"/>
        </w:tcBorders>
      </w:tcPr>
    </w:tblStylePr>
    <w:tblStylePr w:type="firstCol">
      <w:rPr>
        <w:b/>
        <w:bCs/>
      </w:rPr>
    </w:tblStylePr>
    <w:tblStylePr w:type="lastCol">
      <w:rPr>
        <w:b/>
        <w:bCs/>
      </w:rPr>
    </w:tblStylePr>
    <w:tblStylePr w:type="band1Vert">
      <w:tblPr/>
      <w:tcPr>
        <w:shd w:val="clear" w:color="auto" w:fill="9F9F9F" w:themeFill="text1" w:themeFillTint="7F"/>
      </w:tcPr>
    </w:tblStylePr>
    <w:tblStylePr w:type="band1Horz">
      <w:tblPr/>
      <w:tcPr>
        <w:shd w:val="clear" w:color="auto" w:fill="9F9F9F" w:themeFill="text1" w:themeFillTint="7F"/>
      </w:tcPr>
    </w:tblStylePr>
  </w:style>
  <w:style w:type="table" w:styleId="MediumGrid1-Accent1">
    <w:name w:val="Medium Grid 1 Accent 1"/>
    <w:basedOn w:val="TableNormal"/>
    <w:uiPriority w:val="67"/>
    <w:semiHidden/>
    <w:unhideWhenUsed/>
    <w:rsid w:val="00F527CC"/>
    <w:pPr>
      <w:spacing w:after="0" w:line="240" w:lineRule="auto"/>
    </w:pPr>
    <w:tblPr>
      <w:tblStyleRowBandSize w:val="1"/>
      <w:tblStyleColBandSize w:val="1"/>
      <w:tblBorders>
        <w:top w:val="single" w:sz="8" w:space="0" w:color="D5D5D7" w:themeColor="accent1" w:themeTint="BF"/>
        <w:left w:val="single" w:sz="8" w:space="0" w:color="D5D5D7" w:themeColor="accent1" w:themeTint="BF"/>
        <w:bottom w:val="single" w:sz="8" w:space="0" w:color="D5D5D7" w:themeColor="accent1" w:themeTint="BF"/>
        <w:right w:val="single" w:sz="8" w:space="0" w:color="D5D5D7" w:themeColor="accent1" w:themeTint="BF"/>
        <w:insideH w:val="single" w:sz="8" w:space="0" w:color="D5D5D7" w:themeColor="accent1" w:themeTint="BF"/>
        <w:insideV w:val="single" w:sz="8" w:space="0" w:color="D5D5D7" w:themeColor="accent1" w:themeTint="BF"/>
      </w:tblBorders>
    </w:tblPr>
    <w:tcPr>
      <w:shd w:val="clear" w:color="auto" w:fill="F1F1F2" w:themeFill="accent1" w:themeFillTint="3F"/>
    </w:tcPr>
    <w:tblStylePr w:type="firstRow">
      <w:rPr>
        <w:b/>
        <w:bCs/>
      </w:rPr>
    </w:tblStylePr>
    <w:tblStylePr w:type="lastRow">
      <w:rPr>
        <w:b/>
        <w:bCs/>
      </w:rPr>
      <w:tblPr/>
      <w:tcPr>
        <w:tcBorders>
          <w:top w:val="single" w:sz="18" w:space="0" w:color="D5D5D7" w:themeColor="accent1" w:themeTint="BF"/>
        </w:tcBorders>
      </w:tcPr>
    </w:tblStylePr>
    <w:tblStylePr w:type="firstCol">
      <w:rPr>
        <w:b/>
        <w:bCs/>
      </w:rPr>
    </w:tblStylePr>
    <w:tblStylePr w:type="lastCol">
      <w:rPr>
        <w:b/>
        <w:bCs/>
      </w:rPr>
    </w:tblStylePr>
    <w:tblStylePr w:type="band1Vert">
      <w:tblPr/>
      <w:tcPr>
        <w:shd w:val="clear" w:color="auto" w:fill="E3E3E4" w:themeFill="accent1" w:themeFillTint="7F"/>
      </w:tcPr>
    </w:tblStylePr>
    <w:tblStylePr w:type="band1Horz">
      <w:tblPr/>
      <w:tcPr>
        <w:shd w:val="clear" w:color="auto" w:fill="E3E3E4" w:themeFill="accent1" w:themeFillTint="7F"/>
      </w:tcPr>
    </w:tblStylePr>
  </w:style>
  <w:style w:type="table" w:styleId="MediumGrid1-Accent2">
    <w:name w:val="Medium Grid 1 Accent 2"/>
    <w:basedOn w:val="TableNormal"/>
    <w:uiPriority w:val="67"/>
    <w:semiHidden/>
    <w:unhideWhenUsed/>
    <w:rsid w:val="00F527CC"/>
    <w:pPr>
      <w:spacing w:after="0" w:line="240" w:lineRule="auto"/>
    </w:pPr>
    <w:tblPr>
      <w:tblStyleRowBandSize w:val="1"/>
      <w:tblStyleColBandSize w:val="1"/>
      <w:tblBorders>
        <w:top w:val="single" w:sz="8" w:space="0" w:color="ADAFB1" w:themeColor="accent2" w:themeTint="BF"/>
        <w:left w:val="single" w:sz="8" w:space="0" w:color="ADAFB1" w:themeColor="accent2" w:themeTint="BF"/>
        <w:bottom w:val="single" w:sz="8" w:space="0" w:color="ADAFB1" w:themeColor="accent2" w:themeTint="BF"/>
        <w:right w:val="single" w:sz="8" w:space="0" w:color="ADAFB1" w:themeColor="accent2" w:themeTint="BF"/>
        <w:insideH w:val="single" w:sz="8" w:space="0" w:color="ADAFB1" w:themeColor="accent2" w:themeTint="BF"/>
        <w:insideV w:val="single" w:sz="8" w:space="0" w:color="ADAFB1" w:themeColor="accent2" w:themeTint="BF"/>
      </w:tblBorders>
    </w:tblPr>
    <w:tcPr>
      <w:shd w:val="clear" w:color="auto" w:fill="E4E4E5" w:themeFill="accent2" w:themeFillTint="3F"/>
    </w:tcPr>
    <w:tblStylePr w:type="firstRow">
      <w:rPr>
        <w:b/>
        <w:bCs/>
      </w:rPr>
    </w:tblStylePr>
    <w:tblStylePr w:type="lastRow">
      <w:rPr>
        <w:b/>
        <w:bCs/>
      </w:rPr>
      <w:tblPr/>
      <w:tcPr>
        <w:tcBorders>
          <w:top w:val="single" w:sz="18" w:space="0" w:color="ADAFB1" w:themeColor="accent2" w:themeTint="BF"/>
        </w:tcBorders>
      </w:tcPr>
    </w:tblStylePr>
    <w:tblStylePr w:type="firstCol">
      <w:rPr>
        <w:b/>
        <w:bCs/>
      </w:rPr>
    </w:tblStylePr>
    <w:tblStylePr w:type="lastCol">
      <w:rPr>
        <w:b/>
        <w:bCs/>
      </w:rPr>
    </w:tblStylePr>
    <w:tblStylePr w:type="band1Vert">
      <w:tblPr/>
      <w:tcPr>
        <w:shd w:val="clear" w:color="auto" w:fill="C9CACB" w:themeFill="accent2" w:themeFillTint="7F"/>
      </w:tcPr>
    </w:tblStylePr>
    <w:tblStylePr w:type="band1Horz">
      <w:tblPr/>
      <w:tcPr>
        <w:shd w:val="clear" w:color="auto" w:fill="C9CACB" w:themeFill="accent2" w:themeFillTint="7F"/>
      </w:tcPr>
    </w:tblStylePr>
  </w:style>
  <w:style w:type="table" w:styleId="MediumGrid1-Accent3">
    <w:name w:val="Medium Grid 1 Accent 3"/>
    <w:basedOn w:val="TableNormal"/>
    <w:uiPriority w:val="67"/>
    <w:semiHidden/>
    <w:unhideWhenUsed/>
    <w:rsid w:val="00F527CC"/>
    <w:pPr>
      <w:spacing w:after="0" w:line="240" w:lineRule="auto"/>
    </w:pPr>
    <w:tblPr>
      <w:tblStyleRowBandSize w:val="1"/>
      <w:tblStyleColBandSize w:val="1"/>
      <w:tblBorders>
        <w:top w:val="single" w:sz="8" w:space="0" w:color="898A8C" w:themeColor="accent3" w:themeTint="BF"/>
        <w:left w:val="single" w:sz="8" w:space="0" w:color="898A8C" w:themeColor="accent3" w:themeTint="BF"/>
        <w:bottom w:val="single" w:sz="8" w:space="0" w:color="898A8C" w:themeColor="accent3" w:themeTint="BF"/>
        <w:right w:val="single" w:sz="8" w:space="0" w:color="898A8C" w:themeColor="accent3" w:themeTint="BF"/>
        <w:insideH w:val="single" w:sz="8" w:space="0" w:color="898A8C" w:themeColor="accent3" w:themeTint="BF"/>
        <w:insideV w:val="single" w:sz="8" w:space="0" w:color="898A8C" w:themeColor="accent3" w:themeTint="BF"/>
      </w:tblBorders>
    </w:tblPr>
    <w:tcPr>
      <w:shd w:val="clear" w:color="auto" w:fill="D8D8D9" w:themeFill="accent3" w:themeFillTint="3F"/>
    </w:tcPr>
    <w:tblStylePr w:type="firstRow">
      <w:rPr>
        <w:b/>
        <w:bCs/>
      </w:rPr>
    </w:tblStylePr>
    <w:tblStylePr w:type="lastRow">
      <w:rPr>
        <w:b/>
        <w:bCs/>
      </w:rPr>
      <w:tblPr/>
      <w:tcPr>
        <w:tcBorders>
          <w:top w:val="single" w:sz="18" w:space="0" w:color="898A8C" w:themeColor="accent3" w:themeTint="BF"/>
        </w:tcBorders>
      </w:tcPr>
    </w:tblStylePr>
    <w:tblStylePr w:type="firstCol">
      <w:rPr>
        <w:b/>
        <w:bCs/>
      </w:rPr>
    </w:tblStylePr>
    <w:tblStylePr w:type="lastCol">
      <w:rPr>
        <w:b/>
        <w:bCs/>
      </w:rPr>
    </w:tblStylePr>
    <w:tblStylePr w:type="band1Vert">
      <w:tblPr/>
      <w:tcPr>
        <w:shd w:val="clear" w:color="auto" w:fill="B0B1B3" w:themeFill="accent3" w:themeFillTint="7F"/>
      </w:tcPr>
    </w:tblStylePr>
    <w:tblStylePr w:type="band1Horz">
      <w:tblPr/>
      <w:tcPr>
        <w:shd w:val="clear" w:color="auto" w:fill="B0B1B3" w:themeFill="accent3" w:themeFillTint="7F"/>
      </w:tcPr>
    </w:tblStylePr>
  </w:style>
  <w:style w:type="table" w:styleId="MediumGrid1-Accent4">
    <w:name w:val="Medium Grid 1 Accent 4"/>
    <w:basedOn w:val="TableNormal"/>
    <w:uiPriority w:val="67"/>
    <w:semiHidden/>
    <w:unhideWhenUsed/>
    <w:rsid w:val="00F527CC"/>
    <w:pPr>
      <w:spacing w:after="0" w:line="240" w:lineRule="auto"/>
    </w:pPr>
    <w:tblPr>
      <w:tblStyleRowBandSize w:val="1"/>
      <w:tblStyleColBandSize w:val="1"/>
      <w:tblBorders>
        <w:top w:val="single" w:sz="8" w:space="0" w:color="E34E57" w:themeColor="accent4" w:themeTint="BF"/>
        <w:left w:val="single" w:sz="8" w:space="0" w:color="E34E57" w:themeColor="accent4" w:themeTint="BF"/>
        <w:bottom w:val="single" w:sz="8" w:space="0" w:color="E34E57" w:themeColor="accent4" w:themeTint="BF"/>
        <w:right w:val="single" w:sz="8" w:space="0" w:color="E34E57" w:themeColor="accent4" w:themeTint="BF"/>
        <w:insideH w:val="single" w:sz="8" w:space="0" w:color="E34E57" w:themeColor="accent4" w:themeTint="BF"/>
        <w:insideV w:val="single" w:sz="8" w:space="0" w:color="E34E57" w:themeColor="accent4" w:themeTint="BF"/>
      </w:tblBorders>
    </w:tblPr>
    <w:tcPr>
      <w:shd w:val="clear" w:color="auto" w:fill="F6C4C7" w:themeFill="accent4" w:themeFillTint="3F"/>
    </w:tcPr>
    <w:tblStylePr w:type="firstRow">
      <w:rPr>
        <w:b/>
        <w:bCs/>
      </w:rPr>
    </w:tblStylePr>
    <w:tblStylePr w:type="lastRow">
      <w:rPr>
        <w:b/>
        <w:bCs/>
      </w:rPr>
      <w:tblPr/>
      <w:tcPr>
        <w:tcBorders>
          <w:top w:val="single" w:sz="18" w:space="0" w:color="E34E57" w:themeColor="accent4" w:themeTint="BF"/>
        </w:tcBorders>
      </w:tcPr>
    </w:tblStylePr>
    <w:tblStylePr w:type="firstCol">
      <w:rPr>
        <w:b/>
        <w:bCs/>
      </w:rPr>
    </w:tblStylePr>
    <w:tblStylePr w:type="lastCol">
      <w:rPr>
        <w:b/>
        <w:bCs/>
      </w:rPr>
    </w:tblStylePr>
    <w:tblStylePr w:type="band1Vert">
      <w:tblPr/>
      <w:tcPr>
        <w:shd w:val="clear" w:color="auto" w:fill="EC898F" w:themeFill="accent4" w:themeFillTint="7F"/>
      </w:tcPr>
    </w:tblStylePr>
    <w:tblStylePr w:type="band1Horz">
      <w:tblPr/>
      <w:tcPr>
        <w:shd w:val="clear" w:color="auto" w:fill="EC898F" w:themeFill="accent4" w:themeFillTint="7F"/>
      </w:tcPr>
    </w:tblStylePr>
  </w:style>
  <w:style w:type="table" w:styleId="MediumGrid1-Accent5">
    <w:name w:val="Medium Grid 1 Accent 5"/>
    <w:basedOn w:val="TableNormal"/>
    <w:uiPriority w:val="67"/>
    <w:semiHidden/>
    <w:unhideWhenUsed/>
    <w:rsid w:val="00F527CC"/>
    <w:pPr>
      <w:spacing w:after="0" w:line="240" w:lineRule="auto"/>
    </w:pPr>
    <w:tblPr>
      <w:tblStyleRowBandSize w:val="1"/>
      <w:tblStyleColBandSize w:val="1"/>
      <w:tblBorders>
        <w:top w:val="single" w:sz="8" w:space="0" w:color="007FFF" w:themeColor="accent5" w:themeTint="BF"/>
        <w:left w:val="single" w:sz="8" w:space="0" w:color="007FFF" w:themeColor="accent5" w:themeTint="BF"/>
        <w:bottom w:val="single" w:sz="8" w:space="0" w:color="007FFF" w:themeColor="accent5" w:themeTint="BF"/>
        <w:right w:val="single" w:sz="8" w:space="0" w:color="007FFF" w:themeColor="accent5" w:themeTint="BF"/>
        <w:insideH w:val="single" w:sz="8" w:space="0" w:color="007FFF" w:themeColor="accent5" w:themeTint="BF"/>
        <w:insideV w:val="single" w:sz="8" w:space="0" w:color="007FFF" w:themeColor="accent5" w:themeTint="BF"/>
      </w:tblBorders>
    </w:tblPr>
    <w:tcPr>
      <w:shd w:val="clear" w:color="auto" w:fill="ABD4FF" w:themeFill="accent5" w:themeFillTint="3F"/>
    </w:tcPr>
    <w:tblStylePr w:type="firstRow">
      <w:rPr>
        <w:b/>
        <w:bCs/>
      </w:rPr>
    </w:tblStylePr>
    <w:tblStylePr w:type="lastRow">
      <w:rPr>
        <w:b/>
        <w:bCs/>
      </w:rPr>
      <w:tblPr/>
      <w:tcPr>
        <w:tcBorders>
          <w:top w:val="single" w:sz="18" w:space="0" w:color="007FFF" w:themeColor="accent5" w:themeTint="BF"/>
        </w:tcBorders>
      </w:tcPr>
    </w:tblStylePr>
    <w:tblStylePr w:type="firstCol">
      <w:rPr>
        <w:b/>
        <w:bCs/>
      </w:rPr>
    </w:tblStylePr>
    <w:tblStylePr w:type="lastCol">
      <w:rPr>
        <w:b/>
        <w:bCs/>
      </w:rPr>
    </w:tblStylePr>
    <w:tblStylePr w:type="band1Vert">
      <w:tblPr/>
      <w:tcPr>
        <w:shd w:val="clear" w:color="auto" w:fill="55AAFF" w:themeFill="accent5" w:themeFillTint="7F"/>
      </w:tcPr>
    </w:tblStylePr>
    <w:tblStylePr w:type="band1Horz">
      <w:tblPr/>
      <w:tcPr>
        <w:shd w:val="clear" w:color="auto" w:fill="55AAFF" w:themeFill="accent5" w:themeFillTint="7F"/>
      </w:tcPr>
    </w:tblStylePr>
  </w:style>
  <w:style w:type="table" w:styleId="MediumGrid1-Accent6">
    <w:name w:val="Medium Grid 1 Accent 6"/>
    <w:basedOn w:val="TableNormal"/>
    <w:uiPriority w:val="67"/>
    <w:semiHidden/>
    <w:unhideWhenUsed/>
    <w:rsid w:val="00F527CC"/>
    <w:pPr>
      <w:spacing w:after="0" w:line="240" w:lineRule="auto"/>
    </w:pPr>
    <w:tblPr>
      <w:tblStyleRowBandSize w:val="1"/>
      <w:tblStyleColBandSize w:val="1"/>
      <w:tblBorders>
        <w:top w:val="single" w:sz="8" w:space="0" w:color="FFBE59" w:themeColor="accent6" w:themeTint="BF"/>
        <w:left w:val="single" w:sz="8" w:space="0" w:color="FFBE59" w:themeColor="accent6" w:themeTint="BF"/>
        <w:bottom w:val="single" w:sz="8" w:space="0" w:color="FFBE59" w:themeColor="accent6" w:themeTint="BF"/>
        <w:right w:val="single" w:sz="8" w:space="0" w:color="FFBE59" w:themeColor="accent6" w:themeTint="BF"/>
        <w:insideH w:val="single" w:sz="8" w:space="0" w:color="FFBE59" w:themeColor="accent6" w:themeTint="BF"/>
        <w:insideV w:val="single" w:sz="8" w:space="0" w:color="FFBE59" w:themeColor="accent6" w:themeTint="BF"/>
      </w:tblBorders>
    </w:tblPr>
    <w:tcPr>
      <w:shd w:val="clear" w:color="auto" w:fill="FFE9C8" w:themeFill="accent6" w:themeFillTint="3F"/>
    </w:tcPr>
    <w:tblStylePr w:type="firstRow">
      <w:rPr>
        <w:b/>
        <w:bCs/>
      </w:rPr>
    </w:tblStylePr>
    <w:tblStylePr w:type="lastRow">
      <w:rPr>
        <w:b/>
        <w:bCs/>
      </w:rPr>
      <w:tblPr/>
      <w:tcPr>
        <w:tcBorders>
          <w:top w:val="single" w:sz="18" w:space="0" w:color="FFBE59" w:themeColor="accent6" w:themeTint="BF"/>
        </w:tcBorders>
      </w:tcPr>
    </w:tblStylePr>
    <w:tblStylePr w:type="firstCol">
      <w:rPr>
        <w:b/>
        <w:bCs/>
      </w:rPr>
    </w:tblStylePr>
    <w:tblStylePr w:type="lastCol">
      <w:rPr>
        <w:b/>
        <w:bCs/>
      </w:rPr>
    </w:tblStylePr>
    <w:tblStylePr w:type="band1Vert">
      <w:tblPr/>
      <w:tcPr>
        <w:shd w:val="clear" w:color="auto" w:fill="FFD490" w:themeFill="accent6" w:themeFillTint="7F"/>
      </w:tcPr>
    </w:tblStylePr>
    <w:tblStylePr w:type="band1Horz">
      <w:tblPr/>
      <w:tcPr>
        <w:shd w:val="clear" w:color="auto" w:fill="FFD490" w:themeFill="accent6" w:themeFillTint="7F"/>
      </w:tcPr>
    </w:tblStylePr>
  </w:style>
  <w:style w:type="table" w:styleId="MediumGrid2">
    <w:name w:val="Medium Grid 2"/>
    <w:basedOn w:val="TableNormal"/>
    <w:uiPriority w:val="68"/>
    <w:semiHidden/>
    <w:unhideWhenUsed/>
    <w:rsid w:val="00F527CC"/>
    <w:pPr>
      <w:spacing w:after="0" w:line="240" w:lineRule="auto"/>
    </w:pPr>
    <w:rPr>
      <w:rFonts w:eastAsiaTheme="majorEastAsia" w:cs="Arial"/>
      <w:color w:val="404040" w:themeColor="text1"/>
    </w:rPr>
    <w:tblPr>
      <w:tblStyleRowBandSize w:val="1"/>
      <w:tblStyleColBandSize w:val="1"/>
      <w:tblBorders>
        <w:top w:val="single" w:sz="8" w:space="0" w:color="404040" w:themeColor="text1"/>
        <w:left w:val="single" w:sz="8" w:space="0" w:color="404040" w:themeColor="text1"/>
        <w:bottom w:val="single" w:sz="8" w:space="0" w:color="404040" w:themeColor="text1"/>
        <w:right w:val="single" w:sz="8" w:space="0" w:color="404040" w:themeColor="text1"/>
        <w:insideH w:val="single" w:sz="8" w:space="0" w:color="404040" w:themeColor="text1"/>
        <w:insideV w:val="single" w:sz="8" w:space="0" w:color="404040" w:themeColor="text1"/>
      </w:tblBorders>
    </w:tblPr>
    <w:tcPr>
      <w:shd w:val="clear" w:color="auto" w:fill="CFCFCF" w:themeFill="text1" w:themeFillTint="3F"/>
    </w:tcPr>
    <w:tblStylePr w:type="firstRow">
      <w:rPr>
        <w:b/>
        <w:bCs/>
        <w:color w:val="404040" w:themeColor="text1"/>
      </w:rPr>
      <w:tblPr/>
      <w:tcPr>
        <w:shd w:val="clear" w:color="auto" w:fill="ECECEC" w:themeFill="text1" w:themeFillTint="19"/>
      </w:tcPr>
    </w:tblStylePr>
    <w:tblStylePr w:type="lastRow">
      <w:rPr>
        <w:b/>
        <w:bCs/>
        <w:color w:val="404040" w:themeColor="text1"/>
      </w:rPr>
      <w:tblPr/>
      <w:tcPr>
        <w:tcBorders>
          <w:top w:val="single" w:sz="12" w:space="0" w:color="404040" w:themeColor="text1"/>
          <w:left w:val="nil"/>
          <w:bottom w:val="nil"/>
          <w:right w:val="nil"/>
          <w:insideH w:val="nil"/>
          <w:insideV w:val="nil"/>
        </w:tcBorders>
        <w:shd w:val="clear" w:color="auto" w:fill="FFFFFF" w:themeFill="background1"/>
      </w:tcPr>
    </w:tblStylePr>
    <w:tblStylePr w:type="firstCol">
      <w:rPr>
        <w:b/>
        <w:bCs/>
        <w:color w:val="40404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04040" w:themeColor="text1"/>
      </w:rPr>
      <w:tblPr/>
      <w:tcPr>
        <w:tcBorders>
          <w:top w:val="nil"/>
          <w:left w:val="nil"/>
          <w:bottom w:val="nil"/>
          <w:right w:val="nil"/>
          <w:insideH w:val="nil"/>
          <w:insideV w:val="nil"/>
        </w:tcBorders>
        <w:shd w:val="clear" w:color="auto" w:fill="D8D8D8" w:themeFill="text1" w:themeFillTint="33"/>
      </w:tcPr>
    </w:tblStylePr>
    <w:tblStylePr w:type="band1Vert">
      <w:tblPr/>
      <w:tcPr>
        <w:shd w:val="clear" w:color="auto" w:fill="9F9F9F" w:themeFill="text1" w:themeFillTint="7F"/>
      </w:tcPr>
    </w:tblStylePr>
    <w:tblStylePr w:type="band1Horz">
      <w:tblPr/>
      <w:tcPr>
        <w:tcBorders>
          <w:insideH w:val="single" w:sz="6" w:space="0" w:color="404040" w:themeColor="text1"/>
          <w:insideV w:val="single" w:sz="6" w:space="0" w:color="404040" w:themeColor="text1"/>
        </w:tcBorders>
        <w:shd w:val="clear" w:color="auto" w:fill="9F9F9F"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527CC"/>
    <w:pPr>
      <w:spacing w:after="0" w:line="240" w:lineRule="auto"/>
    </w:pPr>
    <w:rPr>
      <w:rFonts w:eastAsiaTheme="majorEastAsia" w:cs="Arial"/>
      <w:color w:val="404040" w:themeColor="text1"/>
    </w:rPr>
    <w:tblPr>
      <w:tblStyleRowBandSize w:val="1"/>
      <w:tblStyleColBandSize w:val="1"/>
      <w:tblBorders>
        <w:top w:val="single" w:sz="8" w:space="0" w:color="C7C8CA" w:themeColor="accent1"/>
        <w:left w:val="single" w:sz="8" w:space="0" w:color="C7C8CA" w:themeColor="accent1"/>
        <w:bottom w:val="single" w:sz="8" w:space="0" w:color="C7C8CA" w:themeColor="accent1"/>
        <w:right w:val="single" w:sz="8" w:space="0" w:color="C7C8CA" w:themeColor="accent1"/>
        <w:insideH w:val="single" w:sz="8" w:space="0" w:color="C7C8CA" w:themeColor="accent1"/>
        <w:insideV w:val="single" w:sz="8" w:space="0" w:color="C7C8CA" w:themeColor="accent1"/>
      </w:tblBorders>
    </w:tblPr>
    <w:tcPr>
      <w:shd w:val="clear" w:color="auto" w:fill="F1F1F2" w:themeFill="accent1" w:themeFillTint="3F"/>
    </w:tcPr>
    <w:tblStylePr w:type="firstRow">
      <w:rPr>
        <w:b/>
        <w:bCs/>
        <w:color w:val="404040" w:themeColor="text1"/>
      </w:rPr>
      <w:tblPr/>
      <w:tcPr>
        <w:shd w:val="clear" w:color="auto" w:fill="F9F9F9" w:themeFill="accent1" w:themeFillTint="19"/>
      </w:tcPr>
    </w:tblStylePr>
    <w:tblStylePr w:type="lastRow">
      <w:rPr>
        <w:b/>
        <w:bCs/>
        <w:color w:val="404040" w:themeColor="text1"/>
      </w:rPr>
      <w:tblPr/>
      <w:tcPr>
        <w:tcBorders>
          <w:top w:val="single" w:sz="12" w:space="0" w:color="404040" w:themeColor="text1"/>
          <w:left w:val="nil"/>
          <w:bottom w:val="nil"/>
          <w:right w:val="nil"/>
          <w:insideH w:val="nil"/>
          <w:insideV w:val="nil"/>
        </w:tcBorders>
        <w:shd w:val="clear" w:color="auto" w:fill="FFFFFF" w:themeFill="background1"/>
      </w:tcPr>
    </w:tblStylePr>
    <w:tblStylePr w:type="firstCol">
      <w:rPr>
        <w:b/>
        <w:bCs/>
        <w:color w:val="40404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04040" w:themeColor="text1"/>
      </w:rPr>
      <w:tblPr/>
      <w:tcPr>
        <w:tcBorders>
          <w:top w:val="nil"/>
          <w:left w:val="nil"/>
          <w:bottom w:val="nil"/>
          <w:right w:val="nil"/>
          <w:insideH w:val="nil"/>
          <w:insideV w:val="nil"/>
        </w:tcBorders>
        <w:shd w:val="clear" w:color="auto" w:fill="F3F3F4" w:themeFill="accent1" w:themeFillTint="33"/>
      </w:tcPr>
    </w:tblStylePr>
    <w:tblStylePr w:type="band1Vert">
      <w:tblPr/>
      <w:tcPr>
        <w:shd w:val="clear" w:color="auto" w:fill="E3E3E4" w:themeFill="accent1" w:themeFillTint="7F"/>
      </w:tcPr>
    </w:tblStylePr>
    <w:tblStylePr w:type="band1Horz">
      <w:tblPr/>
      <w:tcPr>
        <w:tcBorders>
          <w:insideH w:val="single" w:sz="6" w:space="0" w:color="C7C8CA" w:themeColor="accent1"/>
          <w:insideV w:val="single" w:sz="6" w:space="0" w:color="C7C8CA" w:themeColor="accent1"/>
        </w:tcBorders>
        <w:shd w:val="clear" w:color="auto" w:fill="E3E3E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527CC"/>
    <w:pPr>
      <w:spacing w:after="0" w:line="240" w:lineRule="auto"/>
    </w:pPr>
    <w:rPr>
      <w:rFonts w:eastAsiaTheme="majorEastAsia" w:cs="Arial"/>
      <w:color w:val="404040" w:themeColor="text1"/>
    </w:rPr>
    <w:tblPr>
      <w:tblStyleRowBandSize w:val="1"/>
      <w:tblStyleColBandSize w:val="1"/>
      <w:tblBorders>
        <w:top w:val="single" w:sz="8" w:space="0" w:color="939598" w:themeColor="accent2"/>
        <w:left w:val="single" w:sz="8" w:space="0" w:color="939598" w:themeColor="accent2"/>
        <w:bottom w:val="single" w:sz="8" w:space="0" w:color="939598" w:themeColor="accent2"/>
        <w:right w:val="single" w:sz="8" w:space="0" w:color="939598" w:themeColor="accent2"/>
        <w:insideH w:val="single" w:sz="8" w:space="0" w:color="939598" w:themeColor="accent2"/>
        <w:insideV w:val="single" w:sz="8" w:space="0" w:color="939598" w:themeColor="accent2"/>
      </w:tblBorders>
    </w:tblPr>
    <w:tcPr>
      <w:shd w:val="clear" w:color="auto" w:fill="E4E4E5" w:themeFill="accent2" w:themeFillTint="3F"/>
    </w:tcPr>
    <w:tblStylePr w:type="firstRow">
      <w:rPr>
        <w:b/>
        <w:bCs/>
        <w:color w:val="404040" w:themeColor="text1"/>
      </w:rPr>
      <w:tblPr/>
      <w:tcPr>
        <w:shd w:val="clear" w:color="auto" w:fill="F4F4F4" w:themeFill="accent2" w:themeFillTint="19"/>
      </w:tcPr>
    </w:tblStylePr>
    <w:tblStylePr w:type="lastRow">
      <w:rPr>
        <w:b/>
        <w:bCs/>
        <w:color w:val="404040" w:themeColor="text1"/>
      </w:rPr>
      <w:tblPr/>
      <w:tcPr>
        <w:tcBorders>
          <w:top w:val="single" w:sz="12" w:space="0" w:color="404040" w:themeColor="text1"/>
          <w:left w:val="nil"/>
          <w:bottom w:val="nil"/>
          <w:right w:val="nil"/>
          <w:insideH w:val="nil"/>
          <w:insideV w:val="nil"/>
        </w:tcBorders>
        <w:shd w:val="clear" w:color="auto" w:fill="FFFFFF" w:themeFill="background1"/>
      </w:tcPr>
    </w:tblStylePr>
    <w:tblStylePr w:type="firstCol">
      <w:rPr>
        <w:b/>
        <w:bCs/>
        <w:color w:val="40404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04040" w:themeColor="text1"/>
      </w:rPr>
      <w:tblPr/>
      <w:tcPr>
        <w:tcBorders>
          <w:top w:val="nil"/>
          <w:left w:val="nil"/>
          <w:bottom w:val="nil"/>
          <w:right w:val="nil"/>
          <w:insideH w:val="nil"/>
          <w:insideV w:val="nil"/>
        </w:tcBorders>
        <w:shd w:val="clear" w:color="auto" w:fill="E9E9EA" w:themeFill="accent2" w:themeFillTint="33"/>
      </w:tcPr>
    </w:tblStylePr>
    <w:tblStylePr w:type="band1Vert">
      <w:tblPr/>
      <w:tcPr>
        <w:shd w:val="clear" w:color="auto" w:fill="C9CACB" w:themeFill="accent2" w:themeFillTint="7F"/>
      </w:tcPr>
    </w:tblStylePr>
    <w:tblStylePr w:type="band1Horz">
      <w:tblPr/>
      <w:tcPr>
        <w:tcBorders>
          <w:insideH w:val="single" w:sz="6" w:space="0" w:color="939598" w:themeColor="accent2"/>
          <w:insideV w:val="single" w:sz="6" w:space="0" w:color="939598" w:themeColor="accent2"/>
        </w:tcBorders>
        <w:shd w:val="clear" w:color="auto" w:fill="C9CACB"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527CC"/>
    <w:pPr>
      <w:spacing w:after="0" w:line="240" w:lineRule="auto"/>
    </w:pPr>
    <w:rPr>
      <w:rFonts w:eastAsiaTheme="majorEastAsia" w:cs="Arial"/>
      <w:color w:val="404040" w:themeColor="text1"/>
    </w:rPr>
    <w:tblPr>
      <w:tblStyleRowBandSize w:val="1"/>
      <w:tblStyleColBandSize w:val="1"/>
      <w:tblBorders>
        <w:top w:val="single" w:sz="8" w:space="0" w:color="636466" w:themeColor="accent3"/>
        <w:left w:val="single" w:sz="8" w:space="0" w:color="636466" w:themeColor="accent3"/>
        <w:bottom w:val="single" w:sz="8" w:space="0" w:color="636466" w:themeColor="accent3"/>
        <w:right w:val="single" w:sz="8" w:space="0" w:color="636466" w:themeColor="accent3"/>
        <w:insideH w:val="single" w:sz="8" w:space="0" w:color="636466" w:themeColor="accent3"/>
        <w:insideV w:val="single" w:sz="8" w:space="0" w:color="636466" w:themeColor="accent3"/>
      </w:tblBorders>
    </w:tblPr>
    <w:tcPr>
      <w:shd w:val="clear" w:color="auto" w:fill="D8D8D9" w:themeFill="accent3" w:themeFillTint="3F"/>
    </w:tcPr>
    <w:tblStylePr w:type="firstRow">
      <w:rPr>
        <w:b/>
        <w:bCs/>
        <w:color w:val="404040" w:themeColor="text1"/>
      </w:rPr>
      <w:tblPr/>
      <w:tcPr>
        <w:shd w:val="clear" w:color="auto" w:fill="EFEFF0" w:themeFill="accent3" w:themeFillTint="19"/>
      </w:tcPr>
    </w:tblStylePr>
    <w:tblStylePr w:type="lastRow">
      <w:rPr>
        <w:b/>
        <w:bCs/>
        <w:color w:val="404040" w:themeColor="text1"/>
      </w:rPr>
      <w:tblPr/>
      <w:tcPr>
        <w:tcBorders>
          <w:top w:val="single" w:sz="12" w:space="0" w:color="404040" w:themeColor="text1"/>
          <w:left w:val="nil"/>
          <w:bottom w:val="nil"/>
          <w:right w:val="nil"/>
          <w:insideH w:val="nil"/>
          <w:insideV w:val="nil"/>
        </w:tcBorders>
        <w:shd w:val="clear" w:color="auto" w:fill="FFFFFF" w:themeFill="background1"/>
      </w:tcPr>
    </w:tblStylePr>
    <w:tblStylePr w:type="firstCol">
      <w:rPr>
        <w:b/>
        <w:bCs/>
        <w:color w:val="40404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04040" w:themeColor="text1"/>
      </w:rPr>
      <w:tblPr/>
      <w:tcPr>
        <w:tcBorders>
          <w:top w:val="nil"/>
          <w:left w:val="nil"/>
          <w:bottom w:val="nil"/>
          <w:right w:val="nil"/>
          <w:insideH w:val="nil"/>
          <w:insideV w:val="nil"/>
        </w:tcBorders>
        <w:shd w:val="clear" w:color="auto" w:fill="DFDFE0" w:themeFill="accent3" w:themeFillTint="33"/>
      </w:tcPr>
    </w:tblStylePr>
    <w:tblStylePr w:type="band1Vert">
      <w:tblPr/>
      <w:tcPr>
        <w:shd w:val="clear" w:color="auto" w:fill="B0B1B3" w:themeFill="accent3" w:themeFillTint="7F"/>
      </w:tcPr>
    </w:tblStylePr>
    <w:tblStylePr w:type="band1Horz">
      <w:tblPr/>
      <w:tcPr>
        <w:tcBorders>
          <w:insideH w:val="single" w:sz="6" w:space="0" w:color="636466" w:themeColor="accent3"/>
          <w:insideV w:val="single" w:sz="6" w:space="0" w:color="636466" w:themeColor="accent3"/>
        </w:tcBorders>
        <w:shd w:val="clear" w:color="auto" w:fill="B0B1B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527CC"/>
    <w:pPr>
      <w:spacing w:after="0" w:line="240" w:lineRule="auto"/>
    </w:pPr>
    <w:rPr>
      <w:rFonts w:eastAsiaTheme="majorEastAsia" w:cs="Arial"/>
      <w:color w:val="404040" w:themeColor="text1"/>
    </w:rPr>
    <w:tblPr>
      <w:tblStyleRowBandSize w:val="1"/>
      <w:tblStyleColBandSize w:val="1"/>
      <w:tblBorders>
        <w:top w:val="single" w:sz="8" w:space="0" w:color="CD202C" w:themeColor="accent4"/>
        <w:left w:val="single" w:sz="8" w:space="0" w:color="CD202C" w:themeColor="accent4"/>
        <w:bottom w:val="single" w:sz="8" w:space="0" w:color="CD202C" w:themeColor="accent4"/>
        <w:right w:val="single" w:sz="8" w:space="0" w:color="CD202C" w:themeColor="accent4"/>
        <w:insideH w:val="single" w:sz="8" w:space="0" w:color="CD202C" w:themeColor="accent4"/>
        <w:insideV w:val="single" w:sz="8" w:space="0" w:color="CD202C" w:themeColor="accent4"/>
      </w:tblBorders>
    </w:tblPr>
    <w:tcPr>
      <w:shd w:val="clear" w:color="auto" w:fill="F6C4C7" w:themeFill="accent4" w:themeFillTint="3F"/>
    </w:tcPr>
    <w:tblStylePr w:type="firstRow">
      <w:rPr>
        <w:b/>
        <w:bCs/>
        <w:color w:val="404040" w:themeColor="text1"/>
      </w:rPr>
      <w:tblPr/>
      <w:tcPr>
        <w:shd w:val="clear" w:color="auto" w:fill="FBE7E8" w:themeFill="accent4" w:themeFillTint="19"/>
      </w:tcPr>
    </w:tblStylePr>
    <w:tblStylePr w:type="lastRow">
      <w:rPr>
        <w:b/>
        <w:bCs/>
        <w:color w:val="404040" w:themeColor="text1"/>
      </w:rPr>
      <w:tblPr/>
      <w:tcPr>
        <w:tcBorders>
          <w:top w:val="single" w:sz="12" w:space="0" w:color="404040" w:themeColor="text1"/>
          <w:left w:val="nil"/>
          <w:bottom w:val="nil"/>
          <w:right w:val="nil"/>
          <w:insideH w:val="nil"/>
          <w:insideV w:val="nil"/>
        </w:tcBorders>
        <w:shd w:val="clear" w:color="auto" w:fill="FFFFFF" w:themeFill="background1"/>
      </w:tcPr>
    </w:tblStylePr>
    <w:tblStylePr w:type="firstCol">
      <w:rPr>
        <w:b/>
        <w:bCs/>
        <w:color w:val="40404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04040" w:themeColor="text1"/>
      </w:rPr>
      <w:tblPr/>
      <w:tcPr>
        <w:tcBorders>
          <w:top w:val="nil"/>
          <w:left w:val="nil"/>
          <w:bottom w:val="nil"/>
          <w:right w:val="nil"/>
          <w:insideH w:val="nil"/>
          <w:insideV w:val="nil"/>
        </w:tcBorders>
        <w:shd w:val="clear" w:color="auto" w:fill="F7CFD2" w:themeFill="accent4" w:themeFillTint="33"/>
      </w:tcPr>
    </w:tblStylePr>
    <w:tblStylePr w:type="band1Vert">
      <w:tblPr/>
      <w:tcPr>
        <w:shd w:val="clear" w:color="auto" w:fill="EC898F" w:themeFill="accent4" w:themeFillTint="7F"/>
      </w:tcPr>
    </w:tblStylePr>
    <w:tblStylePr w:type="band1Horz">
      <w:tblPr/>
      <w:tcPr>
        <w:tcBorders>
          <w:insideH w:val="single" w:sz="6" w:space="0" w:color="CD202C" w:themeColor="accent4"/>
          <w:insideV w:val="single" w:sz="6" w:space="0" w:color="CD202C" w:themeColor="accent4"/>
        </w:tcBorders>
        <w:shd w:val="clear" w:color="auto" w:fill="EC898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527CC"/>
    <w:pPr>
      <w:spacing w:after="0" w:line="240" w:lineRule="auto"/>
    </w:pPr>
    <w:rPr>
      <w:rFonts w:eastAsiaTheme="majorEastAsia" w:cs="Arial"/>
      <w:color w:val="404040" w:themeColor="text1"/>
    </w:rPr>
    <w:tblPr>
      <w:tblStyleRowBandSize w:val="1"/>
      <w:tblStyleColBandSize w:val="1"/>
      <w:tblBorders>
        <w:top w:val="single" w:sz="8" w:space="0" w:color="0055AA" w:themeColor="accent5"/>
        <w:left w:val="single" w:sz="8" w:space="0" w:color="0055AA" w:themeColor="accent5"/>
        <w:bottom w:val="single" w:sz="8" w:space="0" w:color="0055AA" w:themeColor="accent5"/>
        <w:right w:val="single" w:sz="8" w:space="0" w:color="0055AA" w:themeColor="accent5"/>
        <w:insideH w:val="single" w:sz="8" w:space="0" w:color="0055AA" w:themeColor="accent5"/>
        <w:insideV w:val="single" w:sz="8" w:space="0" w:color="0055AA" w:themeColor="accent5"/>
      </w:tblBorders>
    </w:tblPr>
    <w:tcPr>
      <w:shd w:val="clear" w:color="auto" w:fill="ABD4FF" w:themeFill="accent5" w:themeFillTint="3F"/>
    </w:tcPr>
    <w:tblStylePr w:type="firstRow">
      <w:rPr>
        <w:b/>
        <w:bCs/>
        <w:color w:val="404040" w:themeColor="text1"/>
      </w:rPr>
      <w:tblPr/>
      <w:tcPr>
        <w:shd w:val="clear" w:color="auto" w:fill="DDEEFF" w:themeFill="accent5" w:themeFillTint="19"/>
      </w:tcPr>
    </w:tblStylePr>
    <w:tblStylePr w:type="lastRow">
      <w:rPr>
        <w:b/>
        <w:bCs/>
        <w:color w:val="404040" w:themeColor="text1"/>
      </w:rPr>
      <w:tblPr/>
      <w:tcPr>
        <w:tcBorders>
          <w:top w:val="single" w:sz="12" w:space="0" w:color="404040" w:themeColor="text1"/>
          <w:left w:val="nil"/>
          <w:bottom w:val="nil"/>
          <w:right w:val="nil"/>
          <w:insideH w:val="nil"/>
          <w:insideV w:val="nil"/>
        </w:tcBorders>
        <w:shd w:val="clear" w:color="auto" w:fill="FFFFFF" w:themeFill="background1"/>
      </w:tcPr>
    </w:tblStylePr>
    <w:tblStylePr w:type="firstCol">
      <w:rPr>
        <w:b/>
        <w:bCs/>
        <w:color w:val="40404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04040" w:themeColor="text1"/>
      </w:rPr>
      <w:tblPr/>
      <w:tcPr>
        <w:tcBorders>
          <w:top w:val="nil"/>
          <w:left w:val="nil"/>
          <w:bottom w:val="nil"/>
          <w:right w:val="nil"/>
          <w:insideH w:val="nil"/>
          <w:insideV w:val="nil"/>
        </w:tcBorders>
        <w:shd w:val="clear" w:color="auto" w:fill="BBDCFF" w:themeFill="accent5" w:themeFillTint="33"/>
      </w:tcPr>
    </w:tblStylePr>
    <w:tblStylePr w:type="band1Vert">
      <w:tblPr/>
      <w:tcPr>
        <w:shd w:val="clear" w:color="auto" w:fill="55AAFF" w:themeFill="accent5" w:themeFillTint="7F"/>
      </w:tcPr>
    </w:tblStylePr>
    <w:tblStylePr w:type="band1Horz">
      <w:tblPr/>
      <w:tcPr>
        <w:tcBorders>
          <w:insideH w:val="single" w:sz="6" w:space="0" w:color="0055AA" w:themeColor="accent5"/>
          <w:insideV w:val="single" w:sz="6" w:space="0" w:color="0055AA" w:themeColor="accent5"/>
        </w:tcBorders>
        <w:shd w:val="clear" w:color="auto" w:fill="55AA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527CC"/>
    <w:pPr>
      <w:spacing w:after="0" w:line="240" w:lineRule="auto"/>
    </w:pPr>
    <w:rPr>
      <w:rFonts w:eastAsiaTheme="majorEastAsia" w:cs="Arial"/>
      <w:color w:val="404040" w:themeColor="text1"/>
    </w:rPr>
    <w:tblPr>
      <w:tblStyleRowBandSize w:val="1"/>
      <w:tblStyleColBandSize w:val="1"/>
      <w:tblBorders>
        <w:top w:val="single" w:sz="8" w:space="0" w:color="FFAA22" w:themeColor="accent6"/>
        <w:left w:val="single" w:sz="8" w:space="0" w:color="FFAA22" w:themeColor="accent6"/>
        <w:bottom w:val="single" w:sz="8" w:space="0" w:color="FFAA22" w:themeColor="accent6"/>
        <w:right w:val="single" w:sz="8" w:space="0" w:color="FFAA22" w:themeColor="accent6"/>
        <w:insideH w:val="single" w:sz="8" w:space="0" w:color="FFAA22" w:themeColor="accent6"/>
        <w:insideV w:val="single" w:sz="8" w:space="0" w:color="FFAA22" w:themeColor="accent6"/>
      </w:tblBorders>
    </w:tblPr>
    <w:tcPr>
      <w:shd w:val="clear" w:color="auto" w:fill="FFE9C8" w:themeFill="accent6" w:themeFillTint="3F"/>
    </w:tcPr>
    <w:tblStylePr w:type="firstRow">
      <w:rPr>
        <w:b/>
        <w:bCs/>
        <w:color w:val="404040" w:themeColor="text1"/>
      </w:rPr>
      <w:tblPr/>
      <w:tcPr>
        <w:shd w:val="clear" w:color="auto" w:fill="FFF6E9" w:themeFill="accent6" w:themeFillTint="19"/>
      </w:tcPr>
    </w:tblStylePr>
    <w:tblStylePr w:type="lastRow">
      <w:rPr>
        <w:b/>
        <w:bCs/>
        <w:color w:val="404040" w:themeColor="text1"/>
      </w:rPr>
      <w:tblPr/>
      <w:tcPr>
        <w:tcBorders>
          <w:top w:val="single" w:sz="12" w:space="0" w:color="404040" w:themeColor="text1"/>
          <w:left w:val="nil"/>
          <w:bottom w:val="nil"/>
          <w:right w:val="nil"/>
          <w:insideH w:val="nil"/>
          <w:insideV w:val="nil"/>
        </w:tcBorders>
        <w:shd w:val="clear" w:color="auto" w:fill="FFFFFF" w:themeFill="background1"/>
      </w:tcPr>
    </w:tblStylePr>
    <w:tblStylePr w:type="firstCol">
      <w:rPr>
        <w:b/>
        <w:bCs/>
        <w:color w:val="40404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04040" w:themeColor="text1"/>
      </w:rPr>
      <w:tblPr/>
      <w:tcPr>
        <w:tcBorders>
          <w:top w:val="nil"/>
          <w:left w:val="nil"/>
          <w:bottom w:val="nil"/>
          <w:right w:val="nil"/>
          <w:insideH w:val="nil"/>
          <w:insideV w:val="nil"/>
        </w:tcBorders>
        <w:shd w:val="clear" w:color="auto" w:fill="FFEDD2" w:themeFill="accent6" w:themeFillTint="33"/>
      </w:tcPr>
    </w:tblStylePr>
    <w:tblStylePr w:type="band1Vert">
      <w:tblPr/>
      <w:tcPr>
        <w:shd w:val="clear" w:color="auto" w:fill="FFD490" w:themeFill="accent6" w:themeFillTint="7F"/>
      </w:tcPr>
    </w:tblStylePr>
    <w:tblStylePr w:type="band1Horz">
      <w:tblPr/>
      <w:tcPr>
        <w:tcBorders>
          <w:insideH w:val="single" w:sz="6" w:space="0" w:color="FFAA22" w:themeColor="accent6"/>
          <w:insideV w:val="single" w:sz="6" w:space="0" w:color="FFAA22" w:themeColor="accent6"/>
        </w:tcBorders>
        <w:shd w:val="clear" w:color="auto" w:fill="FFD49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527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FC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0404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0404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0404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0404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F9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F9F" w:themeFill="text1" w:themeFillTint="7F"/>
      </w:tcPr>
    </w:tblStylePr>
  </w:style>
  <w:style w:type="table" w:styleId="MediumGrid3-Accent1">
    <w:name w:val="Medium Grid 3 Accent 1"/>
    <w:basedOn w:val="TableNormal"/>
    <w:uiPriority w:val="69"/>
    <w:semiHidden/>
    <w:unhideWhenUsed/>
    <w:rsid w:val="00F527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1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7C8C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7C8C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7C8C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7C8C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3E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3E4" w:themeFill="accent1" w:themeFillTint="7F"/>
      </w:tcPr>
    </w:tblStylePr>
  </w:style>
  <w:style w:type="table" w:styleId="MediumGrid3-Accent2">
    <w:name w:val="Medium Grid 3 Accent 2"/>
    <w:basedOn w:val="TableNormal"/>
    <w:uiPriority w:val="69"/>
    <w:semiHidden/>
    <w:unhideWhenUsed/>
    <w:rsid w:val="00F527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4E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3959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3959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3959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3959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CAC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CACB" w:themeFill="accent2" w:themeFillTint="7F"/>
      </w:tcPr>
    </w:tblStylePr>
  </w:style>
  <w:style w:type="table" w:styleId="MediumGrid3-Accent3">
    <w:name w:val="Medium Grid 3 Accent 3"/>
    <w:basedOn w:val="TableNormal"/>
    <w:uiPriority w:val="69"/>
    <w:semiHidden/>
    <w:unhideWhenUsed/>
    <w:rsid w:val="00F527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8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3646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3646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3646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3646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B1B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B1B3" w:themeFill="accent3" w:themeFillTint="7F"/>
      </w:tcPr>
    </w:tblStylePr>
  </w:style>
  <w:style w:type="table" w:styleId="MediumGrid3-Accent4">
    <w:name w:val="Medium Grid 3 Accent 4"/>
    <w:basedOn w:val="TableNormal"/>
    <w:uiPriority w:val="69"/>
    <w:semiHidden/>
    <w:unhideWhenUsed/>
    <w:rsid w:val="00F527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4C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20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20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20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20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C898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C898F" w:themeFill="accent4" w:themeFillTint="7F"/>
      </w:tcPr>
    </w:tblStylePr>
  </w:style>
  <w:style w:type="table" w:styleId="MediumGrid3-Accent5">
    <w:name w:val="Medium Grid 3 Accent 5"/>
    <w:basedOn w:val="TableNormal"/>
    <w:uiPriority w:val="69"/>
    <w:semiHidden/>
    <w:unhideWhenUsed/>
    <w:rsid w:val="00F527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D4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A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A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A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A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AA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AAFF" w:themeFill="accent5" w:themeFillTint="7F"/>
      </w:tcPr>
    </w:tblStylePr>
  </w:style>
  <w:style w:type="table" w:styleId="MediumGrid3-Accent6">
    <w:name w:val="Medium Grid 3 Accent 6"/>
    <w:basedOn w:val="TableNormal"/>
    <w:uiPriority w:val="69"/>
    <w:semiHidden/>
    <w:unhideWhenUsed/>
    <w:rsid w:val="00F527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9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AA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AA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AA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AA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4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490" w:themeFill="accent6" w:themeFillTint="7F"/>
      </w:tcPr>
    </w:tblStylePr>
  </w:style>
  <w:style w:type="table" w:styleId="MediumList1">
    <w:name w:val="Medium List 1"/>
    <w:basedOn w:val="TableNormal"/>
    <w:uiPriority w:val="65"/>
    <w:semiHidden/>
    <w:unhideWhenUsed/>
    <w:rsid w:val="00F527CC"/>
    <w:pPr>
      <w:spacing w:after="0" w:line="240" w:lineRule="auto"/>
    </w:pPr>
    <w:rPr>
      <w:color w:val="404040" w:themeColor="text1"/>
    </w:rPr>
    <w:tblPr>
      <w:tblStyleRowBandSize w:val="1"/>
      <w:tblStyleColBandSize w:val="1"/>
      <w:tblBorders>
        <w:top w:val="single" w:sz="8" w:space="0" w:color="404040" w:themeColor="text1"/>
        <w:bottom w:val="single" w:sz="8" w:space="0" w:color="404040" w:themeColor="text1"/>
      </w:tblBorders>
    </w:tblPr>
    <w:tblStylePr w:type="firstRow">
      <w:rPr>
        <w:rFonts w:asciiTheme="majorHAnsi" w:eastAsiaTheme="majorEastAsia" w:hAnsiTheme="majorHAnsi" w:cstheme="majorBidi"/>
      </w:rPr>
      <w:tblPr/>
      <w:tcPr>
        <w:tcBorders>
          <w:top w:val="nil"/>
          <w:bottom w:val="single" w:sz="8" w:space="0" w:color="404040" w:themeColor="text1"/>
        </w:tcBorders>
      </w:tcPr>
    </w:tblStylePr>
    <w:tblStylePr w:type="lastRow">
      <w:rPr>
        <w:b/>
        <w:bCs/>
        <w:color w:val="FFFFFF" w:themeColor="text2"/>
      </w:rPr>
      <w:tblPr/>
      <w:tcPr>
        <w:tcBorders>
          <w:top w:val="single" w:sz="8" w:space="0" w:color="404040" w:themeColor="text1"/>
          <w:bottom w:val="single" w:sz="8" w:space="0" w:color="404040" w:themeColor="text1"/>
        </w:tcBorders>
      </w:tcPr>
    </w:tblStylePr>
    <w:tblStylePr w:type="firstCol">
      <w:rPr>
        <w:b/>
        <w:bCs/>
      </w:rPr>
    </w:tblStylePr>
    <w:tblStylePr w:type="lastCol">
      <w:rPr>
        <w:b/>
        <w:bCs/>
      </w:rPr>
      <w:tblPr/>
      <w:tcPr>
        <w:tcBorders>
          <w:top w:val="single" w:sz="8" w:space="0" w:color="404040" w:themeColor="text1"/>
          <w:bottom w:val="single" w:sz="8" w:space="0" w:color="404040" w:themeColor="text1"/>
        </w:tcBorders>
      </w:tcPr>
    </w:tblStylePr>
    <w:tblStylePr w:type="band1Vert">
      <w:tblPr/>
      <w:tcPr>
        <w:shd w:val="clear" w:color="auto" w:fill="CFCFCF" w:themeFill="text1" w:themeFillTint="3F"/>
      </w:tcPr>
    </w:tblStylePr>
    <w:tblStylePr w:type="band1Horz">
      <w:tblPr/>
      <w:tcPr>
        <w:shd w:val="clear" w:color="auto" w:fill="CFCFCF" w:themeFill="text1" w:themeFillTint="3F"/>
      </w:tcPr>
    </w:tblStylePr>
  </w:style>
  <w:style w:type="table" w:styleId="MediumList1-Accent1">
    <w:name w:val="Medium List 1 Accent 1"/>
    <w:basedOn w:val="TableNormal"/>
    <w:uiPriority w:val="65"/>
    <w:semiHidden/>
    <w:unhideWhenUsed/>
    <w:rsid w:val="00F527CC"/>
    <w:pPr>
      <w:spacing w:after="0" w:line="240" w:lineRule="auto"/>
    </w:pPr>
    <w:rPr>
      <w:color w:val="404040" w:themeColor="text1"/>
    </w:rPr>
    <w:tblPr>
      <w:tblStyleRowBandSize w:val="1"/>
      <w:tblStyleColBandSize w:val="1"/>
      <w:tblBorders>
        <w:top w:val="single" w:sz="8" w:space="0" w:color="C7C8CA" w:themeColor="accent1"/>
        <w:bottom w:val="single" w:sz="8" w:space="0" w:color="C7C8CA" w:themeColor="accent1"/>
      </w:tblBorders>
    </w:tblPr>
    <w:tblStylePr w:type="firstRow">
      <w:rPr>
        <w:rFonts w:asciiTheme="majorHAnsi" w:eastAsiaTheme="majorEastAsia" w:hAnsiTheme="majorHAnsi" w:cstheme="majorBidi"/>
      </w:rPr>
      <w:tblPr/>
      <w:tcPr>
        <w:tcBorders>
          <w:top w:val="nil"/>
          <w:bottom w:val="single" w:sz="8" w:space="0" w:color="C7C8CA" w:themeColor="accent1"/>
        </w:tcBorders>
      </w:tcPr>
    </w:tblStylePr>
    <w:tblStylePr w:type="lastRow">
      <w:rPr>
        <w:b/>
        <w:bCs/>
        <w:color w:val="FFFFFF" w:themeColor="text2"/>
      </w:rPr>
      <w:tblPr/>
      <w:tcPr>
        <w:tcBorders>
          <w:top w:val="single" w:sz="8" w:space="0" w:color="C7C8CA" w:themeColor="accent1"/>
          <w:bottom w:val="single" w:sz="8" w:space="0" w:color="C7C8CA" w:themeColor="accent1"/>
        </w:tcBorders>
      </w:tcPr>
    </w:tblStylePr>
    <w:tblStylePr w:type="firstCol">
      <w:rPr>
        <w:b/>
        <w:bCs/>
      </w:rPr>
    </w:tblStylePr>
    <w:tblStylePr w:type="lastCol">
      <w:rPr>
        <w:b/>
        <w:bCs/>
      </w:rPr>
      <w:tblPr/>
      <w:tcPr>
        <w:tcBorders>
          <w:top w:val="single" w:sz="8" w:space="0" w:color="C7C8CA" w:themeColor="accent1"/>
          <w:bottom w:val="single" w:sz="8" w:space="0" w:color="C7C8CA" w:themeColor="accent1"/>
        </w:tcBorders>
      </w:tcPr>
    </w:tblStylePr>
    <w:tblStylePr w:type="band1Vert">
      <w:tblPr/>
      <w:tcPr>
        <w:shd w:val="clear" w:color="auto" w:fill="F1F1F2" w:themeFill="accent1" w:themeFillTint="3F"/>
      </w:tcPr>
    </w:tblStylePr>
    <w:tblStylePr w:type="band1Horz">
      <w:tblPr/>
      <w:tcPr>
        <w:shd w:val="clear" w:color="auto" w:fill="F1F1F2" w:themeFill="accent1" w:themeFillTint="3F"/>
      </w:tcPr>
    </w:tblStylePr>
  </w:style>
  <w:style w:type="table" w:styleId="MediumList1-Accent2">
    <w:name w:val="Medium List 1 Accent 2"/>
    <w:basedOn w:val="TableNormal"/>
    <w:uiPriority w:val="65"/>
    <w:semiHidden/>
    <w:unhideWhenUsed/>
    <w:rsid w:val="00F527CC"/>
    <w:pPr>
      <w:spacing w:after="0" w:line="240" w:lineRule="auto"/>
    </w:pPr>
    <w:rPr>
      <w:color w:val="404040" w:themeColor="text1"/>
    </w:rPr>
    <w:tblPr>
      <w:tblStyleRowBandSize w:val="1"/>
      <w:tblStyleColBandSize w:val="1"/>
      <w:tblBorders>
        <w:top w:val="single" w:sz="8" w:space="0" w:color="939598" w:themeColor="accent2"/>
        <w:bottom w:val="single" w:sz="8" w:space="0" w:color="939598" w:themeColor="accent2"/>
      </w:tblBorders>
    </w:tblPr>
    <w:tblStylePr w:type="firstRow">
      <w:rPr>
        <w:rFonts w:asciiTheme="majorHAnsi" w:eastAsiaTheme="majorEastAsia" w:hAnsiTheme="majorHAnsi" w:cstheme="majorBidi"/>
      </w:rPr>
      <w:tblPr/>
      <w:tcPr>
        <w:tcBorders>
          <w:top w:val="nil"/>
          <w:bottom w:val="single" w:sz="8" w:space="0" w:color="939598" w:themeColor="accent2"/>
        </w:tcBorders>
      </w:tcPr>
    </w:tblStylePr>
    <w:tblStylePr w:type="lastRow">
      <w:rPr>
        <w:b/>
        <w:bCs/>
        <w:color w:val="FFFFFF" w:themeColor="text2"/>
      </w:rPr>
      <w:tblPr/>
      <w:tcPr>
        <w:tcBorders>
          <w:top w:val="single" w:sz="8" w:space="0" w:color="939598" w:themeColor="accent2"/>
          <w:bottom w:val="single" w:sz="8" w:space="0" w:color="939598" w:themeColor="accent2"/>
        </w:tcBorders>
      </w:tcPr>
    </w:tblStylePr>
    <w:tblStylePr w:type="firstCol">
      <w:rPr>
        <w:b/>
        <w:bCs/>
      </w:rPr>
    </w:tblStylePr>
    <w:tblStylePr w:type="lastCol">
      <w:rPr>
        <w:b/>
        <w:bCs/>
      </w:rPr>
      <w:tblPr/>
      <w:tcPr>
        <w:tcBorders>
          <w:top w:val="single" w:sz="8" w:space="0" w:color="939598" w:themeColor="accent2"/>
          <w:bottom w:val="single" w:sz="8" w:space="0" w:color="939598" w:themeColor="accent2"/>
        </w:tcBorders>
      </w:tcPr>
    </w:tblStylePr>
    <w:tblStylePr w:type="band1Vert">
      <w:tblPr/>
      <w:tcPr>
        <w:shd w:val="clear" w:color="auto" w:fill="E4E4E5" w:themeFill="accent2" w:themeFillTint="3F"/>
      </w:tcPr>
    </w:tblStylePr>
    <w:tblStylePr w:type="band1Horz">
      <w:tblPr/>
      <w:tcPr>
        <w:shd w:val="clear" w:color="auto" w:fill="E4E4E5" w:themeFill="accent2" w:themeFillTint="3F"/>
      </w:tcPr>
    </w:tblStylePr>
  </w:style>
  <w:style w:type="table" w:styleId="MediumList1-Accent3">
    <w:name w:val="Medium List 1 Accent 3"/>
    <w:basedOn w:val="TableNormal"/>
    <w:uiPriority w:val="65"/>
    <w:semiHidden/>
    <w:unhideWhenUsed/>
    <w:rsid w:val="00F527CC"/>
    <w:pPr>
      <w:spacing w:after="0" w:line="240" w:lineRule="auto"/>
    </w:pPr>
    <w:rPr>
      <w:color w:val="404040" w:themeColor="text1"/>
    </w:rPr>
    <w:tblPr>
      <w:tblStyleRowBandSize w:val="1"/>
      <w:tblStyleColBandSize w:val="1"/>
      <w:tblBorders>
        <w:top w:val="single" w:sz="8" w:space="0" w:color="636466" w:themeColor="accent3"/>
        <w:bottom w:val="single" w:sz="8" w:space="0" w:color="636466" w:themeColor="accent3"/>
      </w:tblBorders>
    </w:tblPr>
    <w:tblStylePr w:type="firstRow">
      <w:rPr>
        <w:rFonts w:asciiTheme="majorHAnsi" w:eastAsiaTheme="majorEastAsia" w:hAnsiTheme="majorHAnsi" w:cstheme="majorBidi"/>
      </w:rPr>
      <w:tblPr/>
      <w:tcPr>
        <w:tcBorders>
          <w:top w:val="nil"/>
          <w:bottom w:val="single" w:sz="8" w:space="0" w:color="636466" w:themeColor="accent3"/>
        </w:tcBorders>
      </w:tcPr>
    </w:tblStylePr>
    <w:tblStylePr w:type="lastRow">
      <w:rPr>
        <w:b/>
        <w:bCs/>
        <w:color w:val="FFFFFF" w:themeColor="text2"/>
      </w:rPr>
      <w:tblPr/>
      <w:tcPr>
        <w:tcBorders>
          <w:top w:val="single" w:sz="8" w:space="0" w:color="636466" w:themeColor="accent3"/>
          <w:bottom w:val="single" w:sz="8" w:space="0" w:color="636466" w:themeColor="accent3"/>
        </w:tcBorders>
      </w:tcPr>
    </w:tblStylePr>
    <w:tblStylePr w:type="firstCol">
      <w:rPr>
        <w:b/>
        <w:bCs/>
      </w:rPr>
    </w:tblStylePr>
    <w:tblStylePr w:type="lastCol">
      <w:rPr>
        <w:b/>
        <w:bCs/>
      </w:rPr>
      <w:tblPr/>
      <w:tcPr>
        <w:tcBorders>
          <w:top w:val="single" w:sz="8" w:space="0" w:color="636466" w:themeColor="accent3"/>
          <w:bottom w:val="single" w:sz="8" w:space="0" w:color="636466" w:themeColor="accent3"/>
        </w:tcBorders>
      </w:tcPr>
    </w:tblStylePr>
    <w:tblStylePr w:type="band1Vert">
      <w:tblPr/>
      <w:tcPr>
        <w:shd w:val="clear" w:color="auto" w:fill="D8D8D9" w:themeFill="accent3" w:themeFillTint="3F"/>
      </w:tcPr>
    </w:tblStylePr>
    <w:tblStylePr w:type="band1Horz">
      <w:tblPr/>
      <w:tcPr>
        <w:shd w:val="clear" w:color="auto" w:fill="D8D8D9" w:themeFill="accent3" w:themeFillTint="3F"/>
      </w:tcPr>
    </w:tblStylePr>
  </w:style>
  <w:style w:type="table" w:styleId="MediumList1-Accent4">
    <w:name w:val="Medium List 1 Accent 4"/>
    <w:basedOn w:val="TableNormal"/>
    <w:uiPriority w:val="65"/>
    <w:semiHidden/>
    <w:unhideWhenUsed/>
    <w:rsid w:val="00F527CC"/>
    <w:pPr>
      <w:spacing w:after="0" w:line="240" w:lineRule="auto"/>
    </w:pPr>
    <w:rPr>
      <w:color w:val="404040" w:themeColor="text1"/>
    </w:rPr>
    <w:tblPr>
      <w:tblStyleRowBandSize w:val="1"/>
      <w:tblStyleColBandSize w:val="1"/>
      <w:tblBorders>
        <w:top w:val="single" w:sz="8" w:space="0" w:color="CD202C" w:themeColor="accent4"/>
        <w:bottom w:val="single" w:sz="8" w:space="0" w:color="CD202C" w:themeColor="accent4"/>
      </w:tblBorders>
    </w:tblPr>
    <w:tblStylePr w:type="firstRow">
      <w:rPr>
        <w:rFonts w:asciiTheme="majorHAnsi" w:eastAsiaTheme="majorEastAsia" w:hAnsiTheme="majorHAnsi" w:cstheme="majorBidi"/>
      </w:rPr>
      <w:tblPr/>
      <w:tcPr>
        <w:tcBorders>
          <w:top w:val="nil"/>
          <w:bottom w:val="single" w:sz="8" w:space="0" w:color="CD202C" w:themeColor="accent4"/>
        </w:tcBorders>
      </w:tcPr>
    </w:tblStylePr>
    <w:tblStylePr w:type="lastRow">
      <w:rPr>
        <w:b/>
        <w:bCs/>
        <w:color w:val="FFFFFF" w:themeColor="text2"/>
      </w:rPr>
      <w:tblPr/>
      <w:tcPr>
        <w:tcBorders>
          <w:top w:val="single" w:sz="8" w:space="0" w:color="CD202C" w:themeColor="accent4"/>
          <w:bottom w:val="single" w:sz="8" w:space="0" w:color="CD202C" w:themeColor="accent4"/>
        </w:tcBorders>
      </w:tcPr>
    </w:tblStylePr>
    <w:tblStylePr w:type="firstCol">
      <w:rPr>
        <w:b/>
        <w:bCs/>
      </w:rPr>
    </w:tblStylePr>
    <w:tblStylePr w:type="lastCol">
      <w:rPr>
        <w:b/>
        <w:bCs/>
      </w:rPr>
      <w:tblPr/>
      <w:tcPr>
        <w:tcBorders>
          <w:top w:val="single" w:sz="8" w:space="0" w:color="CD202C" w:themeColor="accent4"/>
          <w:bottom w:val="single" w:sz="8" w:space="0" w:color="CD202C" w:themeColor="accent4"/>
        </w:tcBorders>
      </w:tcPr>
    </w:tblStylePr>
    <w:tblStylePr w:type="band1Vert">
      <w:tblPr/>
      <w:tcPr>
        <w:shd w:val="clear" w:color="auto" w:fill="F6C4C7" w:themeFill="accent4" w:themeFillTint="3F"/>
      </w:tcPr>
    </w:tblStylePr>
    <w:tblStylePr w:type="band1Horz">
      <w:tblPr/>
      <w:tcPr>
        <w:shd w:val="clear" w:color="auto" w:fill="F6C4C7" w:themeFill="accent4" w:themeFillTint="3F"/>
      </w:tcPr>
    </w:tblStylePr>
  </w:style>
  <w:style w:type="table" w:styleId="MediumList1-Accent5">
    <w:name w:val="Medium List 1 Accent 5"/>
    <w:basedOn w:val="TableNormal"/>
    <w:uiPriority w:val="65"/>
    <w:semiHidden/>
    <w:unhideWhenUsed/>
    <w:rsid w:val="00F527CC"/>
    <w:pPr>
      <w:spacing w:after="0" w:line="240" w:lineRule="auto"/>
    </w:pPr>
    <w:rPr>
      <w:color w:val="404040" w:themeColor="text1"/>
    </w:rPr>
    <w:tblPr>
      <w:tblStyleRowBandSize w:val="1"/>
      <w:tblStyleColBandSize w:val="1"/>
      <w:tblBorders>
        <w:top w:val="single" w:sz="8" w:space="0" w:color="0055AA" w:themeColor="accent5"/>
        <w:bottom w:val="single" w:sz="8" w:space="0" w:color="0055AA" w:themeColor="accent5"/>
      </w:tblBorders>
    </w:tblPr>
    <w:tblStylePr w:type="firstRow">
      <w:rPr>
        <w:rFonts w:asciiTheme="majorHAnsi" w:eastAsiaTheme="majorEastAsia" w:hAnsiTheme="majorHAnsi" w:cstheme="majorBidi"/>
      </w:rPr>
      <w:tblPr/>
      <w:tcPr>
        <w:tcBorders>
          <w:top w:val="nil"/>
          <w:bottom w:val="single" w:sz="8" w:space="0" w:color="0055AA" w:themeColor="accent5"/>
        </w:tcBorders>
      </w:tcPr>
    </w:tblStylePr>
    <w:tblStylePr w:type="lastRow">
      <w:rPr>
        <w:b/>
        <w:bCs/>
        <w:color w:val="FFFFFF" w:themeColor="text2"/>
      </w:rPr>
      <w:tblPr/>
      <w:tcPr>
        <w:tcBorders>
          <w:top w:val="single" w:sz="8" w:space="0" w:color="0055AA" w:themeColor="accent5"/>
          <w:bottom w:val="single" w:sz="8" w:space="0" w:color="0055AA" w:themeColor="accent5"/>
        </w:tcBorders>
      </w:tcPr>
    </w:tblStylePr>
    <w:tblStylePr w:type="firstCol">
      <w:rPr>
        <w:b/>
        <w:bCs/>
      </w:rPr>
    </w:tblStylePr>
    <w:tblStylePr w:type="lastCol">
      <w:rPr>
        <w:b/>
        <w:bCs/>
      </w:rPr>
      <w:tblPr/>
      <w:tcPr>
        <w:tcBorders>
          <w:top w:val="single" w:sz="8" w:space="0" w:color="0055AA" w:themeColor="accent5"/>
          <w:bottom w:val="single" w:sz="8" w:space="0" w:color="0055AA" w:themeColor="accent5"/>
        </w:tcBorders>
      </w:tcPr>
    </w:tblStylePr>
    <w:tblStylePr w:type="band1Vert">
      <w:tblPr/>
      <w:tcPr>
        <w:shd w:val="clear" w:color="auto" w:fill="ABD4FF" w:themeFill="accent5" w:themeFillTint="3F"/>
      </w:tcPr>
    </w:tblStylePr>
    <w:tblStylePr w:type="band1Horz">
      <w:tblPr/>
      <w:tcPr>
        <w:shd w:val="clear" w:color="auto" w:fill="ABD4FF" w:themeFill="accent5" w:themeFillTint="3F"/>
      </w:tcPr>
    </w:tblStylePr>
  </w:style>
  <w:style w:type="table" w:styleId="MediumList1-Accent6">
    <w:name w:val="Medium List 1 Accent 6"/>
    <w:basedOn w:val="TableNormal"/>
    <w:uiPriority w:val="65"/>
    <w:semiHidden/>
    <w:unhideWhenUsed/>
    <w:rsid w:val="00F527CC"/>
    <w:pPr>
      <w:spacing w:after="0" w:line="240" w:lineRule="auto"/>
    </w:pPr>
    <w:rPr>
      <w:color w:val="404040" w:themeColor="text1"/>
    </w:rPr>
    <w:tblPr>
      <w:tblStyleRowBandSize w:val="1"/>
      <w:tblStyleColBandSize w:val="1"/>
      <w:tblBorders>
        <w:top w:val="single" w:sz="8" w:space="0" w:color="FFAA22" w:themeColor="accent6"/>
        <w:bottom w:val="single" w:sz="8" w:space="0" w:color="FFAA22" w:themeColor="accent6"/>
      </w:tblBorders>
    </w:tblPr>
    <w:tblStylePr w:type="firstRow">
      <w:rPr>
        <w:rFonts w:asciiTheme="majorHAnsi" w:eastAsiaTheme="majorEastAsia" w:hAnsiTheme="majorHAnsi" w:cstheme="majorBidi"/>
      </w:rPr>
      <w:tblPr/>
      <w:tcPr>
        <w:tcBorders>
          <w:top w:val="nil"/>
          <w:bottom w:val="single" w:sz="8" w:space="0" w:color="FFAA22" w:themeColor="accent6"/>
        </w:tcBorders>
      </w:tcPr>
    </w:tblStylePr>
    <w:tblStylePr w:type="lastRow">
      <w:rPr>
        <w:b/>
        <w:bCs/>
        <w:color w:val="FFFFFF" w:themeColor="text2"/>
      </w:rPr>
      <w:tblPr/>
      <w:tcPr>
        <w:tcBorders>
          <w:top w:val="single" w:sz="8" w:space="0" w:color="FFAA22" w:themeColor="accent6"/>
          <w:bottom w:val="single" w:sz="8" w:space="0" w:color="FFAA22" w:themeColor="accent6"/>
        </w:tcBorders>
      </w:tcPr>
    </w:tblStylePr>
    <w:tblStylePr w:type="firstCol">
      <w:rPr>
        <w:b/>
        <w:bCs/>
      </w:rPr>
    </w:tblStylePr>
    <w:tblStylePr w:type="lastCol">
      <w:rPr>
        <w:b/>
        <w:bCs/>
      </w:rPr>
      <w:tblPr/>
      <w:tcPr>
        <w:tcBorders>
          <w:top w:val="single" w:sz="8" w:space="0" w:color="FFAA22" w:themeColor="accent6"/>
          <w:bottom w:val="single" w:sz="8" w:space="0" w:color="FFAA22" w:themeColor="accent6"/>
        </w:tcBorders>
      </w:tcPr>
    </w:tblStylePr>
    <w:tblStylePr w:type="band1Vert">
      <w:tblPr/>
      <w:tcPr>
        <w:shd w:val="clear" w:color="auto" w:fill="FFE9C8" w:themeFill="accent6" w:themeFillTint="3F"/>
      </w:tcPr>
    </w:tblStylePr>
    <w:tblStylePr w:type="band1Horz">
      <w:tblPr/>
      <w:tcPr>
        <w:shd w:val="clear" w:color="auto" w:fill="FFE9C8" w:themeFill="accent6" w:themeFillTint="3F"/>
      </w:tcPr>
    </w:tblStylePr>
  </w:style>
  <w:style w:type="table" w:styleId="MediumList2">
    <w:name w:val="Medium List 2"/>
    <w:basedOn w:val="TableNormal"/>
    <w:uiPriority w:val="66"/>
    <w:semiHidden/>
    <w:unhideWhenUsed/>
    <w:rsid w:val="00F527CC"/>
    <w:pPr>
      <w:spacing w:after="0" w:line="240" w:lineRule="auto"/>
    </w:pPr>
    <w:rPr>
      <w:rFonts w:eastAsiaTheme="majorEastAsia" w:cs="Arial"/>
      <w:color w:val="404040" w:themeColor="text1"/>
    </w:rPr>
    <w:tblPr>
      <w:tblStyleRowBandSize w:val="1"/>
      <w:tblStyleColBandSize w:val="1"/>
      <w:tblBorders>
        <w:top w:val="single" w:sz="8" w:space="0" w:color="404040" w:themeColor="text1"/>
        <w:left w:val="single" w:sz="8" w:space="0" w:color="404040" w:themeColor="text1"/>
        <w:bottom w:val="single" w:sz="8" w:space="0" w:color="404040" w:themeColor="text1"/>
        <w:right w:val="single" w:sz="8" w:space="0" w:color="404040" w:themeColor="text1"/>
      </w:tblBorders>
    </w:tblPr>
    <w:tblStylePr w:type="firstRow">
      <w:rPr>
        <w:sz w:val="24"/>
        <w:szCs w:val="24"/>
      </w:rPr>
      <w:tblPr/>
      <w:tcPr>
        <w:tcBorders>
          <w:top w:val="nil"/>
          <w:left w:val="nil"/>
          <w:bottom w:val="single" w:sz="24" w:space="0" w:color="40404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04040" w:themeColor="text1"/>
          <w:insideH w:val="nil"/>
          <w:insideV w:val="nil"/>
        </w:tcBorders>
        <w:shd w:val="clear" w:color="auto" w:fill="FFFFFF" w:themeFill="background1"/>
      </w:tcPr>
    </w:tblStylePr>
    <w:tblStylePr w:type="lastCol">
      <w:tblPr/>
      <w:tcPr>
        <w:tcBorders>
          <w:top w:val="nil"/>
          <w:left w:val="single" w:sz="8" w:space="0" w:color="40404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FCF" w:themeFill="text1" w:themeFillTint="3F"/>
      </w:tcPr>
    </w:tblStylePr>
    <w:tblStylePr w:type="band1Horz">
      <w:tblPr/>
      <w:tcPr>
        <w:tcBorders>
          <w:top w:val="nil"/>
          <w:bottom w:val="nil"/>
          <w:insideH w:val="nil"/>
          <w:insideV w:val="nil"/>
        </w:tcBorders>
        <w:shd w:val="clear" w:color="auto" w:fill="CFCFC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527CC"/>
    <w:pPr>
      <w:spacing w:after="0" w:line="240" w:lineRule="auto"/>
    </w:pPr>
    <w:rPr>
      <w:rFonts w:eastAsiaTheme="majorEastAsia" w:cs="Arial"/>
      <w:color w:val="404040" w:themeColor="text1"/>
    </w:rPr>
    <w:tblPr>
      <w:tblStyleRowBandSize w:val="1"/>
      <w:tblStyleColBandSize w:val="1"/>
      <w:tblBorders>
        <w:top w:val="single" w:sz="8" w:space="0" w:color="C7C8CA" w:themeColor="accent1"/>
        <w:left w:val="single" w:sz="8" w:space="0" w:color="C7C8CA" w:themeColor="accent1"/>
        <w:bottom w:val="single" w:sz="8" w:space="0" w:color="C7C8CA" w:themeColor="accent1"/>
        <w:right w:val="single" w:sz="8" w:space="0" w:color="C7C8CA" w:themeColor="accent1"/>
      </w:tblBorders>
    </w:tblPr>
    <w:tblStylePr w:type="firstRow">
      <w:rPr>
        <w:sz w:val="24"/>
        <w:szCs w:val="24"/>
      </w:rPr>
      <w:tblPr/>
      <w:tcPr>
        <w:tcBorders>
          <w:top w:val="nil"/>
          <w:left w:val="nil"/>
          <w:bottom w:val="single" w:sz="24" w:space="0" w:color="C7C8C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7C8CA" w:themeColor="accent1"/>
          <w:insideH w:val="nil"/>
          <w:insideV w:val="nil"/>
        </w:tcBorders>
        <w:shd w:val="clear" w:color="auto" w:fill="FFFFFF" w:themeFill="background1"/>
      </w:tcPr>
    </w:tblStylePr>
    <w:tblStylePr w:type="lastCol">
      <w:tblPr/>
      <w:tcPr>
        <w:tcBorders>
          <w:top w:val="nil"/>
          <w:left w:val="single" w:sz="8" w:space="0" w:color="C7C8C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1F2" w:themeFill="accent1" w:themeFillTint="3F"/>
      </w:tcPr>
    </w:tblStylePr>
    <w:tblStylePr w:type="band1Horz">
      <w:tblPr/>
      <w:tcPr>
        <w:tcBorders>
          <w:top w:val="nil"/>
          <w:bottom w:val="nil"/>
          <w:insideH w:val="nil"/>
          <w:insideV w:val="nil"/>
        </w:tcBorders>
        <w:shd w:val="clear" w:color="auto" w:fill="F1F1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527CC"/>
    <w:pPr>
      <w:spacing w:after="0" w:line="240" w:lineRule="auto"/>
    </w:pPr>
    <w:rPr>
      <w:rFonts w:eastAsiaTheme="majorEastAsia" w:cs="Arial"/>
      <w:color w:val="404040" w:themeColor="text1"/>
    </w:rPr>
    <w:tblPr>
      <w:tblStyleRowBandSize w:val="1"/>
      <w:tblStyleColBandSize w:val="1"/>
      <w:tblBorders>
        <w:top w:val="single" w:sz="8" w:space="0" w:color="939598" w:themeColor="accent2"/>
        <w:left w:val="single" w:sz="8" w:space="0" w:color="939598" w:themeColor="accent2"/>
        <w:bottom w:val="single" w:sz="8" w:space="0" w:color="939598" w:themeColor="accent2"/>
        <w:right w:val="single" w:sz="8" w:space="0" w:color="939598" w:themeColor="accent2"/>
      </w:tblBorders>
    </w:tblPr>
    <w:tblStylePr w:type="firstRow">
      <w:rPr>
        <w:sz w:val="24"/>
        <w:szCs w:val="24"/>
      </w:rPr>
      <w:tblPr/>
      <w:tcPr>
        <w:tcBorders>
          <w:top w:val="nil"/>
          <w:left w:val="nil"/>
          <w:bottom w:val="single" w:sz="24" w:space="0" w:color="93959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39598" w:themeColor="accent2"/>
          <w:insideH w:val="nil"/>
          <w:insideV w:val="nil"/>
        </w:tcBorders>
        <w:shd w:val="clear" w:color="auto" w:fill="FFFFFF" w:themeFill="background1"/>
      </w:tcPr>
    </w:tblStylePr>
    <w:tblStylePr w:type="lastCol">
      <w:tblPr/>
      <w:tcPr>
        <w:tcBorders>
          <w:top w:val="nil"/>
          <w:left w:val="single" w:sz="8" w:space="0" w:color="93959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4E5" w:themeFill="accent2" w:themeFillTint="3F"/>
      </w:tcPr>
    </w:tblStylePr>
    <w:tblStylePr w:type="band1Horz">
      <w:tblPr/>
      <w:tcPr>
        <w:tcBorders>
          <w:top w:val="nil"/>
          <w:bottom w:val="nil"/>
          <w:insideH w:val="nil"/>
          <w:insideV w:val="nil"/>
        </w:tcBorders>
        <w:shd w:val="clear" w:color="auto" w:fill="E4E4E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527CC"/>
    <w:pPr>
      <w:spacing w:after="0" w:line="240" w:lineRule="auto"/>
    </w:pPr>
    <w:rPr>
      <w:rFonts w:eastAsiaTheme="majorEastAsia" w:cs="Arial"/>
      <w:color w:val="404040" w:themeColor="text1"/>
    </w:rPr>
    <w:tblPr>
      <w:tblStyleRowBandSize w:val="1"/>
      <w:tblStyleColBandSize w:val="1"/>
      <w:tblBorders>
        <w:top w:val="single" w:sz="8" w:space="0" w:color="636466" w:themeColor="accent3"/>
        <w:left w:val="single" w:sz="8" w:space="0" w:color="636466" w:themeColor="accent3"/>
        <w:bottom w:val="single" w:sz="8" w:space="0" w:color="636466" w:themeColor="accent3"/>
        <w:right w:val="single" w:sz="8" w:space="0" w:color="636466" w:themeColor="accent3"/>
      </w:tblBorders>
    </w:tblPr>
    <w:tblStylePr w:type="firstRow">
      <w:rPr>
        <w:sz w:val="24"/>
        <w:szCs w:val="24"/>
      </w:rPr>
      <w:tblPr/>
      <w:tcPr>
        <w:tcBorders>
          <w:top w:val="nil"/>
          <w:left w:val="nil"/>
          <w:bottom w:val="single" w:sz="24" w:space="0" w:color="63646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36466" w:themeColor="accent3"/>
          <w:insideH w:val="nil"/>
          <w:insideV w:val="nil"/>
        </w:tcBorders>
        <w:shd w:val="clear" w:color="auto" w:fill="FFFFFF" w:themeFill="background1"/>
      </w:tcPr>
    </w:tblStylePr>
    <w:tblStylePr w:type="lastCol">
      <w:tblPr/>
      <w:tcPr>
        <w:tcBorders>
          <w:top w:val="nil"/>
          <w:left w:val="single" w:sz="8" w:space="0" w:color="63646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8D9" w:themeFill="accent3" w:themeFillTint="3F"/>
      </w:tcPr>
    </w:tblStylePr>
    <w:tblStylePr w:type="band1Horz">
      <w:tblPr/>
      <w:tcPr>
        <w:tcBorders>
          <w:top w:val="nil"/>
          <w:bottom w:val="nil"/>
          <w:insideH w:val="nil"/>
          <w:insideV w:val="nil"/>
        </w:tcBorders>
        <w:shd w:val="clear" w:color="auto" w:fill="D8D8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527CC"/>
    <w:pPr>
      <w:spacing w:after="0" w:line="240" w:lineRule="auto"/>
    </w:pPr>
    <w:rPr>
      <w:rFonts w:eastAsiaTheme="majorEastAsia" w:cs="Arial"/>
      <w:color w:val="404040" w:themeColor="text1"/>
    </w:rPr>
    <w:tblPr>
      <w:tblStyleRowBandSize w:val="1"/>
      <w:tblStyleColBandSize w:val="1"/>
      <w:tblBorders>
        <w:top w:val="single" w:sz="8" w:space="0" w:color="CD202C" w:themeColor="accent4"/>
        <w:left w:val="single" w:sz="8" w:space="0" w:color="CD202C" w:themeColor="accent4"/>
        <w:bottom w:val="single" w:sz="8" w:space="0" w:color="CD202C" w:themeColor="accent4"/>
        <w:right w:val="single" w:sz="8" w:space="0" w:color="CD202C" w:themeColor="accent4"/>
      </w:tblBorders>
    </w:tblPr>
    <w:tblStylePr w:type="firstRow">
      <w:rPr>
        <w:sz w:val="24"/>
        <w:szCs w:val="24"/>
      </w:rPr>
      <w:tblPr/>
      <w:tcPr>
        <w:tcBorders>
          <w:top w:val="nil"/>
          <w:left w:val="nil"/>
          <w:bottom w:val="single" w:sz="24" w:space="0" w:color="CD20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202C" w:themeColor="accent4"/>
          <w:insideH w:val="nil"/>
          <w:insideV w:val="nil"/>
        </w:tcBorders>
        <w:shd w:val="clear" w:color="auto" w:fill="FFFFFF" w:themeFill="background1"/>
      </w:tcPr>
    </w:tblStylePr>
    <w:tblStylePr w:type="lastCol">
      <w:tblPr/>
      <w:tcPr>
        <w:tcBorders>
          <w:top w:val="nil"/>
          <w:left w:val="single" w:sz="8" w:space="0" w:color="CD20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4C7" w:themeFill="accent4" w:themeFillTint="3F"/>
      </w:tcPr>
    </w:tblStylePr>
    <w:tblStylePr w:type="band1Horz">
      <w:tblPr/>
      <w:tcPr>
        <w:tcBorders>
          <w:top w:val="nil"/>
          <w:bottom w:val="nil"/>
          <w:insideH w:val="nil"/>
          <w:insideV w:val="nil"/>
        </w:tcBorders>
        <w:shd w:val="clear" w:color="auto" w:fill="F6C4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527CC"/>
    <w:pPr>
      <w:spacing w:after="0" w:line="240" w:lineRule="auto"/>
    </w:pPr>
    <w:rPr>
      <w:rFonts w:eastAsiaTheme="majorEastAsia" w:cs="Arial"/>
      <w:color w:val="404040" w:themeColor="text1"/>
    </w:rPr>
    <w:tblPr>
      <w:tblStyleRowBandSize w:val="1"/>
      <w:tblStyleColBandSize w:val="1"/>
      <w:tblBorders>
        <w:top w:val="single" w:sz="8" w:space="0" w:color="0055AA" w:themeColor="accent5"/>
        <w:left w:val="single" w:sz="8" w:space="0" w:color="0055AA" w:themeColor="accent5"/>
        <w:bottom w:val="single" w:sz="8" w:space="0" w:color="0055AA" w:themeColor="accent5"/>
        <w:right w:val="single" w:sz="8" w:space="0" w:color="0055AA" w:themeColor="accent5"/>
      </w:tblBorders>
    </w:tblPr>
    <w:tblStylePr w:type="firstRow">
      <w:rPr>
        <w:sz w:val="24"/>
        <w:szCs w:val="24"/>
      </w:rPr>
      <w:tblPr/>
      <w:tcPr>
        <w:tcBorders>
          <w:top w:val="nil"/>
          <w:left w:val="nil"/>
          <w:bottom w:val="single" w:sz="24" w:space="0" w:color="0055A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AA" w:themeColor="accent5"/>
          <w:insideH w:val="nil"/>
          <w:insideV w:val="nil"/>
        </w:tcBorders>
        <w:shd w:val="clear" w:color="auto" w:fill="FFFFFF" w:themeFill="background1"/>
      </w:tcPr>
    </w:tblStylePr>
    <w:tblStylePr w:type="lastCol">
      <w:tblPr/>
      <w:tcPr>
        <w:tcBorders>
          <w:top w:val="nil"/>
          <w:left w:val="single" w:sz="8" w:space="0" w:color="0055A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D4FF" w:themeFill="accent5" w:themeFillTint="3F"/>
      </w:tcPr>
    </w:tblStylePr>
    <w:tblStylePr w:type="band1Horz">
      <w:tblPr/>
      <w:tcPr>
        <w:tcBorders>
          <w:top w:val="nil"/>
          <w:bottom w:val="nil"/>
          <w:insideH w:val="nil"/>
          <w:insideV w:val="nil"/>
        </w:tcBorders>
        <w:shd w:val="clear" w:color="auto" w:fill="ABD4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527CC"/>
    <w:pPr>
      <w:spacing w:after="0" w:line="240" w:lineRule="auto"/>
    </w:pPr>
    <w:rPr>
      <w:rFonts w:eastAsiaTheme="majorEastAsia" w:cs="Arial"/>
      <w:color w:val="404040" w:themeColor="text1"/>
    </w:rPr>
    <w:tblPr>
      <w:tblStyleRowBandSize w:val="1"/>
      <w:tblStyleColBandSize w:val="1"/>
      <w:tblBorders>
        <w:top w:val="single" w:sz="8" w:space="0" w:color="FFAA22" w:themeColor="accent6"/>
        <w:left w:val="single" w:sz="8" w:space="0" w:color="FFAA22" w:themeColor="accent6"/>
        <w:bottom w:val="single" w:sz="8" w:space="0" w:color="FFAA22" w:themeColor="accent6"/>
        <w:right w:val="single" w:sz="8" w:space="0" w:color="FFAA22" w:themeColor="accent6"/>
      </w:tblBorders>
    </w:tblPr>
    <w:tblStylePr w:type="firstRow">
      <w:rPr>
        <w:sz w:val="24"/>
        <w:szCs w:val="24"/>
      </w:rPr>
      <w:tblPr/>
      <w:tcPr>
        <w:tcBorders>
          <w:top w:val="nil"/>
          <w:left w:val="nil"/>
          <w:bottom w:val="single" w:sz="24" w:space="0" w:color="FFAA2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AA22" w:themeColor="accent6"/>
          <w:insideH w:val="nil"/>
          <w:insideV w:val="nil"/>
        </w:tcBorders>
        <w:shd w:val="clear" w:color="auto" w:fill="FFFFFF" w:themeFill="background1"/>
      </w:tcPr>
    </w:tblStylePr>
    <w:tblStylePr w:type="lastCol">
      <w:tblPr/>
      <w:tcPr>
        <w:tcBorders>
          <w:top w:val="nil"/>
          <w:left w:val="single" w:sz="8" w:space="0" w:color="FFAA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9C8" w:themeFill="accent6" w:themeFillTint="3F"/>
      </w:tcPr>
    </w:tblStylePr>
    <w:tblStylePr w:type="band1Horz">
      <w:tblPr/>
      <w:tcPr>
        <w:tcBorders>
          <w:top w:val="nil"/>
          <w:bottom w:val="nil"/>
          <w:insideH w:val="nil"/>
          <w:insideV w:val="nil"/>
        </w:tcBorders>
        <w:shd w:val="clear" w:color="auto" w:fill="FFE9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527CC"/>
    <w:pPr>
      <w:spacing w:after="0" w:line="240" w:lineRule="auto"/>
    </w:pPr>
    <w:tblPr>
      <w:tblStyleRowBandSize w:val="1"/>
      <w:tblStyleColBandSize w:val="1"/>
      <w:tblBorders>
        <w:top w:val="single" w:sz="8" w:space="0" w:color="6F6F6F" w:themeColor="text1" w:themeTint="BF"/>
        <w:left w:val="single" w:sz="8" w:space="0" w:color="6F6F6F" w:themeColor="text1" w:themeTint="BF"/>
        <w:bottom w:val="single" w:sz="8" w:space="0" w:color="6F6F6F" w:themeColor="text1" w:themeTint="BF"/>
        <w:right w:val="single" w:sz="8" w:space="0" w:color="6F6F6F" w:themeColor="text1" w:themeTint="BF"/>
        <w:insideH w:val="single" w:sz="8" w:space="0" w:color="6F6F6F" w:themeColor="text1" w:themeTint="BF"/>
      </w:tblBorders>
    </w:tblPr>
    <w:tblStylePr w:type="firstRow">
      <w:pPr>
        <w:spacing w:before="0" w:after="0" w:line="240" w:lineRule="auto"/>
      </w:pPr>
      <w:rPr>
        <w:b/>
        <w:bCs/>
        <w:color w:val="FFFFFF" w:themeColor="background1"/>
      </w:rPr>
      <w:tblPr/>
      <w:tcPr>
        <w:tcBorders>
          <w:top w:val="single" w:sz="8" w:space="0" w:color="6F6F6F" w:themeColor="text1" w:themeTint="BF"/>
          <w:left w:val="single" w:sz="8" w:space="0" w:color="6F6F6F" w:themeColor="text1" w:themeTint="BF"/>
          <w:bottom w:val="single" w:sz="8" w:space="0" w:color="6F6F6F" w:themeColor="text1" w:themeTint="BF"/>
          <w:right w:val="single" w:sz="8" w:space="0" w:color="6F6F6F" w:themeColor="text1" w:themeTint="BF"/>
          <w:insideH w:val="nil"/>
          <w:insideV w:val="nil"/>
        </w:tcBorders>
        <w:shd w:val="clear" w:color="auto" w:fill="404040" w:themeFill="text1"/>
      </w:tcPr>
    </w:tblStylePr>
    <w:tblStylePr w:type="lastRow">
      <w:pPr>
        <w:spacing w:before="0" w:after="0" w:line="240" w:lineRule="auto"/>
      </w:pPr>
      <w:rPr>
        <w:b/>
        <w:bCs/>
      </w:rPr>
      <w:tblPr/>
      <w:tcPr>
        <w:tcBorders>
          <w:top w:val="double" w:sz="6" w:space="0" w:color="6F6F6F" w:themeColor="text1" w:themeTint="BF"/>
          <w:left w:val="single" w:sz="8" w:space="0" w:color="6F6F6F" w:themeColor="text1" w:themeTint="BF"/>
          <w:bottom w:val="single" w:sz="8" w:space="0" w:color="6F6F6F" w:themeColor="text1" w:themeTint="BF"/>
          <w:right w:val="single" w:sz="8" w:space="0" w:color="6F6F6F" w:themeColor="text1" w:themeTint="BF"/>
          <w:insideH w:val="nil"/>
          <w:insideV w:val="nil"/>
        </w:tcBorders>
      </w:tcPr>
    </w:tblStylePr>
    <w:tblStylePr w:type="firstCol">
      <w:rPr>
        <w:b/>
        <w:bCs/>
      </w:rPr>
    </w:tblStylePr>
    <w:tblStylePr w:type="lastCol">
      <w:rPr>
        <w:b/>
        <w:bCs/>
      </w:rPr>
    </w:tblStylePr>
    <w:tblStylePr w:type="band1Vert">
      <w:tblPr/>
      <w:tcPr>
        <w:shd w:val="clear" w:color="auto" w:fill="CFCFCF" w:themeFill="text1" w:themeFillTint="3F"/>
      </w:tcPr>
    </w:tblStylePr>
    <w:tblStylePr w:type="band1Horz">
      <w:tblPr/>
      <w:tcPr>
        <w:tcBorders>
          <w:insideH w:val="nil"/>
          <w:insideV w:val="nil"/>
        </w:tcBorders>
        <w:shd w:val="clear" w:color="auto" w:fill="CFCFC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527CC"/>
    <w:pPr>
      <w:spacing w:after="0" w:line="240" w:lineRule="auto"/>
    </w:pPr>
    <w:tblPr>
      <w:tblStyleRowBandSize w:val="1"/>
      <w:tblStyleColBandSize w:val="1"/>
      <w:tblBorders>
        <w:top w:val="single" w:sz="8" w:space="0" w:color="D5D5D7" w:themeColor="accent1" w:themeTint="BF"/>
        <w:left w:val="single" w:sz="8" w:space="0" w:color="D5D5D7" w:themeColor="accent1" w:themeTint="BF"/>
        <w:bottom w:val="single" w:sz="8" w:space="0" w:color="D5D5D7" w:themeColor="accent1" w:themeTint="BF"/>
        <w:right w:val="single" w:sz="8" w:space="0" w:color="D5D5D7" w:themeColor="accent1" w:themeTint="BF"/>
        <w:insideH w:val="single" w:sz="8" w:space="0" w:color="D5D5D7" w:themeColor="accent1" w:themeTint="BF"/>
      </w:tblBorders>
    </w:tblPr>
    <w:tblStylePr w:type="firstRow">
      <w:pPr>
        <w:spacing w:before="0" w:after="0" w:line="240" w:lineRule="auto"/>
      </w:pPr>
      <w:rPr>
        <w:b/>
        <w:bCs/>
        <w:color w:val="FFFFFF" w:themeColor="background1"/>
      </w:rPr>
      <w:tblPr/>
      <w:tcPr>
        <w:tcBorders>
          <w:top w:val="single" w:sz="8" w:space="0" w:color="D5D5D7" w:themeColor="accent1" w:themeTint="BF"/>
          <w:left w:val="single" w:sz="8" w:space="0" w:color="D5D5D7" w:themeColor="accent1" w:themeTint="BF"/>
          <w:bottom w:val="single" w:sz="8" w:space="0" w:color="D5D5D7" w:themeColor="accent1" w:themeTint="BF"/>
          <w:right w:val="single" w:sz="8" w:space="0" w:color="D5D5D7" w:themeColor="accent1" w:themeTint="BF"/>
          <w:insideH w:val="nil"/>
          <w:insideV w:val="nil"/>
        </w:tcBorders>
        <w:shd w:val="clear" w:color="auto" w:fill="C7C8CA" w:themeFill="accent1"/>
      </w:tcPr>
    </w:tblStylePr>
    <w:tblStylePr w:type="lastRow">
      <w:pPr>
        <w:spacing w:before="0" w:after="0" w:line="240" w:lineRule="auto"/>
      </w:pPr>
      <w:rPr>
        <w:b/>
        <w:bCs/>
      </w:rPr>
      <w:tblPr/>
      <w:tcPr>
        <w:tcBorders>
          <w:top w:val="double" w:sz="6" w:space="0" w:color="D5D5D7" w:themeColor="accent1" w:themeTint="BF"/>
          <w:left w:val="single" w:sz="8" w:space="0" w:color="D5D5D7" w:themeColor="accent1" w:themeTint="BF"/>
          <w:bottom w:val="single" w:sz="8" w:space="0" w:color="D5D5D7" w:themeColor="accent1" w:themeTint="BF"/>
          <w:right w:val="single" w:sz="8" w:space="0" w:color="D5D5D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1F2" w:themeFill="accent1" w:themeFillTint="3F"/>
      </w:tcPr>
    </w:tblStylePr>
    <w:tblStylePr w:type="band1Horz">
      <w:tblPr/>
      <w:tcPr>
        <w:tcBorders>
          <w:insideH w:val="nil"/>
          <w:insideV w:val="nil"/>
        </w:tcBorders>
        <w:shd w:val="clear" w:color="auto" w:fill="F1F1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527CC"/>
    <w:pPr>
      <w:spacing w:after="0" w:line="240" w:lineRule="auto"/>
    </w:pPr>
    <w:tblPr>
      <w:tblStyleRowBandSize w:val="1"/>
      <w:tblStyleColBandSize w:val="1"/>
      <w:tblBorders>
        <w:top w:val="single" w:sz="8" w:space="0" w:color="ADAFB1" w:themeColor="accent2" w:themeTint="BF"/>
        <w:left w:val="single" w:sz="8" w:space="0" w:color="ADAFB1" w:themeColor="accent2" w:themeTint="BF"/>
        <w:bottom w:val="single" w:sz="8" w:space="0" w:color="ADAFB1" w:themeColor="accent2" w:themeTint="BF"/>
        <w:right w:val="single" w:sz="8" w:space="0" w:color="ADAFB1" w:themeColor="accent2" w:themeTint="BF"/>
        <w:insideH w:val="single" w:sz="8" w:space="0" w:color="ADAFB1" w:themeColor="accent2" w:themeTint="BF"/>
      </w:tblBorders>
    </w:tblPr>
    <w:tblStylePr w:type="firstRow">
      <w:pPr>
        <w:spacing w:before="0" w:after="0" w:line="240" w:lineRule="auto"/>
      </w:pPr>
      <w:rPr>
        <w:b/>
        <w:bCs/>
        <w:color w:val="FFFFFF" w:themeColor="background1"/>
      </w:rPr>
      <w:tblPr/>
      <w:tcPr>
        <w:tcBorders>
          <w:top w:val="single" w:sz="8" w:space="0" w:color="ADAFB1" w:themeColor="accent2" w:themeTint="BF"/>
          <w:left w:val="single" w:sz="8" w:space="0" w:color="ADAFB1" w:themeColor="accent2" w:themeTint="BF"/>
          <w:bottom w:val="single" w:sz="8" w:space="0" w:color="ADAFB1" w:themeColor="accent2" w:themeTint="BF"/>
          <w:right w:val="single" w:sz="8" w:space="0" w:color="ADAFB1" w:themeColor="accent2" w:themeTint="BF"/>
          <w:insideH w:val="nil"/>
          <w:insideV w:val="nil"/>
        </w:tcBorders>
        <w:shd w:val="clear" w:color="auto" w:fill="939598" w:themeFill="accent2"/>
      </w:tcPr>
    </w:tblStylePr>
    <w:tblStylePr w:type="lastRow">
      <w:pPr>
        <w:spacing w:before="0" w:after="0" w:line="240" w:lineRule="auto"/>
      </w:pPr>
      <w:rPr>
        <w:b/>
        <w:bCs/>
      </w:rPr>
      <w:tblPr/>
      <w:tcPr>
        <w:tcBorders>
          <w:top w:val="double" w:sz="6" w:space="0" w:color="ADAFB1" w:themeColor="accent2" w:themeTint="BF"/>
          <w:left w:val="single" w:sz="8" w:space="0" w:color="ADAFB1" w:themeColor="accent2" w:themeTint="BF"/>
          <w:bottom w:val="single" w:sz="8" w:space="0" w:color="ADAFB1" w:themeColor="accent2" w:themeTint="BF"/>
          <w:right w:val="single" w:sz="8" w:space="0" w:color="ADAFB1" w:themeColor="accent2" w:themeTint="BF"/>
          <w:insideH w:val="nil"/>
          <w:insideV w:val="nil"/>
        </w:tcBorders>
      </w:tcPr>
    </w:tblStylePr>
    <w:tblStylePr w:type="firstCol">
      <w:rPr>
        <w:b/>
        <w:bCs/>
      </w:rPr>
    </w:tblStylePr>
    <w:tblStylePr w:type="lastCol">
      <w:rPr>
        <w:b/>
        <w:bCs/>
      </w:rPr>
    </w:tblStylePr>
    <w:tblStylePr w:type="band1Vert">
      <w:tblPr/>
      <w:tcPr>
        <w:shd w:val="clear" w:color="auto" w:fill="E4E4E5" w:themeFill="accent2" w:themeFillTint="3F"/>
      </w:tcPr>
    </w:tblStylePr>
    <w:tblStylePr w:type="band1Horz">
      <w:tblPr/>
      <w:tcPr>
        <w:tcBorders>
          <w:insideH w:val="nil"/>
          <w:insideV w:val="nil"/>
        </w:tcBorders>
        <w:shd w:val="clear" w:color="auto" w:fill="E4E4E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527CC"/>
    <w:pPr>
      <w:spacing w:after="0" w:line="240" w:lineRule="auto"/>
    </w:pPr>
    <w:tblPr>
      <w:tblStyleRowBandSize w:val="1"/>
      <w:tblStyleColBandSize w:val="1"/>
      <w:tblBorders>
        <w:top w:val="single" w:sz="8" w:space="0" w:color="898A8C" w:themeColor="accent3" w:themeTint="BF"/>
        <w:left w:val="single" w:sz="8" w:space="0" w:color="898A8C" w:themeColor="accent3" w:themeTint="BF"/>
        <w:bottom w:val="single" w:sz="8" w:space="0" w:color="898A8C" w:themeColor="accent3" w:themeTint="BF"/>
        <w:right w:val="single" w:sz="8" w:space="0" w:color="898A8C" w:themeColor="accent3" w:themeTint="BF"/>
        <w:insideH w:val="single" w:sz="8" w:space="0" w:color="898A8C" w:themeColor="accent3" w:themeTint="BF"/>
      </w:tblBorders>
    </w:tblPr>
    <w:tblStylePr w:type="firstRow">
      <w:pPr>
        <w:spacing w:before="0" w:after="0" w:line="240" w:lineRule="auto"/>
      </w:pPr>
      <w:rPr>
        <w:b/>
        <w:bCs/>
        <w:color w:val="FFFFFF" w:themeColor="background1"/>
      </w:rPr>
      <w:tblPr/>
      <w:tcPr>
        <w:tcBorders>
          <w:top w:val="single" w:sz="8" w:space="0" w:color="898A8C" w:themeColor="accent3" w:themeTint="BF"/>
          <w:left w:val="single" w:sz="8" w:space="0" w:color="898A8C" w:themeColor="accent3" w:themeTint="BF"/>
          <w:bottom w:val="single" w:sz="8" w:space="0" w:color="898A8C" w:themeColor="accent3" w:themeTint="BF"/>
          <w:right w:val="single" w:sz="8" w:space="0" w:color="898A8C" w:themeColor="accent3" w:themeTint="BF"/>
          <w:insideH w:val="nil"/>
          <w:insideV w:val="nil"/>
        </w:tcBorders>
        <w:shd w:val="clear" w:color="auto" w:fill="636466" w:themeFill="accent3"/>
      </w:tcPr>
    </w:tblStylePr>
    <w:tblStylePr w:type="lastRow">
      <w:pPr>
        <w:spacing w:before="0" w:after="0" w:line="240" w:lineRule="auto"/>
      </w:pPr>
      <w:rPr>
        <w:b/>
        <w:bCs/>
      </w:rPr>
      <w:tblPr/>
      <w:tcPr>
        <w:tcBorders>
          <w:top w:val="double" w:sz="6" w:space="0" w:color="898A8C" w:themeColor="accent3" w:themeTint="BF"/>
          <w:left w:val="single" w:sz="8" w:space="0" w:color="898A8C" w:themeColor="accent3" w:themeTint="BF"/>
          <w:bottom w:val="single" w:sz="8" w:space="0" w:color="898A8C" w:themeColor="accent3" w:themeTint="BF"/>
          <w:right w:val="single" w:sz="8" w:space="0" w:color="898A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D8D9" w:themeFill="accent3" w:themeFillTint="3F"/>
      </w:tcPr>
    </w:tblStylePr>
    <w:tblStylePr w:type="band1Horz">
      <w:tblPr/>
      <w:tcPr>
        <w:tcBorders>
          <w:insideH w:val="nil"/>
          <w:insideV w:val="nil"/>
        </w:tcBorders>
        <w:shd w:val="clear" w:color="auto" w:fill="D8D8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527CC"/>
    <w:pPr>
      <w:spacing w:after="0" w:line="240" w:lineRule="auto"/>
    </w:pPr>
    <w:tblPr>
      <w:tblStyleRowBandSize w:val="1"/>
      <w:tblStyleColBandSize w:val="1"/>
      <w:tblBorders>
        <w:top w:val="single" w:sz="8" w:space="0" w:color="E34E57" w:themeColor="accent4" w:themeTint="BF"/>
        <w:left w:val="single" w:sz="8" w:space="0" w:color="E34E57" w:themeColor="accent4" w:themeTint="BF"/>
        <w:bottom w:val="single" w:sz="8" w:space="0" w:color="E34E57" w:themeColor="accent4" w:themeTint="BF"/>
        <w:right w:val="single" w:sz="8" w:space="0" w:color="E34E57" w:themeColor="accent4" w:themeTint="BF"/>
        <w:insideH w:val="single" w:sz="8" w:space="0" w:color="E34E57" w:themeColor="accent4" w:themeTint="BF"/>
      </w:tblBorders>
    </w:tblPr>
    <w:tblStylePr w:type="firstRow">
      <w:pPr>
        <w:spacing w:before="0" w:after="0" w:line="240" w:lineRule="auto"/>
      </w:pPr>
      <w:rPr>
        <w:b/>
        <w:bCs/>
        <w:color w:val="FFFFFF" w:themeColor="background1"/>
      </w:rPr>
      <w:tblPr/>
      <w:tcPr>
        <w:tcBorders>
          <w:top w:val="single" w:sz="8" w:space="0" w:color="E34E57" w:themeColor="accent4" w:themeTint="BF"/>
          <w:left w:val="single" w:sz="8" w:space="0" w:color="E34E57" w:themeColor="accent4" w:themeTint="BF"/>
          <w:bottom w:val="single" w:sz="8" w:space="0" w:color="E34E57" w:themeColor="accent4" w:themeTint="BF"/>
          <w:right w:val="single" w:sz="8" w:space="0" w:color="E34E57" w:themeColor="accent4" w:themeTint="BF"/>
          <w:insideH w:val="nil"/>
          <w:insideV w:val="nil"/>
        </w:tcBorders>
        <w:shd w:val="clear" w:color="auto" w:fill="CD202C" w:themeFill="accent4"/>
      </w:tcPr>
    </w:tblStylePr>
    <w:tblStylePr w:type="lastRow">
      <w:pPr>
        <w:spacing w:before="0" w:after="0" w:line="240" w:lineRule="auto"/>
      </w:pPr>
      <w:rPr>
        <w:b/>
        <w:bCs/>
      </w:rPr>
      <w:tblPr/>
      <w:tcPr>
        <w:tcBorders>
          <w:top w:val="double" w:sz="6" w:space="0" w:color="E34E57" w:themeColor="accent4" w:themeTint="BF"/>
          <w:left w:val="single" w:sz="8" w:space="0" w:color="E34E57" w:themeColor="accent4" w:themeTint="BF"/>
          <w:bottom w:val="single" w:sz="8" w:space="0" w:color="E34E57" w:themeColor="accent4" w:themeTint="BF"/>
          <w:right w:val="single" w:sz="8" w:space="0" w:color="E34E5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6C4C7" w:themeFill="accent4" w:themeFillTint="3F"/>
      </w:tcPr>
    </w:tblStylePr>
    <w:tblStylePr w:type="band1Horz">
      <w:tblPr/>
      <w:tcPr>
        <w:tcBorders>
          <w:insideH w:val="nil"/>
          <w:insideV w:val="nil"/>
        </w:tcBorders>
        <w:shd w:val="clear" w:color="auto" w:fill="F6C4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527CC"/>
    <w:pPr>
      <w:spacing w:after="0" w:line="240" w:lineRule="auto"/>
    </w:pPr>
    <w:tblPr>
      <w:tblStyleRowBandSize w:val="1"/>
      <w:tblStyleColBandSize w:val="1"/>
      <w:tblBorders>
        <w:top w:val="single" w:sz="8" w:space="0" w:color="007FFF" w:themeColor="accent5" w:themeTint="BF"/>
        <w:left w:val="single" w:sz="8" w:space="0" w:color="007FFF" w:themeColor="accent5" w:themeTint="BF"/>
        <w:bottom w:val="single" w:sz="8" w:space="0" w:color="007FFF" w:themeColor="accent5" w:themeTint="BF"/>
        <w:right w:val="single" w:sz="8" w:space="0" w:color="007FFF" w:themeColor="accent5" w:themeTint="BF"/>
        <w:insideH w:val="single" w:sz="8" w:space="0" w:color="007FFF" w:themeColor="accent5" w:themeTint="BF"/>
      </w:tblBorders>
    </w:tblPr>
    <w:tblStylePr w:type="firstRow">
      <w:pPr>
        <w:spacing w:before="0" w:after="0" w:line="240" w:lineRule="auto"/>
      </w:pPr>
      <w:rPr>
        <w:b/>
        <w:bCs/>
        <w:color w:val="FFFFFF" w:themeColor="background1"/>
      </w:rPr>
      <w:tblPr/>
      <w:tcPr>
        <w:tcBorders>
          <w:top w:val="single" w:sz="8" w:space="0" w:color="007FFF" w:themeColor="accent5" w:themeTint="BF"/>
          <w:left w:val="single" w:sz="8" w:space="0" w:color="007FFF" w:themeColor="accent5" w:themeTint="BF"/>
          <w:bottom w:val="single" w:sz="8" w:space="0" w:color="007FFF" w:themeColor="accent5" w:themeTint="BF"/>
          <w:right w:val="single" w:sz="8" w:space="0" w:color="007FFF" w:themeColor="accent5" w:themeTint="BF"/>
          <w:insideH w:val="nil"/>
          <w:insideV w:val="nil"/>
        </w:tcBorders>
        <w:shd w:val="clear" w:color="auto" w:fill="0055AA" w:themeFill="accent5"/>
      </w:tcPr>
    </w:tblStylePr>
    <w:tblStylePr w:type="lastRow">
      <w:pPr>
        <w:spacing w:before="0" w:after="0" w:line="240" w:lineRule="auto"/>
      </w:pPr>
      <w:rPr>
        <w:b/>
        <w:bCs/>
      </w:rPr>
      <w:tblPr/>
      <w:tcPr>
        <w:tcBorders>
          <w:top w:val="double" w:sz="6" w:space="0" w:color="007FFF" w:themeColor="accent5" w:themeTint="BF"/>
          <w:left w:val="single" w:sz="8" w:space="0" w:color="007FFF" w:themeColor="accent5" w:themeTint="BF"/>
          <w:bottom w:val="single" w:sz="8" w:space="0" w:color="007FFF" w:themeColor="accent5" w:themeTint="BF"/>
          <w:right w:val="single" w:sz="8" w:space="0" w:color="007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BD4FF" w:themeFill="accent5" w:themeFillTint="3F"/>
      </w:tcPr>
    </w:tblStylePr>
    <w:tblStylePr w:type="band1Horz">
      <w:tblPr/>
      <w:tcPr>
        <w:tcBorders>
          <w:insideH w:val="nil"/>
          <w:insideV w:val="nil"/>
        </w:tcBorders>
        <w:shd w:val="clear" w:color="auto" w:fill="ABD4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527CC"/>
    <w:pPr>
      <w:spacing w:after="0" w:line="240" w:lineRule="auto"/>
    </w:pPr>
    <w:tblPr>
      <w:tblStyleRowBandSize w:val="1"/>
      <w:tblStyleColBandSize w:val="1"/>
      <w:tblBorders>
        <w:top w:val="single" w:sz="8" w:space="0" w:color="FFBE59" w:themeColor="accent6" w:themeTint="BF"/>
        <w:left w:val="single" w:sz="8" w:space="0" w:color="FFBE59" w:themeColor="accent6" w:themeTint="BF"/>
        <w:bottom w:val="single" w:sz="8" w:space="0" w:color="FFBE59" w:themeColor="accent6" w:themeTint="BF"/>
        <w:right w:val="single" w:sz="8" w:space="0" w:color="FFBE59" w:themeColor="accent6" w:themeTint="BF"/>
        <w:insideH w:val="single" w:sz="8" w:space="0" w:color="FFBE59" w:themeColor="accent6" w:themeTint="BF"/>
      </w:tblBorders>
    </w:tblPr>
    <w:tblStylePr w:type="firstRow">
      <w:pPr>
        <w:spacing w:before="0" w:after="0" w:line="240" w:lineRule="auto"/>
      </w:pPr>
      <w:rPr>
        <w:b/>
        <w:bCs/>
        <w:color w:val="FFFFFF" w:themeColor="background1"/>
      </w:rPr>
      <w:tblPr/>
      <w:tcPr>
        <w:tcBorders>
          <w:top w:val="single" w:sz="8" w:space="0" w:color="FFBE59" w:themeColor="accent6" w:themeTint="BF"/>
          <w:left w:val="single" w:sz="8" w:space="0" w:color="FFBE59" w:themeColor="accent6" w:themeTint="BF"/>
          <w:bottom w:val="single" w:sz="8" w:space="0" w:color="FFBE59" w:themeColor="accent6" w:themeTint="BF"/>
          <w:right w:val="single" w:sz="8" w:space="0" w:color="FFBE59" w:themeColor="accent6" w:themeTint="BF"/>
          <w:insideH w:val="nil"/>
          <w:insideV w:val="nil"/>
        </w:tcBorders>
        <w:shd w:val="clear" w:color="auto" w:fill="FFAA22" w:themeFill="accent6"/>
      </w:tcPr>
    </w:tblStylePr>
    <w:tblStylePr w:type="lastRow">
      <w:pPr>
        <w:spacing w:before="0" w:after="0" w:line="240" w:lineRule="auto"/>
      </w:pPr>
      <w:rPr>
        <w:b/>
        <w:bCs/>
      </w:rPr>
      <w:tblPr/>
      <w:tcPr>
        <w:tcBorders>
          <w:top w:val="double" w:sz="6" w:space="0" w:color="FFBE59" w:themeColor="accent6" w:themeTint="BF"/>
          <w:left w:val="single" w:sz="8" w:space="0" w:color="FFBE59" w:themeColor="accent6" w:themeTint="BF"/>
          <w:bottom w:val="single" w:sz="8" w:space="0" w:color="FFBE59" w:themeColor="accent6" w:themeTint="BF"/>
          <w:right w:val="single" w:sz="8" w:space="0" w:color="FFBE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E9C8" w:themeFill="accent6" w:themeFillTint="3F"/>
      </w:tcPr>
    </w:tblStylePr>
    <w:tblStylePr w:type="band1Horz">
      <w:tblPr/>
      <w:tcPr>
        <w:tcBorders>
          <w:insideH w:val="nil"/>
          <w:insideV w:val="nil"/>
        </w:tcBorders>
        <w:shd w:val="clear" w:color="auto" w:fill="FFE9C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527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0404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04040" w:themeFill="text1"/>
      </w:tcPr>
    </w:tblStylePr>
    <w:tblStylePr w:type="lastCol">
      <w:rPr>
        <w:b/>
        <w:bCs/>
        <w:color w:val="FFFFFF" w:themeColor="background1"/>
      </w:rPr>
      <w:tblPr/>
      <w:tcPr>
        <w:tcBorders>
          <w:left w:val="nil"/>
          <w:right w:val="nil"/>
          <w:insideH w:val="nil"/>
          <w:insideV w:val="nil"/>
        </w:tcBorders>
        <w:shd w:val="clear" w:color="auto" w:fill="40404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527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7C8C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7C8CA" w:themeFill="accent1"/>
      </w:tcPr>
    </w:tblStylePr>
    <w:tblStylePr w:type="lastCol">
      <w:rPr>
        <w:b/>
        <w:bCs/>
        <w:color w:val="FFFFFF" w:themeColor="background1"/>
      </w:rPr>
      <w:tblPr/>
      <w:tcPr>
        <w:tcBorders>
          <w:left w:val="nil"/>
          <w:right w:val="nil"/>
          <w:insideH w:val="nil"/>
          <w:insideV w:val="nil"/>
        </w:tcBorders>
        <w:shd w:val="clear" w:color="auto" w:fill="C7C8C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527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3959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39598" w:themeFill="accent2"/>
      </w:tcPr>
    </w:tblStylePr>
    <w:tblStylePr w:type="lastCol">
      <w:rPr>
        <w:b/>
        <w:bCs/>
        <w:color w:val="FFFFFF" w:themeColor="background1"/>
      </w:rPr>
      <w:tblPr/>
      <w:tcPr>
        <w:tcBorders>
          <w:left w:val="nil"/>
          <w:right w:val="nil"/>
          <w:insideH w:val="nil"/>
          <w:insideV w:val="nil"/>
        </w:tcBorders>
        <w:shd w:val="clear" w:color="auto" w:fill="93959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527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646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36466" w:themeFill="accent3"/>
      </w:tcPr>
    </w:tblStylePr>
    <w:tblStylePr w:type="lastCol">
      <w:rPr>
        <w:b/>
        <w:bCs/>
        <w:color w:val="FFFFFF" w:themeColor="background1"/>
      </w:rPr>
      <w:tblPr/>
      <w:tcPr>
        <w:tcBorders>
          <w:left w:val="nil"/>
          <w:right w:val="nil"/>
          <w:insideH w:val="nil"/>
          <w:insideV w:val="nil"/>
        </w:tcBorders>
        <w:shd w:val="clear" w:color="auto" w:fill="63646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527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20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202C" w:themeFill="accent4"/>
      </w:tcPr>
    </w:tblStylePr>
    <w:tblStylePr w:type="lastCol">
      <w:rPr>
        <w:b/>
        <w:bCs/>
        <w:color w:val="FFFFFF" w:themeColor="background1"/>
      </w:rPr>
      <w:tblPr/>
      <w:tcPr>
        <w:tcBorders>
          <w:left w:val="nil"/>
          <w:right w:val="nil"/>
          <w:insideH w:val="nil"/>
          <w:insideV w:val="nil"/>
        </w:tcBorders>
        <w:shd w:val="clear" w:color="auto" w:fill="CD20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527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A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AA" w:themeFill="accent5"/>
      </w:tcPr>
    </w:tblStylePr>
    <w:tblStylePr w:type="lastCol">
      <w:rPr>
        <w:b/>
        <w:bCs/>
        <w:color w:val="FFFFFF" w:themeColor="background1"/>
      </w:rPr>
      <w:tblPr/>
      <w:tcPr>
        <w:tcBorders>
          <w:left w:val="nil"/>
          <w:right w:val="nil"/>
          <w:insideH w:val="nil"/>
          <w:insideV w:val="nil"/>
        </w:tcBorders>
        <w:shd w:val="clear" w:color="auto" w:fill="0055A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527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AA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AA22" w:themeFill="accent6"/>
      </w:tcPr>
    </w:tblStylePr>
    <w:tblStylePr w:type="lastCol">
      <w:rPr>
        <w:b/>
        <w:bCs/>
        <w:color w:val="FFFFFF" w:themeColor="background1"/>
      </w:rPr>
      <w:tblPr/>
      <w:tcPr>
        <w:tcBorders>
          <w:left w:val="nil"/>
          <w:right w:val="nil"/>
          <w:insideH w:val="nil"/>
          <w:insideV w:val="nil"/>
        </w:tcBorders>
        <w:shd w:val="clear" w:color="auto" w:fill="FFAA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527C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Arial"/>
      <w:sz w:val="24"/>
      <w:szCs w:val="24"/>
    </w:rPr>
  </w:style>
  <w:style w:type="character" w:customStyle="1" w:styleId="MessageHeaderChar">
    <w:name w:val="Message Header Char"/>
    <w:basedOn w:val="DefaultParagraphFont"/>
    <w:link w:val="MessageHeader"/>
    <w:uiPriority w:val="99"/>
    <w:semiHidden/>
    <w:rsid w:val="00F527CC"/>
    <w:rPr>
      <w:rFonts w:eastAsiaTheme="majorEastAsia" w:cs="Arial"/>
      <w:sz w:val="24"/>
      <w:szCs w:val="24"/>
      <w:shd w:val="pct20" w:color="auto" w:fill="auto"/>
      <w:lang w:val="en-US"/>
    </w:rPr>
  </w:style>
  <w:style w:type="paragraph" w:styleId="NormalWeb">
    <w:name w:val="Normal (Web)"/>
    <w:basedOn w:val="Normal"/>
    <w:uiPriority w:val="99"/>
    <w:unhideWhenUsed/>
    <w:rsid w:val="00F527CC"/>
    <w:rPr>
      <w:rFonts w:ascii="Times New Roman" w:hAnsi="Times New Roman" w:cs="Times New Roman"/>
      <w:sz w:val="24"/>
      <w:szCs w:val="24"/>
    </w:rPr>
  </w:style>
  <w:style w:type="paragraph" w:styleId="NormalIndent">
    <w:name w:val="Normal Indent"/>
    <w:basedOn w:val="Normal"/>
    <w:uiPriority w:val="99"/>
    <w:semiHidden/>
    <w:unhideWhenUsed/>
    <w:rsid w:val="00F527CC"/>
    <w:pPr>
      <w:ind w:left="720"/>
    </w:pPr>
  </w:style>
  <w:style w:type="paragraph" w:styleId="NoteHeading">
    <w:name w:val="Note Heading"/>
    <w:basedOn w:val="Normal"/>
    <w:next w:val="Normal"/>
    <w:link w:val="NoteHeadingChar"/>
    <w:uiPriority w:val="99"/>
    <w:semiHidden/>
    <w:unhideWhenUsed/>
    <w:rsid w:val="00F527CC"/>
    <w:pPr>
      <w:spacing w:after="0" w:line="240" w:lineRule="auto"/>
    </w:pPr>
  </w:style>
  <w:style w:type="character" w:customStyle="1" w:styleId="NoteHeadingChar">
    <w:name w:val="Note Heading Char"/>
    <w:basedOn w:val="DefaultParagraphFont"/>
    <w:link w:val="NoteHeading"/>
    <w:uiPriority w:val="99"/>
    <w:semiHidden/>
    <w:rsid w:val="00F527CC"/>
    <w:rPr>
      <w:lang w:val="en-US"/>
    </w:rPr>
  </w:style>
  <w:style w:type="character" w:styleId="PageNumber">
    <w:name w:val="page number"/>
    <w:basedOn w:val="DefaultParagraphFont"/>
    <w:uiPriority w:val="99"/>
    <w:semiHidden/>
    <w:unhideWhenUsed/>
    <w:rsid w:val="00F527CC"/>
    <w:rPr>
      <w:lang w:val="en-US"/>
    </w:rPr>
  </w:style>
  <w:style w:type="table" w:styleId="PlainTable1">
    <w:name w:val="Plain Table 1"/>
    <w:basedOn w:val="TableNormal"/>
    <w:uiPriority w:val="41"/>
    <w:rsid w:val="00F527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527CC"/>
    <w:pPr>
      <w:spacing w:after="0" w:line="240" w:lineRule="auto"/>
    </w:pPr>
    <w:tblPr>
      <w:tblStyleRowBandSize w:val="1"/>
      <w:tblStyleColBandSize w:val="1"/>
      <w:tblBorders>
        <w:top w:val="single" w:sz="4" w:space="0" w:color="9F9F9F" w:themeColor="text1" w:themeTint="80"/>
        <w:bottom w:val="single" w:sz="4" w:space="0" w:color="9F9F9F" w:themeColor="text1" w:themeTint="80"/>
      </w:tblBorders>
    </w:tblPr>
    <w:tblStylePr w:type="firstRow">
      <w:rPr>
        <w:b/>
        <w:bCs/>
      </w:rPr>
      <w:tblPr/>
      <w:tcPr>
        <w:tcBorders>
          <w:bottom w:val="single" w:sz="4" w:space="0" w:color="9F9F9F" w:themeColor="text1" w:themeTint="80"/>
        </w:tcBorders>
      </w:tcPr>
    </w:tblStylePr>
    <w:tblStylePr w:type="lastRow">
      <w:rPr>
        <w:b/>
        <w:bCs/>
      </w:rPr>
      <w:tblPr/>
      <w:tcPr>
        <w:tcBorders>
          <w:top w:val="single" w:sz="4" w:space="0" w:color="9F9F9F" w:themeColor="text1" w:themeTint="80"/>
        </w:tcBorders>
      </w:tcPr>
    </w:tblStylePr>
    <w:tblStylePr w:type="firstCol">
      <w:rPr>
        <w:b/>
        <w:bCs/>
      </w:rPr>
    </w:tblStylePr>
    <w:tblStylePr w:type="lastCol">
      <w:rPr>
        <w:b/>
        <w:bCs/>
      </w:rPr>
    </w:tblStylePr>
    <w:tblStylePr w:type="band1Vert">
      <w:tblPr/>
      <w:tcPr>
        <w:tcBorders>
          <w:left w:val="single" w:sz="4" w:space="0" w:color="9F9F9F" w:themeColor="text1" w:themeTint="80"/>
          <w:right w:val="single" w:sz="4" w:space="0" w:color="9F9F9F" w:themeColor="text1" w:themeTint="80"/>
        </w:tcBorders>
      </w:tcPr>
    </w:tblStylePr>
    <w:tblStylePr w:type="band2Vert">
      <w:tblPr/>
      <w:tcPr>
        <w:tcBorders>
          <w:left w:val="single" w:sz="4" w:space="0" w:color="9F9F9F" w:themeColor="text1" w:themeTint="80"/>
          <w:right w:val="single" w:sz="4" w:space="0" w:color="9F9F9F" w:themeColor="text1" w:themeTint="80"/>
        </w:tcBorders>
      </w:tcPr>
    </w:tblStylePr>
    <w:tblStylePr w:type="band1Horz">
      <w:tblPr/>
      <w:tcPr>
        <w:tcBorders>
          <w:top w:val="single" w:sz="4" w:space="0" w:color="9F9F9F" w:themeColor="text1" w:themeTint="80"/>
          <w:bottom w:val="single" w:sz="4" w:space="0" w:color="9F9F9F" w:themeColor="text1" w:themeTint="80"/>
        </w:tcBorders>
      </w:tcPr>
    </w:tblStylePr>
  </w:style>
  <w:style w:type="table" w:styleId="PlainTable3">
    <w:name w:val="Plain Table 3"/>
    <w:basedOn w:val="TableNormal"/>
    <w:uiPriority w:val="43"/>
    <w:rsid w:val="00F527CC"/>
    <w:pPr>
      <w:spacing w:after="0" w:line="240" w:lineRule="auto"/>
    </w:pPr>
    <w:tblPr>
      <w:tblStyleRowBandSize w:val="1"/>
      <w:tblStyleColBandSize w:val="1"/>
    </w:tblPr>
    <w:tblStylePr w:type="firstRow">
      <w:rPr>
        <w:b/>
        <w:bCs/>
        <w:caps/>
      </w:rPr>
      <w:tblPr/>
      <w:tcPr>
        <w:tcBorders>
          <w:bottom w:val="single" w:sz="4" w:space="0" w:color="9F9F9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F9F9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527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527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9F9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9F9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9F9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9F9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527C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527CC"/>
    <w:rPr>
      <w:rFonts w:ascii="Consolas" w:hAnsi="Consolas"/>
      <w:sz w:val="21"/>
      <w:szCs w:val="21"/>
      <w:lang w:val="en-US"/>
    </w:rPr>
  </w:style>
  <w:style w:type="paragraph" w:styleId="Salutation">
    <w:name w:val="Salutation"/>
    <w:basedOn w:val="Normal"/>
    <w:next w:val="Normal"/>
    <w:link w:val="SalutationChar"/>
    <w:uiPriority w:val="99"/>
    <w:semiHidden/>
    <w:unhideWhenUsed/>
    <w:rsid w:val="00F527CC"/>
  </w:style>
  <w:style w:type="character" w:customStyle="1" w:styleId="SalutationChar">
    <w:name w:val="Salutation Char"/>
    <w:basedOn w:val="DefaultParagraphFont"/>
    <w:link w:val="Salutation"/>
    <w:uiPriority w:val="99"/>
    <w:semiHidden/>
    <w:rsid w:val="00F527CC"/>
    <w:rPr>
      <w:lang w:val="en-US"/>
    </w:rPr>
  </w:style>
  <w:style w:type="paragraph" w:styleId="Signature">
    <w:name w:val="Signature"/>
    <w:basedOn w:val="Normal"/>
    <w:link w:val="SignatureChar"/>
    <w:uiPriority w:val="99"/>
    <w:semiHidden/>
    <w:unhideWhenUsed/>
    <w:rsid w:val="00F527CC"/>
    <w:pPr>
      <w:spacing w:after="0" w:line="240" w:lineRule="auto"/>
      <w:ind w:left="4252"/>
    </w:pPr>
  </w:style>
  <w:style w:type="character" w:customStyle="1" w:styleId="SignatureChar">
    <w:name w:val="Signature Char"/>
    <w:basedOn w:val="DefaultParagraphFont"/>
    <w:link w:val="Signature"/>
    <w:uiPriority w:val="99"/>
    <w:semiHidden/>
    <w:rsid w:val="00F527CC"/>
    <w:rPr>
      <w:lang w:val="en-US"/>
    </w:rPr>
  </w:style>
  <w:style w:type="character" w:styleId="Strong">
    <w:name w:val="Strong"/>
    <w:basedOn w:val="DefaultParagraphFont"/>
    <w:uiPriority w:val="22"/>
    <w:qFormat/>
    <w:rsid w:val="00F527CC"/>
    <w:rPr>
      <w:b/>
      <w:bCs/>
      <w:lang w:val="en-US"/>
    </w:rPr>
  </w:style>
  <w:style w:type="character" w:styleId="SubtleEmphasis">
    <w:name w:val="Subtle Emphasis"/>
    <w:basedOn w:val="DefaultParagraphFont"/>
    <w:uiPriority w:val="19"/>
    <w:qFormat/>
    <w:rsid w:val="00F527CC"/>
    <w:rPr>
      <w:i/>
      <w:iCs/>
      <w:color w:val="6F6F6F" w:themeColor="text1" w:themeTint="BF"/>
      <w:lang w:val="en-US"/>
    </w:rPr>
  </w:style>
  <w:style w:type="character" w:styleId="SubtleReference">
    <w:name w:val="Subtle Reference"/>
    <w:basedOn w:val="DefaultParagraphFont"/>
    <w:uiPriority w:val="31"/>
    <w:qFormat/>
    <w:rsid w:val="00F527CC"/>
    <w:rPr>
      <w:smallCaps/>
      <w:color w:val="838383" w:themeColor="text1" w:themeTint="A5"/>
      <w:lang w:val="en-US"/>
    </w:rPr>
  </w:style>
  <w:style w:type="table" w:styleId="Table3Deffects1">
    <w:name w:val="Table 3D effects 1"/>
    <w:basedOn w:val="TableNormal"/>
    <w:uiPriority w:val="99"/>
    <w:semiHidden/>
    <w:unhideWhenUsed/>
    <w:rsid w:val="00F527CC"/>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527CC"/>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527CC"/>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527CC"/>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527CC"/>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527CC"/>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527CC"/>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527CC"/>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527CC"/>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527CC"/>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527CC"/>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527CC"/>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527CC"/>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527CC"/>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527CC"/>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527CC"/>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527CC"/>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527CC"/>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527CC"/>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527CC"/>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527CC"/>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527CC"/>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527CC"/>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527CC"/>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527CC"/>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527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527CC"/>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527CC"/>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527CC"/>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527CC"/>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527CC"/>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527CC"/>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527CC"/>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527CC"/>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527CC"/>
    <w:pPr>
      <w:spacing w:after="0"/>
      <w:ind w:left="220" w:hanging="220"/>
    </w:pPr>
  </w:style>
  <w:style w:type="paragraph" w:styleId="TableofFigures">
    <w:name w:val="table of figures"/>
    <w:basedOn w:val="Normal"/>
    <w:next w:val="Normal"/>
    <w:uiPriority w:val="99"/>
    <w:semiHidden/>
    <w:unhideWhenUsed/>
    <w:rsid w:val="00F527CC"/>
    <w:pPr>
      <w:spacing w:after="0"/>
    </w:pPr>
  </w:style>
  <w:style w:type="table" w:styleId="TableProfessional">
    <w:name w:val="Table Professional"/>
    <w:basedOn w:val="TableNormal"/>
    <w:uiPriority w:val="99"/>
    <w:semiHidden/>
    <w:unhideWhenUsed/>
    <w:rsid w:val="00F527CC"/>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527CC"/>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527CC"/>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527CC"/>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527CC"/>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527CC"/>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527CC"/>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527CC"/>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527CC"/>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527CC"/>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527CC"/>
    <w:pPr>
      <w:spacing w:before="120"/>
    </w:pPr>
    <w:rPr>
      <w:rFonts w:eastAsiaTheme="majorEastAsia" w:cs="Arial"/>
      <w:b/>
      <w:bCs/>
      <w:sz w:val="24"/>
      <w:szCs w:val="24"/>
    </w:rPr>
  </w:style>
  <w:style w:type="paragraph" w:styleId="TOC5">
    <w:name w:val="toc 5"/>
    <w:basedOn w:val="Normal"/>
    <w:next w:val="Normal"/>
    <w:autoRedefine/>
    <w:uiPriority w:val="39"/>
    <w:semiHidden/>
    <w:unhideWhenUsed/>
    <w:rsid w:val="00F527CC"/>
    <w:pPr>
      <w:spacing w:after="100"/>
      <w:ind w:left="880"/>
    </w:pPr>
  </w:style>
  <w:style w:type="paragraph" w:styleId="TOC6">
    <w:name w:val="toc 6"/>
    <w:basedOn w:val="Normal"/>
    <w:next w:val="Normal"/>
    <w:autoRedefine/>
    <w:uiPriority w:val="39"/>
    <w:semiHidden/>
    <w:unhideWhenUsed/>
    <w:rsid w:val="00F527CC"/>
    <w:pPr>
      <w:spacing w:after="100"/>
      <w:ind w:left="1100"/>
    </w:pPr>
  </w:style>
  <w:style w:type="paragraph" w:styleId="TOC7">
    <w:name w:val="toc 7"/>
    <w:basedOn w:val="Normal"/>
    <w:next w:val="Normal"/>
    <w:autoRedefine/>
    <w:uiPriority w:val="39"/>
    <w:semiHidden/>
    <w:unhideWhenUsed/>
    <w:rsid w:val="00F527CC"/>
    <w:pPr>
      <w:spacing w:after="100"/>
      <w:ind w:left="1320"/>
    </w:pPr>
  </w:style>
  <w:style w:type="paragraph" w:styleId="TOC8">
    <w:name w:val="toc 8"/>
    <w:basedOn w:val="Normal"/>
    <w:next w:val="Normal"/>
    <w:autoRedefine/>
    <w:uiPriority w:val="39"/>
    <w:semiHidden/>
    <w:unhideWhenUsed/>
    <w:rsid w:val="00F527CC"/>
    <w:pPr>
      <w:spacing w:after="100"/>
      <w:ind w:left="1540"/>
    </w:pPr>
  </w:style>
  <w:style w:type="paragraph" w:styleId="TOC9">
    <w:name w:val="toc 9"/>
    <w:basedOn w:val="Normal"/>
    <w:next w:val="Normal"/>
    <w:autoRedefine/>
    <w:uiPriority w:val="39"/>
    <w:semiHidden/>
    <w:unhideWhenUsed/>
    <w:rsid w:val="00F527CC"/>
    <w:pPr>
      <w:spacing w:after="100"/>
      <w:ind w:left="1760"/>
    </w:pPr>
  </w:style>
  <w:style w:type="paragraph" w:styleId="TOCHeading">
    <w:name w:val="TOC Heading"/>
    <w:basedOn w:val="Heading1"/>
    <w:next w:val="Normal"/>
    <w:uiPriority w:val="39"/>
    <w:semiHidden/>
    <w:unhideWhenUsed/>
    <w:qFormat/>
    <w:rsid w:val="00F527CC"/>
    <w:pPr>
      <w:numPr>
        <w:numId w:val="0"/>
      </w:numPr>
      <w:spacing w:before="240" w:line="240" w:lineRule="atLeast"/>
      <w:outlineLvl w:val="9"/>
    </w:pPr>
    <w:rPr>
      <w:bCs w:val="0"/>
      <w:noProof w:val="0"/>
      <w:color w:val="939599" w:themeColor="accent1" w:themeShade="BF"/>
      <w:sz w:val="32"/>
      <w:szCs w:val="32"/>
    </w:rPr>
  </w:style>
  <w:style w:type="character" w:customStyle="1" w:styleId="Hashtag1">
    <w:name w:val="Hashtag1"/>
    <w:basedOn w:val="DefaultParagraphFont"/>
    <w:uiPriority w:val="99"/>
    <w:semiHidden/>
    <w:unhideWhenUsed/>
    <w:rsid w:val="009F52F1"/>
    <w:rPr>
      <w:color w:val="2B579A"/>
      <w:shd w:val="clear" w:color="auto" w:fill="E6E6E6"/>
    </w:rPr>
  </w:style>
  <w:style w:type="character" w:customStyle="1" w:styleId="Mention1">
    <w:name w:val="Mention1"/>
    <w:basedOn w:val="DefaultParagraphFont"/>
    <w:uiPriority w:val="99"/>
    <w:semiHidden/>
    <w:unhideWhenUsed/>
    <w:rsid w:val="009F52F1"/>
    <w:rPr>
      <w:color w:val="2B579A"/>
      <w:shd w:val="clear" w:color="auto" w:fill="E6E6E6"/>
    </w:rPr>
  </w:style>
  <w:style w:type="character" w:customStyle="1" w:styleId="SmartHyperlink1">
    <w:name w:val="Smart Hyperlink1"/>
    <w:basedOn w:val="DefaultParagraphFont"/>
    <w:uiPriority w:val="99"/>
    <w:semiHidden/>
    <w:unhideWhenUsed/>
    <w:rsid w:val="009F52F1"/>
    <w:rPr>
      <w:u w:val="dotted"/>
    </w:rPr>
  </w:style>
  <w:style w:type="character" w:customStyle="1" w:styleId="UnresolvedMention1">
    <w:name w:val="Unresolved Mention1"/>
    <w:basedOn w:val="DefaultParagraphFont"/>
    <w:uiPriority w:val="99"/>
    <w:semiHidden/>
    <w:unhideWhenUsed/>
    <w:rsid w:val="009F52F1"/>
    <w:rPr>
      <w:color w:val="808080"/>
      <w:shd w:val="clear" w:color="auto" w:fill="E6E6E6"/>
    </w:rPr>
  </w:style>
  <w:style w:type="table" w:customStyle="1" w:styleId="TableGrid20">
    <w:name w:val="Table Grid2"/>
    <w:basedOn w:val="TableNormal"/>
    <w:next w:val="TableGrid"/>
    <w:uiPriority w:val="59"/>
    <w:rsid w:val="009F52F1"/>
    <w:pPr>
      <w:spacing w:after="0" w:line="240" w:lineRule="auto"/>
    </w:pPr>
    <w:rPr>
      <w:rFonts w:ascii="Calibri" w:eastAsia="Calibri" w:hAnsi="Calibri"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Header 2 Char,Head1.1 Char,References Char,Paragraphe de liste1 Char,List Paragraph1 Char,Liste couleur - Accent 11 Char,Liste couleur - Accent 111 Char,Paragraphe de liste3 Char,List Paragraph2 Char,Bullets Char"/>
    <w:basedOn w:val="DefaultParagraphFont"/>
    <w:link w:val="ListParagraph"/>
    <w:uiPriority w:val="34"/>
    <w:locked/>
    <w:rsid w:val="009A6DE4"/>
    <w:rPr>
      <w:lang w:val="en-US"/>
    </w:rPr>
  </w:style>
  <w:style w:type="table" w:customStyle="1" w:styleId="TableGrid30">
    <w:name w:val="Table Grid3"/>
    <w:basedOn w:val="TableNormal"/>
    <w:next w:val="TableGrid"/>
    <w:uiPriority w:val="39"/>
    <w:rsid w:val="00485066"/>
    <w:pPr>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
    <w:basedOn w:val="TableNormal"/>
    <w:next w:val="TableGrid"/>
    <w:uiPriority w:val="59"/>
    <w:rsid w:val="003F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1">
    <w:name w:val="Footnote Text Char1"/>
    <w:aliases w:val="fn Char2,Footnote ak Char2,fn Char Char2,footnote text Char Char1,Footnotes Char Char2,Footnote ak Char Char1,ft Char1,fn cafc Char1,Footnotes Char Char Char1,Footnote Text Char Char Char1,fn Char Char Char1,footnote text Char2"/>
    <w:basedOn w:val="DefaultParagraphFont"/>
    <w:uiPriority w:val="99"/>
    <w:semiHidden/>
    <w:locked/>
    <w:rsid w:val="004807FB"/>
    <w:rPr>
      <w:rFonts w:ascii="Arial" w:eastAsia="SimSun" w:hAnsi="Arial" w:cs="Times New Roman"/>
      <w:sz w:val="20"/>
      <w:szCs w:val="20"/>
      <w:lang w:val="en-US" w:eastAsia="zh-CN"/>
    </w:rPr>
  </w:style>
  <w:style w:type="character" w:customStyle="1" w:styleId="normaltextrun">
    <w:name w:val="normaltextrun"/>
    <w:basedOn w:val="DefaultParagraphFont"/>
    <w:rsid w:val="00D23F5A"/>
  </w:style>
  <w:style w:type="character" w:customStyle="1" w:styleId="NoSpacingChar">
    <w:name w:val="No Spacing Char"/>
    <w:basedOn w:val="DefaultParagraphFont"/>
    <w:link w:val="NoSpacing"/>
    <w:uiPriority w:val="1"/>
    <w:rsid w:val="00386FFD"/>
    <w:rPr>
      <w:lang w:val="en-US"/>
    </w:rPr>
  </w:style>
  <w:style w:type="paragraph" w:customStyle="1" w:styleId="p1">
    <w:name w:val="p1"/>
    <w:basedOn w:val="Normal"/>
    <w:rsid w:val="00466F35"/>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s1">
    <w:name w:val="s1"/>
    <w:basedOn w:val="DefaultParagraphFont"/>
    <w:rsid w:val="00466F35"/>
  </w:style>
  <w:style w:type="character" w:customStyle="1" w:styleId="ilad">
    <w:name w:val="il_ad"/>
    <w:basedOn w:val="DefaultParagraphFont"/>
    <w:rsid w:val="00B21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8924">
      <w:bodyDiv w:val="1"/>
      <w:marLeft w:val="0"/>
      <w:marRight w:val="0"/>
      <w:marTop w:val="0"/>
      <w:marBottom w:val="0"/>
      <w:divBdr>
        <w:top w:val="none" w:sz="0" w:space="0" w:color="auto"/>
        <w:left w:val="none" w:sz="0" w:space="0" w:color="auto"/>
        <w:bottom w:val="none" w:sz="0" w:space="0" w:color="auto"/>
        <w:right w:val="none" w:sz="0" w:space="0" w:color="auto"/>
      </w:divBdr>
    </w:div>
    <w:div w:id="93289532">
      <w:bodyDiv w:val="1"/>
      <w:marLeft w:val="0"/>
      <w:marRight w:val="0"/>
      <w:marTop w:val="0"/>
      <w:marBottom w:val="0"/>
      <w:divBdr>
        <w:top w:val="none" w:sz="0" w:space="0" w:color="auto"/>
        <w:left w:val="none" w:sz="0" w:space="0" w:color="auto"/>
        <w:bottom w:val="none" w:sz="0" w:space="0" w:color="auto"/>
        <w:right w:val="none" w:sz="0" w:space="0" w:color="auto"/>
      </w:divBdr>
    </w:div>
    <w:div w:id="141165162">
      <w:bodyDiv w:val="1"/>
      <w:marLeft w:val="0"/>
      <w:marRight w:val="0"/>
      <w:marTop w:val="0"/>
      <w:marBottom w:val="0"/>
      <w:divBdr>
        <w:top w:val="none" w:sz="0" w:space="0" w:color="auto"/>
        <w:left w:val="none" w:sz="0" w:space="0" w:color="auto"/>
        <w:bottom w:val="none" w:sz="0" w:space="0" w:color="auto"/>
        <w:right w:val="none" w:sz="0" w:space="0" w:color="auto"/>
      </w:divBdr>
    </w:div>
    <w:div w:id="202643798">
      <w:bodyDiv w:val="1"/>
      <w:marLeft w:val="0"/>
      <w:marRight w:val="0"/>
      <w:marTop w:val="0"/>
      <w:marBottom w:val="0"/>
      <w:divBdr>
        <w:top w:val="none" w:sz="0" w:space="0" w:color="auto"/>
        <w:left w:val="none" w:sz="0" w:space="0" w:color="auto"/>
        <w:bottom w:val="none" w:sz="0" w:space="0" w:color="auto"/>
        <w:right w:val="none" w:sz="0" w:space="0" w:color="auto"/>
      </w:divBdr>
    </w:div>
    <w:div w:id="484929543">
      <w:bodyDiv w:val="1"/>
      <w:marLeft w:val="0"/>
      <w:marRight w:val="0"/>
      <w:marTop w:val="0"/>
      <w:marBottom w:val="0"/>
      <w:divBdr>
        <w:top w:val="none" w:sz="0" w:space="0" w:color="auto"/>
        <w:left w:val="none" w:sz="0" w:space="0" w:color="auto"/>
        <w:bottom w:val="none" w:sz="0" w:space="0" w:color="auto"/>
        <w:right w:val="none" w:sz="0" w:space="0" w:color="auto"/>
      </w:divBdr>
    </w:div>
    <w:div w:id="814183974">
      <w:bodyDiv w:val="1"/>
      <w:marLeft w:val="0"/>
      <w:marRight w:val="0"/>
      <w:marTop w:val="0"/>
      <w:marBottom w:val="0"/>
      <w:divBdr>
        <w:top w:val="none" w:sz="0" w:space="0" w:color="auto"/>
        <w:left w:val="none" w:sz="0" w:space="0" w:color="auto"/>
        <w:bottom w:val="none" w:sz="0" w:space="0" w:color="auto"/>
        <w:right w:val="none" w:sz="0" w:space="0" w:color="auto"/>
      </w:divBdr>
    </w:div>
    <w:div w:id="1028484074">
      <w:bodyDiv w:val="1"/>
      <w:marLeft w:val="0"/>
      <w:marRight w:val="0"/>
      <w:marTop w:val="0"/>
      <w:marBottom w:val="0"/>
      <w:divBdr>
        <w:top w:val="none" w:sz="0" w:space="0" w:color="auto"/>
        <w:left w:val="none" w:sz="0" w:space="0" w:color="auto"/>
        <w:bottom w:val="none" w:sz="0" w:space="0" w:color="auto"/>
        <w:right w:val="none" w:sz="0" w:space="0" w:color="auto"/>
      </w:divBdr>
    </w:div>
    <w:div w:id="1135181664">
      <w:bodyDiv w:val="1"/>
      <w:marLeft w:val="0"/>
      <w:marRight w:val="0"/>
      <w:marTop w:val="0"/>
      <w:marBottom w:val="0"/>
      <w:divBdr>
        <w:top w:val="none" w:sz="0" w:space="0" w:color="auto"/>
        <w:left w:val="none" w:sz="0" w:space="0" w:color="auto"/>
        <w:bottom w:val="none" w:sz="0" w:space="0" w:color="auto"/>
        <w:right w:val="none" w:sz="0" w:space="0" w:color="auto"/>
      </w:divBdr>
    </w:div>
    <w:div w:id="1171530505">
      <w:bodyDiv w:val="1"/>
      <w:marLeft w:val="0"/>
      <w:marRight w:val="0"/>
      <w:marTop w:val="0"/>
      <w:marBottom w:val="0"/>
      <w:divBdr>
        <w:top w:val="none" w:sz="0" w:space="0" w:color="auto"/>
        <w:left w:val="none" w:sz="0" w:space="0" w:color="auto"/>
        <w:bottom w:val="none" w:sz="0" w:space="0" w:color="auto"/>
        <w:right w:val="none" w:sz="0" w:space="0" w:color="auto"/>
      </w:divBdr>
    </w:div>
    <w:div w:id="1365012380">
      <w:bodyDiv w:val="1"/>
      <w:marLeft w:val="0"/>
      <w:marRight w:val="0"/>
      <w:marTop w:val="0"/>
      <w:marBottom w:val="0"/>
      <w:divBdr>
        <w:top w:val="none" w:sz="0" w:space="0" w:color="auto"/>
        <w:left w:val="none" w:sz="0" w:space="0" w:color="auto"/>
        <w:bottom w:val="none" w:sz="0" w:space="0" w:color="auto"/>
        <w:right w:val="none" w:sz="0" w:space="0" w:color="auto"/>
      </w:divBdr>
    </w:div>
    <w:div w:id="1391925529">
      <w:bodyDiv w:val="1"/>
      <w:marLeft w:val="0"/>
      <w:marRight w:val="0"/>
      <w:marTop w:val="0"/>
      <w:marBottom w:val="0"/>
      <w:divBdr>
        <w:top w:val="none" w:sz="0" w:space="0" w:color="auto"/>
        <w:left w:val="none" w:sz="0" w:space="0" w:color="auto"/>
        <w:bottom w:val="none" w:sz="0" w:space="0" w:color="auto"/>
        <w:right w:val="none" w:sz="0" w:space="0" w:color="auto"/>
      </w:divBdr>
    </w:div>
    <w:div w:id="1473254603">
      <w:bodyDiv w:val="1"/>
      <w:marLeft w:val="0"/>
      <w:marRight w:val="0"/>
      <w:marTop w:val="0"/>
      <w:marBottom w:val="0"/>
      <w:divBdr>
        <w:top w:val="none" w:sz="0" w:space="0" w:color="auto"/>
        <w:left w:val="none" w:sz="0" w:space="0" w:color="auto"/>
        <w:bottom w:val="none" w:sz="0" w:space="0" w:color="auto"/>
        <w:right w:val="none" w:sz="0" w:space="0" w:color="auto"/>
      </w:divBdr>
    </w:div>
    <w:div w:id="1490289965">
      <w:bodyDiv w:val="1"/>
      <w:marLeft w:val="0"/>
      <w:marRight w:val="0"/>
      <w:marTop w:val="0"/>
      <w:marBottom w:val="0"/>
      <w:divBdr>
        <w:top w:val="none" w:sz="0" w:space="0" w:color="auto"/>
        <w:left w:val="none" w:sz="0" w:space="0" w:color="auto"/>
        <w:bottom w:val="none" w:sz="0" w:space="0" w:color="auto"/>
        <w:right w:val="none" w:sz="0" w:space="0" w:color="auto"/>
      </w:divBdr>
    </w:div>
    <w:div w:id="1541239965">
      <w:bodyDiv w:val="1"/>
      <w:marLeft w:val="0"/>
      <w:marRight w:val="0"/>
      <w:marTop w:val="0"/>
      <w:marBottom w:val="0"/>
      <w:divBdr>
        <w:top w:val="none" w:sz="0" w:space="0" w:color="auto"/>
        <w:left w:val="none" w:sz="0" w:space="0" w:color="auto"/>
        <w:bottom w:val="none" w:sz="0" w:space="0" w:color="auto"/>
        <w:right w:val="none" w:sz="0" w:space="0" w:color="auto"/>
      </w:divBdr>
    </w:div>
    <w:div w:id="1668943056">
      <w:bodyDiv w:val="1"/>
      <w:marLeft w:val="0"/>
      <w:marRight w:val="0"/>
      <w:marTop w:val="0"/>
      <w:marBottom w:val="0"/>
      <w:divBdr>
        <w:top w:val="none" w:sz="0" w:space="0" w:color="auto"/>
        <w:left w:val="none" w:sz="0" w:space="0" w:color="auto"/>
        <w:bottom w:val="none" w:sz="0" w:space="0" w:color="auto"/>
        <w:right w:val="none" w:sz="0" w:space="0" w:color="auto"/>
      </w:divBdr>
    </w:div>
    <w:div w:id="1700008899">
      <w:bodyDiv w:val="1"/>
      <w:marLeft w:val="0"/>
      <w:marRight w:val="0"/>
      <w:marTop w:val="0"/>
      <w:marBottom w:val="0"/>
      <w:divBdr>
        <w:top w:val="none" w:sz="0" w:space="0" w:color="auto"/>
        <w:left w:val="none" w:sz="0" w:space="0" w:color="auto"/>
        <w:bottom w:val="none" w:sz="0" w:space="0" w:color="auto"/>
        <w:right w:val="none" w:sz="0" w:space="0" w:color="auto"/>
      </w:divBdr>
    </w:div>
    <w:div w:id="1752045835">
      <w:bodyDiv w:val="1"/>
      <w:marLeft w:val="0"/>
      <w:marRight w:val="0"/>
      <w:marTop w:val="0"/>
      <w:marBottom w:val="0"/>
      <w:divBdr>
        <w:top w:val="none" w:sz="0" w:space="0" w:color="auto"/>
        <w:left w:val="none" w:sz="0" w:space="0" w:color="auto"/>
        <w:bottom w:val="none" w:sz="0" w:space="0" w:color="auto"/>
        <w:right w:val="none" w:sz="0" w:space="0" w:color="auto"/>
      </w:divBdr>
    </w:div>
    <w:div w:id="1924801564">
      <w:bodyDiv w:val="1"/>
      <w:marLeft w:val="0"/>
      <w:marRight w:val="0"/>
      <w:marTop w:val="0"/>
      <w:marBottom w:val="0"/>
      <w:divBdr>
        <w:top w:val="none" w:sz="0" w:space="0" w:color="auto"/>
        <w:left w:val="none" w:sz="0" w:space="0" w:color="auto"/>
        <w:bottom w:val="none" w:sz="0" w:space="0" w:color="auto"/>
        <w:right w:val="none" w:sz="0" w:space="0" w:color="auto"/>
      </w:divBdr>
    </w:div>
    <w:div w:id="1952741235">
      <w:bodyDiv w:val="1"/>
      <w:marLeft w:val="0"/>
      <w:marRight w:val="0"/>
      <w:marTop w:val="0"/>
      <w:marBottom w:val="0"/>
      <w:divBdr>
        <w:top w:val="none" w:sz="0" w:space="0" w:color="auto"/>
        <w:left w:val="none" w:sz="0" w:space="0" w:color="auto"/>
        <w:bottom w:val="none" w:sz="0" w:space="0" w:color="auto"/>
        <w:right w:val="none" w:sz="0" w:space="0" w:color="auto"/>
      </w:divBdr>
    </w:div>
    <w:div w:id="1983844516">
      <w:bodyDiv w:val="1"/>
      <w:marLeft w:val="0"/>
      <w:marRight w:val="0"/>
      <w:marTop w:val="0"/>
      <w:marBottom w:val="0"/>
      <w:divBdr>
        <w:top w:val="none" w:sz="0" w:space="0" w:color="auto"/>
        <w:left w:val="none" w:sz="0" w:space="0" w:color="auto"/>
        <w:bottom w:val="none" w:sz="0" w:space="0" w:color="auto"/>
        <w:right w:val="none" w:sz="0" w:space="0" w:color="auto"/>
      </w:divBdr>
    </w:div>
    <w:div w:id="1992371929">
      <w:bodyDiv w:val="1"/>
      <w:marLeft w:val="0"/>
      <w:marRight w:val="0"/>
      <w:marTop w:val="0"/>
      <w:marBottom w:val="0"/>
      <w:divBdr>
        <w:top w:val="none" w:sz="0" w:space="0" w:color="auto"/>
        <w:left w:val="none" w:sz="0" w:space="0" w:color="auto"/>
        <w:bottom w:val="none" w:sz="0" w:space="0" w:color="auto"/>
        <w:right w:val="none" w:sz="0" w:space="0" w:color="auto"/>
      </w:divBdr>
    </w:div>
    <w:div w:id="1994095031">
      <w:bodyDiv w:val="1"/>
      <w:marLeft w:val="0"/>
      <w:marRight w:val="0"/>
      <w:marTop w:val="0"/>
      <w:marBottom w:val="0"/>
      <w:divBdr>
        <w:top w:val="none" w:sz="0" w:space="0" w:color="auto"/>
        <w:left w:val="none" w:sz="0" w:space="0" w:color="auto"/>
        <w:bottom w:val="none" w:sz="0" w:space="0" w:color="auto"/>
        <w:right w:val="none" w:sz="0" w:space="0" w:color="auto"/>
      </w:divBdr>
    </w:div>
    <w:div w:id="208090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www.who.int/philippines/news/detail/20-02-2019-new-uhc-act-a-critical-step-towards-health-for-all-filipino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hyperlink" Target="https://www.philhealth.gov.ph/news/2019/uhc_act.php"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sa.gov.ph/pnha-press-releas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4E481C97614ACFA5029A0F885399E6"/>
        <w:category>
          <w:name w:val="General"/>
          <w:gallery w:val="placeholder"/>
        </w:category>
        <w:types>
          <w:type w:val="bbPlcHdr"/>
        </w:types>
        <w:behaviors>
          <w:behavior w:val="content"/>
        </w:behaviors>
        <w:guid w:val="{29350663-B7A3-4A3D-8360-75C526B11A10}"/>
      </w:docPartPr>
      <w:docPartBody>
        <w:p w:rsidR="00046D04" w:rsidRDefault="00046D04" w:rsidP="00046D04">
          <w:pPr>
            <w:pStyle w:val="184E481C97614ACFA5029A0F885399E61"/>
          </w:pPr>
          <w:r w:rsidRPr="00E15857">
            <w:rPr>
              <w:rStyle w:val="PlaceholderText"/>
              <w:color w:val="44546A" w:themeColor="text2"/>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6CDDD274-BB6A-4B6D-8BC8-6E2A65E9D4A0}"/>
      </w:docPartPr>
      <w:docPartBody>
        <w:p w:rsidR="00404AF6" w:rsidRDefault="00073973">
          <w:r w:rsidRPr="00BB531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A1"/>
    <w:rsid w:val="00046D04"/>
    <w:rsid w:val="000734BD"/>
    <w:rsid w:val="00073973"/>
    <w:rsid w:val="000C5C45"/>
    <w:rsid w:val="000D4B67"/>
    <w:rsid w:val="00124A47"/>
    <w:rsid w:val="00150CDA"/>
    <w:rsid w:val="00156C44"/>
    <w:rsid w:val="00161CA8"/>
    <w:rsid w:val="00195318"/>
    <w:rsid w:val="00234B83"/>
    <w:rsid w:val="00234B8B"/>
    <w:rsid w:val="002F0B52"/>
    <w:rsid w:val="00316A00"/>
    <w:rsid w:val="00344512"/>
    <w:rsid w:val="003A0392"/>
    <w:rsid w:val="00404AF6"/>
    <w:rsid w:val="0043665D"/>
    <w:rsid w:val="004A20E8"/>
    <w:rsid w:val="004B646F"/>
    <w:rsid w:val="004D190A"/>
    <w:rsid w:val="00507549"/>
    <w:rsid w:val="00520052"/>
    <w:rsid w:val="00523F6C"/>
    <w:rsid w:val="005A6E99"/>
    <w:rsid w:val="005C2AE4"/>
    <w:rsid w:val="005E07A1"/>
    <w:rsid w:val="005F630B"/>
    <w:rsid w:val="006762DE"/>
    <w:rsid w:val="006A4236"/>
    <w:rsid w:val="006C59C6"/>
    <w:rsid w:val="006D39FB"/>
    <w:rsid w:val="0071250F"/>
    <w:rsid w:val="00730CFF"/>
    <w:rsid w:val="00766B49"/>
    <w:rsid w:val="007F64C7"/>
    <w:rsid w:val="0082456E"/>
    <w:rsid w:val="0083184D"/>
    <w:rsid w:val="008A6F9F"/>
    <w:rsid w:val="008C7490"/>
    <w:rsid w:val="008E51C2"/>
    <w:rsid w:val="008F7CFE"/>
    <w:rsid w:val="009165D0"/>
    <w:rsid w:val="0095093B"/>
    <w:rsid w:val="0095631A"/>
    <w:rsid w:val="00983D67"/>
    <w:rsid w:val="009843E8"/>
    <w:rsid w:val="00996458"/>
    <w:rsid w:val="009F428F"/>
    <w:rsid w:val="00A05963"/>
    <w:rsid w:val="00A74E51"/>
    <w:rsid w:val="00A7566B"/>
    <w:rsid w:val="00A8117D"/>
    <w:rsid w:val="00AC320D"/>
    <w:rsid w:val="00AC6BF4"/>
    <w:rsid w:val="00AE43EB"/>
    <w:rsid w:val="00AF664B"/>
    <w:rsid w:val="00AF741A"/>
    <w:rsid w:val="00B24CA6"/>
    <w:rsid w:val="00B30572"/>
    <w:rsid w:val="00B633D5"/>
    <w:rsid w:val="00B80191"/>
    <w:rsid w:val="00BB6307"/>
    <w:rsid w:val="00BE0E6D"/>
    <w:rsid w:val="00C01EA0"/>
    <w:rsid w:val="00C25856"/>
    <w:rsid w:val="00C4111D"/>
    <w:rsid w:val="00C42128"/>
    <w:rsid w:val="00D71390"/>
    <w:rsid w:val="00D80E8D"/>
    <w:rsid w:val="00D90ABF"/>
    <w:rsid w:val="00DD0F8D"/>
    <w:rsid w:val="00E749AE"/>
    <w:rsid w:val="00E80B38"/>
    <w:rsid w:val="00E95F64"/>
    <w:rsid w:val="00EC0376"/>
    <w:rsid w:val="00F02102"/>
    <w:rsid w:val="00F83435"/>
    <w:rsid w:val="00F86E69"/>
    <w:rsid w:val="00FA44DB"/>
    <w:rsid w:val="00FB4D9B"/>
    <w:rsid w:val="00FC0A4B"/>
    <w:rsid w:val="00FC40B0"/>
    <w:rsid w:val="00FF11C2"/>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117D"/>
    <w:rPr>
      <w:color w:val="808080"/>
      <w:lang w:val="en-US"/>
    </w:rPr>
  </w:style>
  <w:style w:type="paragraph" w:customStyle="1" w:styleId="2B681AD5737D4922994A94D8D6341007">
    <w:name w:val="2B681AD5737D4922994A94D8D6341007"/>
    <w:rsid w:val="005E07A1"/>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2B681AD5737D4922994A94D8D63410071">
    <w:name w:val="2B681AD5737D4922994A94D8D63410071"/>
    <w:rsid w:val="005E07A1"/>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8A7379AE5F554A339AA886A39CCF9844">
    <w:name w:val="8A7379AE5F554A339AA886A39CCF9844"/>
    <w:rsid w:val="005E07A1"/>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2B681AD5737D4922994A94D8D63410072">
    <w:name w:val="2B681AD5737D4922994A94D8D63410072"/>
    <w:rsid w:val="005E07A1"/>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8A7379AE5F554A339AA886A39CCF98441">
    <w:name w:val="8A7379AE5F554A339AA886A39CCF98441"/>
    <w:rsid w:val="005E07A1"/>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62F8757CF14F446A83DD14D59AC84366">
    <w:name w:val="62F8757CF14F446A83DD14D59AC84366"/>
    <w:rsid w:val="005E07A1"/>
    <w:pPr>
      <w:spacing w:line="260" w:lineRule="atLeast"/>
      <w:jc w:val="center"/>
    </w:pPr>
    <w:rPr>
      <w:rFonts w:eastAsiaTheme="minorHAnsi"/>
      <w:b/>
      <w:caps/>
    </w:rPr>
  </w:style>
  <w:style w:type="paragraph" w:customStyle="1" w:styleId="5A8E58D5F9D847789071BDAE26BA0293">
    <w:name w:val="5A8E58D5F9D847789071BDAE26BA0293"/>
    <w:rsid w:val="005E07A1"/>
    <w:pPr>
      <w:spacing w:line="260" w:lineRule="atLeast"/>
      <w:jc w:val="center"/>
    </w:pPr>
    <w:rPr>
      <w:rFonts w:eastAsiaTheme="minorHAnsi"/>
      <w:b/>
      <w:caps/>
    </w:rPr>
  </w:style>
  <w:style w:type="paragraph" w:customStyle="1" w:styleId="2B681AD5737D4922994A94D8D63410073">
    <w:name w:val="2B681AD5737D4922994A94D8D63410073"/>
    <w:rsid w:val="00E95F64"/>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62F8757CF14F446A83DD14D59AC843661">
    <w:name w:val="62F8757CF14F446A83DD14D59AC843661"/>
    <w:rsid w:val="00E95F64"/>
    <w:pPr>
      <w:spacing w:line="260" w:lineRule="atLeast"/>
      <w:jc w:val="center"/>
    </w:pPr>
    <w:rPr>
      <w:rFonts w:eastAsiaTheme="minorHAnsi"/>
      <w:b/>
      <w:caps/>
    </w:rPr>
  </w:style>
  <w:style w:type="paragraph" w:customStyle="1" w:styleId="980E0BC09A6A44C5B61507D7633E751A">
    <w:name w:val="980E0BC09A6A44C5B61507D7633E751A"/>
    <w:rsid w:val="002F0B52"/>
    <w:pPr>
      <w:spacing w:after="0" w:line="260" w:lineRule="atLeast"/>
    </w:pPr>
    <w:rPr>
      <w:rFonts w:eastAsiaTheme="minorHAnsi"/>
      <w:lang w:eastAsia="en-US"/>
    </w:rPr>
  </w:style>
  <w:style w:type="paragraph" w:customStyle="1" w:styleId="2B681AD5737D4922994A94D8D63410074">
    <w:name w:val="2B681AD5737D4922994A94D8D63410074"/>
    <w:rsid w:val="002F0B52"/>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62F8757CF14F446A83DD14D59AC843662">
    <w:name w:val="62F8757CF14F446A83DD14D59AC843662"/>
    <w:rsid w:val="002F0B52"/>
    <w:pPr>
      <w:spacing w:line="260" w:lineRule="atLeast"/>
      <w:jc w:val="center"/>
    </w:pPr>
    <w:rPr>
      <w:rFonts w:eastAsiaTheme="minorHAnsi"/>
      <w:b/>
      <w:caps/>
    </w:rPr>
  </w:style>
  <w:style w:type="paragraph" w:customStyle="1" w:styleId="980E0BC09A6A44C5B61507D7633E751A1">
    <w:name w:val="980E0BC09A6A44C5B61507D7633E751A1"/>
    <w:rsid w:val="0082456E"/>
    <w:pPr>
      <w:spacing w:after="0" w:line="260" w:lineRule="atLeast"/>
    </w:pPr>
    <w:rPr>
      <w:rFonts w:eastAsiaTheme="minorHAnsi"/>
      <w:lang w:eastAsia="en-US"/>
    </w:rPr>
  </w:style>
  <w:style w:type="paragraph" w:customStyle="1" w:styleId="2B681AD5737D4922994A94D8D63410075">
    <w:name w:val="2B681AD5737D4922994A94D8D63410075"/>
    <w:rsid w:val="0082456E"/>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C9DD0238A61240D0AC199EA3542086C9">
    <w:name w:val="C9DD0238A61240D0AC199EA3542086C9"/>
    <w:rsid w:val="0082456E"/>
    <w:pPr>
      <w:spacing w:line="260" w:lineRule="atLeast"/>
      <w:jc w:val="center"/>
    </w:pPr>
    <w:rPr>
      <w:rFonts w:eastAsiaTheme="minorHAnsi"/>
      <w:b/>
      <w:caps/>
    </w:rPr>
  </w:style>
  <w:style w:type="paragraph" w:customStyle="1" w:styleId="EE96421251444573B6897316BD48B66F">
    <w:name w:val="EE96421251444573B6897316BD48B66F"/>
    <w:rsid w:val="0082456E"/>
    <w:pPr>
      <w:spacing w:line="260" w:lineRule="atLeast"/>
      <w:jc w:val="center"/>
    </w:pPr>
    <w:rPr>
      <w:rFonts w:eastAsiaTheme="minorHAnsi"/>
      <w:b/>
      <w:caps/>
    </w:rPr>
  </w:style>
  <w:style w:type="paragraph" w:customStyle="1" w:styleId="A39ACD97DB174FFCABCA97DB23D742F5">
    <w:name w:val="A39ACD97DB174FFCABCA97DB23D742F5"/>
    <w:rsid w:val="0082456E"/>
    <w:pPr>
      <w:spacing w:line="260" w:lineRule="atLeast"/>
      <w:jc w:val="center"/>
    </w:pPr>
    <w:rPr>
      <w:rFonts w:eastAsiaTheme="minorHAnsi"/>
      <w:b/>
      <w:caps/>
    </w:rPr>
  </w:style>
  <w:style w:type="paragraph" w:customStyle="1" w:styleId="980E0BC09A6A44C5B61507D7633E751A2">
    <w:name w:val="980E0BC09A6A44C5B61507D7633E751A2"/>
    <w:rsid w:val="0082456E"/>
    <w:pPr>
      <w:spacing w:after="0" w:line="260" w:lineRule="atLeast"/>
    </w:pPr>
    <w:rPr>
      <w:rFonts w:eastAsiaTheme="minorHAnsi"/>
      <w:lang w:eastAsia="en-US"/>
    </w:rPr>
  </w:style>
  <w:style w:type="paragraph" w:customStyle="1" w:styleId="2B681AD5737D4922994A94D8D63410076">
    <w:name w:val="2B681AD5737D4922994A94D8D63410076"/>
    <w:rsid w:val="0082456E"/>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C9DD0238A61240D0AC199EA3542086C91">
    <w:name w:val="C9DD0238A61240D0AC199EA3542086C91"/>
    <w:rsid w:val="0082456E"/>
    <w:pPr>
      <w:spacing w:line="260" w:lineRule="atLeast"/>
      <w:jc w:val="center"/>
    </w:pPr>
    <w:rPr>
      <w:rFonts w:eastAsiaTheme="minorHAnsi"/>
      <w:b/>
      <w:caps/>
    </w:rPr>
  </w:style>
  <w:style w:type="paragraph" w:customStyle="1" w:styleId="EE96421251444573B6897316BD48B66F1">
    <w:name w:val="EE96421251444573B6897316BD48B66F1"/>
    <w:rsid w:val="0082456E"/>
    <w:pPr>
      <w:spacing w:line="260" w:lineRule="atLeast"/>
      <w:jc w:val="center"/>
    </w:pPr>
    <w:rPr>
      <w:rFonts w:eastAsiaTheme="minorHAnsi"/>
      <w:b/>
      <w:caps/>
    </w:rPr>
  </w:style>
  <w:style w:type="paragraph" w:customStyle="1" w:styleId="A39ACD97DB174FFCABCA97DB23D742F51">
    <w:name w:val="A39ACD97DB174FFCABCA97DB23D742F51"/>
    <w:rsid w:val="0082456E"/>
    <w:pPr>
      <w:spacing w:line="260" w:lineRule="atLeast"/>
      <w:jc w:val="center"/>
    </w:pPr>
    <w:rPr>
      <w:rFonts w:eastAsiaTheme="minorHAnsi"/>
      <w:b/>
      <w:caps/>
    </w:rPr>
  </w:style>
  <w:style w:type="paragraph" w:customStyle="1" w:styleId="F8523E93FFA144408B56CB9B5A004C8A">
    <w:name w:val="F8523E93FFA144408B56CB9B5A004C8A"/>
    <w:rsid w:val="0082456E"/>
    <w:pPr>
      <w:tabs>
        <w:tab w:val="right" w:pos="9638"/>
      </w:tabs>
      <w:spacing w:after="0" w:line="240" w:lineRule="auto"/>
    </w:pPr>
    <w:rPr>
      <w:rFonts w:eastAsiaTheme="minorHAnsi"/>
      <w:sz w:val="16"/>
      <w:szCs w:val="16"/>
      <w:lang w:eastAsia="en-US"/>
    </w:rPr>
  </w:style>
  <w:style w:type="paragraph" w:customStyle="1" w:styleId="970C171108EB48EF965018773F7A3DF4">
    <w:name w:val="970C171108EB48EF965018773F7A3DF4"/>
    <w:rsid w:val="0082456E"/>
    <w:pPr>
      <w:tabs>
        <w:tab w:val="right" w:pos="9638"/>
      </w:tabs>
      <w:spacing w:after="0" w:line="240" w:lineRule="auto"/>
    </w:pPr>
    <w:rPr>
      <w:rFonts w:eastAsiaTheme="minorHAnsi"/>
      <w:sz w:val="16"/>
      <w:szCs w:val="16"/>
      <w:lang w:eastAsia="en-US"/>
    </w:rPr>
  </w:style>
  <w:style w:type="paragraph" w:customStyle="1" w:styleId="92BE380C6300430FA99802F71E4D3A47">
    <w:name w:val="92BE380C6300430FA99802F71E4D3A47"/>
    <w:rsid w:val="0082456E"/>
    <w:pPr>
      <w:tabs>
        <w:tab w:val="right" w:pos="9638"/>
      </w:tabs>
      <w:spacing w:after="0" w:line="240" w:lineRule="auto"/>
    </w:pPr>
    <w:rPr>
      <w:rFonts w:eastAsiaTheme="minorHAnsi"/>
      <w:sz w:val="16"/>
      <w:szCs w:val="16"/>
      <w:lang w:eastAsia="en-US"/>
    </w:rPr>
  </w:style>
  <w:style w:type="paragraph" w:customStyle="1" w:styleId="980E0BC09A6A44C5B61507D7633E751A3">
    <w:name w:val="980E0BC09A6A44C5B61507D7633E751A3"/>
    <w:rsid w:val="00FB4D9B"/>
    <w:pPr>
      <w:spacing w:after="0" w:line="260" w:lineRule="atLeast"/>
    </w:pPr>
    <w:rPr>
      <w:rFonts w:eastAsiaTheme="minorHAnsi"/>
      <w:lang w:eastAsia="en-US"/>
    </w:rPr>
  </w:style>
  <w:style w:type="paragraph" w:customStyle="1" w:styleId="2B681AD5737D4922994A94D8D63410077">
    <w:name w:val="2B681AD5737D4922994A94D8D63410077"/>
    <w:rsid w:val="00FB4D9B"/>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C9DD0238A61240D0AC199EA3542086C92">
    <w:name w:val="C9DD0238A61240D0AC199EA3542086C92"/>
    <w:rsid w:val="00FB4D9B"/>
    <w:pPr>
      <w:spacing w:line="260" w:lineRule="atLeast"/>
      <w:jc w:val="center"/>
    </w:pPr>
    <w:rPr>
      <w:rFonts w:eastAsiaTheme="minorHAnsi"/>
      <w:b/>
      <w:caps/>
    </w:rPr>
  </w:style>
  <w:style w:type="paragraph" w:customStyle="1" w:styleId="EE96421251444573B6897316BD48B66F2">
    <w:name w:val="EE96421251444573B6897316BD48B66F2"/>
    <w:rsid w:val="00FB4D9B"/>
    <w:pPr>
      <w:spacing w:line="260" w:lineRule="atLeast"/>
      <w:jc w:val="center"/>
    </w:pPr>
    <w:rPr>
      <w:rFonts w:eastAsiaTheme="minorHAnsi"/>
      <w:b/>
      <w:caps/>
    </w:rPr>
  </w:style>
  <w:style w:type="paragraph" w:customStyle="1" w:styleId="A39ACD97DB174FFCABCA97DB23D742F52">
    <w:name w:val="A39ACD97DB174FFCABCA97DB23D742F52"/>
    <w:rsid w:val="00FB4D9B"/>
    <w:pPr>
      <w:spacing w:line="260" w:lineRule="atLeast"/>
      <w:jc w:val="center"/>
    </w:pPr>
    <w:rPr>
      <w:rFonts w:eastAsiaTheme="minorHAnsi"/>
      <w:b/>
      <w:caps/>
    </w:rPr>
  </w:style>
  <w:style w:type="paragraph" w:customStyle="1" w:styleId="F8523E93FFA144408B56CB9B5A004C8A1">
    <w:name w:val="F8523E93FFA144408B56CB9B5A004C8A1"/>
    <w:rsid w:val="00FB4D9B"/>
    <w:pPr>
      <w:tabs>
        <w:tab w:val="right" w:pos="9638"/>
      </w:tabs>
      <w:spacing w:after="0" w:line="240" w:lineRule="auto"/>
    </w:pPr>
    <w:rPr>
      <w:rFonts w:eastAsiaTheme="minorHAnsi"/>
      <w:sz w:val="16"/>
      <w:szCs w:val="16"/>
      <w:lang w:eastAsia="en-US"/>
    </w:rPr>
  </w:style>
  <w:style w:type="paragraph" w:customStyle="1" w:styleId="970C171108EB48EF965018773F7A3DF41">
    <w:name w:val="970C171108EB48EF965018773F7A3DF41"/>
    <w:rsid w:val="00FB4D9B"/>
    <w:pPr>
      <w:tabs>
        <w:tab w:val="right" w:pos="9638"/>
      </w:tabs>
      <w:spacing w:after="0" w:line="240" w:lineRule="auto"/>
    </w:pPr>
    <w:rPr>
      <w:rFonts w:eastAsiaTheme="minorHAnsi"/>
      <w:sz w:val="16"/>
      <w:szCs w:val="16"/>
      <w:lang w:eastAsia="en-US"/>
    </w:rPr>
  </w:style>
  <w:style w:type="paragraph" w:customStyle="1" w:styleId="92BE380C6300430FA99802F71E4D3A471">
    <w:name w:val="92BE380C6300430FA99802F71E4D3A471"/>
    <w:rsid w:val="00FB4D9B"/>
    <w:pPr>
      <w:tabs>
        <w:tab w:val="right" w:pos="9638"/>
      </w:tabs>
      <w:spacing w:after="0" w:line="240" w:lineRule="auto"/>
    </w:pPr>
    <w:rPr>
      <w:rFonts w:eastAsiaTheme="minorHAnsi"/>
      <w:sz w:val="16"/>
      <w:szCs w:val="16"/>
      <w:lang w:eastAsia="en-US"/>
    </w:rPr>
  </w:style>
  <w:style w:type="paragraph" w:customStyle="1" w:styleId="980E0BC09A6A44C5B61507D7633E751A4">
    <w:name w:val="980E0BC09A6A44C5B61507D7633E751A4"/>
    <w:rsid w:val="004A20E8"/>
    <w:pPr>
      <w:spacing w:after="0" w:line="260" w:lineRule="atLeast"/>
    </w:pPr>
    <w:rPr>
      <w:rFonts w:eastAsiaTheme="minorHAnsi"/>
      <w:lang w:eastAsia="en-US"/>
    </w:rPr>
  </w:style>
  <w:style w:type="paragraph" w:customStyle="1" w:styleId="2B681AD5737D4922994A94D8D63410078">
    <w:name w:val="2B681AD5737D4922994A94D8D63410078"/>
    <w:rsid w:val="004A20E8"/>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C9DD0238A61240D0AC199EA3542086C93">
    <w:name w:val="C9DD0238A61240D0AC199EA3542086C93"/>
    <w:rsid w:val="004A20E8"/>
    <w:pPr>
      <w:spacing w:line="260" w:lineRule="atLeast"/>
      <w:jc w:val="center"/>
    </w:pPr>
    <w:rPr>
      <w:rFonts w:eastAsiaTheme="minorHAnsi"/>
      <w:b/>
      <w:caps/>
    </w:rPr>
  </w:style>
  <w:style w:type="paragraph" w:customStyle="1" w:styleId="EE96421251444573B6897316BD48B66F3">
    <w:name w:val="EE96421251444573B6897316BD48B66F3"/>
    <w:rsid w:val="004A20E8"/>
    <w:pPr>
      <w:spacing w:line="260" w:lineRule="atLeast"/>
      <w:jc w:val="center"/>
    </w:pPr>
    <w:rPr>
      <w:rFonts w:eastAsiaTheme="minorHAnsi"/>
      <w:b/>
      <w:caps/>
    </w:rPr>
  </w:style>
  <w:style w:type="paragraph" w:customStyle="1" w:styleId="A39ACD97DB174FFCABCA97DB23D742F53">
    <w:name w:val="A39ACD97DB174FFCABCA97DB23D742F53"/>
    <w:rsid w:val="004A20E8"/>
    <w:pPr>
      <w:spacing w:line="260" w:lineRule="atLeast"/>
      <w:jc w:val="center"/>
    </w:pPr>
    <w:rPr>
      <w:rFonts w:eastAsiaTheme="minorHAnsi"/>
      <w:b/>
      <w:caps/>
    </w:rPr>
  </w:style>
  <w:style w:type="paragraph" w:customStyle="1" w:styleId="F8523E93FFA144408B56CB9B5A004C8A2">
    <w:name w:val="F8523E93FFA144408B56CB9B5A004C8A2"/>
    <w:rsid w:val="004A20E8"/>
    <w:pPr>
      <w:tabs>
        <w:tab w:val="right" w:pos="9638"/>
      </w:tabs>
      <w:spacing w:after="0" w:line="240" w:lineRule="auto"/>
    </w:pPr>
    <w:rPr>
      <w:rFonts w:eastAsiaTheme="minorHAnsi"/>
      <w:sz w:val="16"/>
      <w:szCs w:val="16"/>
      <w:lang w:eastAsia="en-US"/>
    </w:rPr>
  </w:style>
  <w:style w:type="paragraph" w:customStyle="1" w:styleId="970C171108EB48EF965018773F7A3DF42">
    <w:name w:val="970C171108EB48EF965018773F7A3DF42"/>
    <w:rsid w:val="004A20E8"/>
    <w:pPr>
      <w:tabs>
        <w:tab w:val="right" w:pos="9638"/>
      </w:tabs>
      <w:spacing w:after="0" w:line="240" w:lineRule="auto"/>
    </w:pPr>
    <w:rPr>
      <w:rFonts w:eastAsiaTheme="minorHAnsi"/>
      <w:sz w:val="16"/>
      <w:szCs w:val="16"/>
      <w:lang w:eastAsia="en-US"/>
    </w:rPr>
  </w:style>
  <w:style w:type="paragraph" w:customStyle="1" w:styleId="92BE380C6300430FA99802F71E4D3A472">
    <w:name w:val="92BE380C6300430FA99802F71E4D3A472"/>
    <w:rsid w:val="004A20E8"/>
    <w:pPr>
      <w:tabs>
        <w:tab w:val="right" w:pos="9638"/>
      </w:tabs>
      <w:spacing w:after="0" w:line="240" w:lineRule="auto"/>
    </w:pPr>
    <w:rPr>
      <w:rFonts w:eastAsiaTheme="minorHAnsi"/>
      <w:sz w:val="16"/>
      <w:szCs w:val="16"/>
      <w:lang w:eastAsia="en-US"/>
    </w:rPr>
  </w:style>
  <w:style w:type="paragraph" w:customStyle="1" w:styleId="980E0BC09A6A44C5B61507D7633E751A5">
    <w:name w:val="980E0BC09A6A44C5B61507D7633E751A5"/>
    <w:rsid w:val="008A6F9F"/>
    <w:pPr>
      <w:spacing w:after="0" w:line="260" w:lineRule="atLeast"/>
    </w:pPr>
    <w:rPr>
      <w:rFonts w:eastAsiaTheme="minorHAnsi"/>
      <w:lang w:eastAsia="en-US"/>
    </w:rPr>
  </w:style>
  <w:style w:type="paragraph" w:customStyle="1" w:styleId="2B681AD5737D4922994A94D8D63410079">
    <w:name w:val="2B681AD5737D4922994A94D8D63410079"/>
    <w:rsid w:val="008A6F9F"/>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C9DD0238A61240D0AC199EA3542086C94">
    <w:name w:val="C9DD0238A61240D0AC199EA3542086C94"/>
    <w:rsid w:val="008A6F9F"/>
    <w:pPr>
      <w:spacing w:line="260" w:lineRule="atLeast"/>
      <w:jc w:val="center"/>
    </w:pPr>
    <w:rPr>
      <w:rFonts w:eastAsiaTheme="minorHAnsi"/>
      <w:b/>
      <w:caps/>
    </w:rPr>
  </w:style>
  <w:style w:type="paragraph" w:customStyle="1" w:styleId="EE96421251444573B6897316BD48B66F4">
    <w:name w:val="EE96421251444573B6897316BD48B66F4"/>
    <w:rsid w:val="008A6F9F"/>
    <w:pPr>
      <w:spacing w:line="260" w:lineRule="atLeast"/>
      <w:jc w:val="center"/>
    </w:pPr>
    <w:rPr>
      <w:rFonts w:eastAsiaTheme="minorHAnsi"/>
      <w:b/>
      <w:caps/>
    </w:rPr>
  </w:style>
  <w:style w:type="paragraph" w:customStyle="1" w:styleId="A39ACD97DB174FFCABCA97DB23D742F54">
    <w:name w:val="A39ACD97DB174FFCABCA97DB23D742F54"/>
    <w:rsid w:val="008A6F9F"/>
    <w:pPr>
      <w:spacing w:line="260" w:lineRule="atLeast"/>
      <w:jc w:val="center"/>
    </w:pPr>
    <w:rPr>
      <w:rFonts w:eastAsiaTheme="minorHAnsi"/>
      <w:b/>
      <w:caps/>
    </w:rPr>
  </w:style>
  <w:style w:type="paragraph" w:customStyle="1" w:styleId="F8523E93FFA144408B56CB9B5A004C8A3">
    <w:name w:val="F8523E93FFA144408B56CB9B5A004C8A3"/>
    <w:rsid w:val="008A6F9F"/>
    <w:pPr>
      <w:tabs>
        <w:tab w:val="right" w:pos="9638"/>
      </w:tabs>
      <w:spacing w:after="0" w:line="240" w:lineRule="auto"/>
    </w:pPr>
    <w:rPr>
      <w:rFonts w:eastAsiaTheme="minorHAnsi"/>
      <w:sz w:val="16"/>
      <w:szCs w:val="16"/>
      <w:lang w:eastAsia="en-US"/>
    </w:rPr>
  </w:style>
  <w:style w:type="paragraph" w:customStyle="1" w:styleId="970C171108EB48EF965018773F7A3DF43">
    <w:name w:val="970C171108EB48EF965018773F7A3DF43"/>
    <w:rsid w:val="008A6F9F"/>
    <w:pPr>
      <w:tabs>
        <w:tab w:val="right" w:pos="9638"/>
      </w:tabs>
      <w:spacing w:after="0" w:line="240" w:lineRule="auto"/>
    </w:pPr>
    <w:rPr>
      <w:rFonts w:eastAsiaTheme="minorHAnsi"/>
      <w:sz w:val="16"/>
      <w:szCs w:val="16"/>
      <w:lang w:eastAsia="en-US"/>
    </w:rPr>
  </w:style>
  <w:style w:type="paragraph" w:customStyle="1" w:styleId="92BE380C6300430FA99802F71E4D3A473">
    <w:name w:val="92BE380C6300430FA99802F71E4D3A473"/>
    <w:rsid w:val="008A6F9F"/>
    <w:pPr>
      <w:tabs>
        <w:tab w:val="right" w:pos="9638"/>
      </w:tabs>
      <w:spacing w:after="0" w:line="240" w:lineRule="auto"/>
    </w:pPr>
    <w:rPr>
      <w:rFonts w:eastAsiaTheme="minorHAnsi"/>
      <w:sz w:val="16"/>
      <w:szCs w:val="16"/>
      <w:lang w:eastAsia="en-US"/>
    </w:rPr>
  </w:style>
  <w:style w:type="paragraph" w:customStyle="1" w:styleId="980E0BC09A6A44C5B61507D7633E751A6">
    <w:name w:val="980E0BC09A6A44C5B61507D7633E751A6"/>
    <w:rsid w:val="00F83435"/>
    <w:pPr>
      <w:spacing w:after="0" w:line="260" w:lineRule="atLeast"/>
    </w:pPr>
    <w:rPr>
      <w:rFonts w:eastAsiaTheme="minorHAnsi"/>
      <w:lang w:eastAsia="en-US"/>
    </w:rPr>
  </w:style>
  <w:style w:type="paragraph" w:customStyle="1" w:styleId="2B681AD5737D4922994A94D8D634100710">
    <w:name w:val="2B681AD5737D4922994A94D8D634100710"/>
    <w:rsid w:val="00F83435"/>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C9DD0238A61240D0AC199EA3542086C95">
    <w:name w:val="C9DD0238A61240D0AC199EA3542086C95"/>
    <w:rsid w:val="00F83435"/>
    <w:pPr>
      <w:spacing w:line="260" w:lineRule="atLeast"/>
      <w:jc w:val="center"/>
    </w:pPr>
    <w:rPr>
      <w:rFonts w:eastAsiaTheme="minorHAnsi"/>
      <w:b/>
      <w:caps/>
    </w:rPr>
  </w:style>
  <w:style w:type="paragraph" w:customStyle="1" w:styleId="EE96421251444573B6897316BD48B66F5">
    <w:name w:val="EE96421251444573B6897316BD48B66F5"/>
    <w:rsid w:val="00F83435"/>
    <w:pPr>
      <w:spacing w:line="260" w:lineRule="atLeast"/>
      <w:jc w:val="center"/>
    </w:pPr>
    <w:rPr>
      <w:rFonts w:eastAsiaTheme="minorHAnsi"/>
      <w:b/>
      <w:caps/>
    </w:rPr>
  </w:style>
  <w:style w:type="paragraph" w:customStyle="1" w:styleId="A39ACD97DB174FFCABCA97DB23D742F55">
    <w:name w:val="A39ACD97DB174FFCABCA97DB23D742F55"/>
    <w:rsid w:val="00F83435"/>
    <w:pPr>
      <w:spacing w:line="260" w:lineRule="atLeast"/>
      <w:jc w:val="center"/>
    </w:pPr>
    <w:rPr>
      <w:rFonts w:eastAsiaTheme="minorHAnsi"/>
      <w:b/>
      <w:caps/>
    </w:rPr>
  </w:style>
  <w:style w:type="paragraph" w:customStyle="1" w:styleId="F8523E93FFA144408B56CB9B5A004C8A4">
    <w:name w:val="F8523E93FFA144408B56CB9B5A004C8A4"/>
    <w:rsid w:val="00F83435"/>
    <w:pPr>
      <w:tabs>
        <w:tab w:val="right" w:pos="9638"/>
      </w:tabs>
      <w:spacing w:after="0" w:line="240" w:lineRule="auto"/>
    </w:pPr>
    <w:rPr>
      <w:rFonts w:eastAsiaTheme="minorHAnsi"/>
      <w:sz w:val="16"/>
      <w:szCs w:val="16"/>
      <w:lang w:eastAsia="en-US"/>
    </w:rPr>
  </w:style>
  <w:style w:type="paragraph" w:customStyle="1" w:styleId="970C171108EB48EF965018773F7A3DF44">
    <w:name w:val="970C171108EB48EF965018773F7A3DF44"/>
    <w:rsid w:val="00F83435"/>
    <w:pPr>
      <w:tabs>
        <w:tab w:val="right" w:pos="9638"/>
      </w:tabs>
      <w:spacing w:after="0" w:line="240" w:lineRule="auto"/>
    </w:pPr>
    <w:rPr>
      <w:rFonts w:eastAsiaTheme="minorHAnsi"/>
      <w:sz w:val="16"/>
      <w:szCs w:val="16"/>
      <w:lang w:eastAsia="en-US"/>
    </w:rPr>
  </w:style>
  <w:style w:type="paragraph" w:customStyle="1" w:styleId="92BE380C6300430FA99802F71E4D3A474">
    <w:name w:val="92BE380C6300430FA99802F71E4D3A474"/>
    <w:rsid w:val="00F83435"/>
    <w:pPr>
      <w:tabs>
        <w:tab w:val="right" w:pos="9638"/>
      </w:tabs>
      <w:spacing w:after="0" w:line="240" w:lineRule="auto"/>
    </w:pPr>
    <w:rPr>
      <w:rFonts w:eastAsiaTheme="minorHAnsi"/>
      <w:sz w:val="16"/>
      <w:szCs w:val="16"/>
      <w:lang w:eastAsia="en-US"/>
    </w:rPr>
  </w:style>
  <w:style w:type="paragraph" w:customStyle="1" w:styleId="980E0BC09A6A44C5B61507D7633E751A7">
    <w:name w:val="980E0BC09A6A44C5B61507D7633E751A7"/>
    <w:rsid w:val="00B24CA6"/>
    <w:pPr>
      <w:spacing w:after="0" w:line="260" w:lineRule="atLeast"/>
    </w:pPr>
    <w:rPr>
      <w:rFonts w:eastAsiaTheme="minorHAnsi"/>
      <w:lang w:eastAsia="en-US"/>
    </w:rPr>
  </w:style>
  <w:style w:type="paragraph" w:customStyle="1" w:styleId="2B681AD5737D4922994A94D8D634100711">
    <w:name w:val="2B681AD5737D4922994A94D8D634100711"/>
    <w:rsid w:val="00B24CA6"/>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C9DD0238A61240D0AC199EA3542086C96">
    <w:name w:val="C9DD0238A61240D0AC199EA3542086C96"/>
    <w:rsid w:val="00B24CA6"/>
    <w:pPr>
      <w:spacing w:line="260" w:lineRule="atLeast"/>
      <w:jc w:val="center"/>
    </w:pPr>
    <w:rPr>
      <w:rFonts w:eastAsiaTheme="minorHAnsi"/>
      <w:b/>
      <w:caps/>
    </w:rPr>
  </w:style>
  <w:style w:type="paragraph" w:customStyle="1" w:styleId="EE96421251444573B6897316BD48B66F6">
    <w:name w:val="EE96421251444573B6897316BD48B66F6"/>
    <w:rsid w:val="00B24CA6"/>
    <w:pPr>
      <w:spacing w:line="260" w:lineRule="atLeast"/>
      <w:jc w:val="center"/>
    </w:pPr>
    <w:rPr>
      <w:rFonts w:eastAsiaTheme="minorHAnsi"/>
      <w:b/>
      <w:caps/>
    </w:rPr>
  </w:style>
  <w:style w:type="paragraph" w:customStyle="1" w:styleId="A39ACD97DB174FFCABCA97DB23D742F56">
    <w:name w:val="A39ACD97DB174FFCABCA97DB23D742F56"/>
    <w:rsid w:val="00B24CA6"/>
    <w:pPr>
      <w:spacing w:line="260" w:lineRule="atLeast"/>
      <w:jc w:val="center"/>
    </w:pPr>
    <w:rPr>
      <w:rFonts w:eastAsiaTheme="minorHAnsi"/>
      <w:b/>
      <w:caps/>
    </w:rPr>
  </w:style>
  <w:style w:type="paragraph" w:customStyle="1" w:styleId="F8523E93FFA144408B56CB9B5A004C8A5">
    <w:name w:val="F8523E93FFA144408B56CB9B5A004C8A5"/>
    <w:rsid w:val="00B24CA6"/>
    <w:pPr>
      <w:tabs>
        <w:tab w:val="right" w:pos="9638"/>
      </w:tabs>
      <w:spacing w:after="0" w:line="240" w:lineRule="auto"/>
    </w:pPr>
    <w:rPr>
      <w:rFonts w:eastAsiaTheme="minorHAnsi"/>
      <w:sz w:val="16"/>
      <w:szCs w:val="16"/>
      <w:lang w:eastAsia="en-US"/>
    </w:rPr>
  </w:style>
  <w:style w:type="paragraph" w:customStyle="1" w:styleId="970C171108EB48EF965018773F7A3DF45">
    <w:name w:val="970C171108EB48EF965018773F7A3DF45"/>
    <w:rsid w:val="00B24CA6"/>
    <w:pPr>
      <w:tabs>
        <w:tab w:val="right" w:pos="9638"/>
      </w:tabs>
      <w:spacing w:after="0" w:line="240" w:lineRule="auto"/>
    </w:pPr>
    <w:rPr>
      <w:rFonts w:eastAsiaTheme="minorHAnsi"/>
      <w:sz w:val="16"/>
      <w:szCs w:val="16"/>
      <w:lang w:eastAsia="en-US"/>
    </w:rPr>
  </w:style>
  <w:style w:type="paragraph" w:customStyle="1" w:styleId="92BE380C6300430FA99802F71E4D3A475">
    <w:name w:val="92BE380C6300430FA99802F71E4D3A475"/>
    <w:rsid w:val="00B24CA6"/>
    <w:pPr>
      <w:tabs>
        <w:tab w:val="right" w:pos="9638"/>
      </w:tabs>
      <w:spacing w:after="0" w:line="240" w:lineRule="auto"/>
    </w:pPr>
    <w:rPr>
      <w:rFonts w:eastAsiaTheme="minorHAnsi"/>
      <w:sz w:val="16"/>
      <w:szCs w:val="16"/>
      <w:lang w:eastAsia="en-US"/>
    </w:rPr>
  </w:style>
  <w:style w:type="paragraph" w:customStyle="1" w:styleId="980E0BC09A6A44C5B61507D7633E751A8">
    <w:name w:val="980E0BC09A6A44C5B61507D7633E751A8"/>
    <w:rsid w:val="00523F6C"/>
    <w:pPr>
      <w:spacing w:after="0" w:line="260" w:lineRule="atLeast"/>
    </w:pPr>
    <w:rPr>
      <w:rFonts w:eastAsiaTheme="minorHAnsi"/>
      <w:lang w:eastAsia="en-US"/>
    </w:rPr>
  </w:style>
  <w:style w:type="paragraph" w:customStyle="1" w:styleId="2B681AD5737D4922994A94D8D634100712">
    <w:name w:val="2B681AD5737D4922994A94D8D634100712"/>
    <w:rsid w:val="00523F6C"/>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C9DD0238A61240D0AC199EA3542086C97">
    <w:name w:val="C9DD0238A61240D0AC199EA3542086C97"/>
    <w:rsid w:val="00523F6C"/>
    <w:pPr>
      <w:spacing w:line="260" w:lineRule="atLeast"/>
      <w:jc w:val="center"/>
    </w:pPr>
    <w:rPr>
      <w:rFonts w:eastAsiaTheme="minorHAnsi"/>
      <w:b/>
      <w:caps/>
    </w:rPr>
  </w:style>
  <w:style w:type="paragraph" w:customStyle="1" w:styleId="EE96421251444573B6897316BD48B66F7">
    <w:name w:val="EE96421251444573B6897316BD48B66F7"/>
    <w:rsid w:val="00523F6C"/>
    <w:pPr>
      <w:spacing w:line="260" w:lineRule="atLeast"/>
      <w:jc w:val="center"/>
    </w:pPr>
    <w:rPr>
      <w:rFonts w:eastAsiaTheme="minorHAnsi"/>
      <w:b/>
      <w:caps/>
    </w:rPr>
  </w:style>
  <w:style w:type="paragraph" w:customStyle="1" w:styleId="A39ACD97DB174FFCABCA97DB23D742F57">
    <w:name w:val="A39ACD97DB174FFCABCA97DB23D742F57"/>
    <w:rsid w:val="00523F6C"/>
    <w:pPr>
      <w:spacing w:line="260" w:lineRule="atLeast"/>
      <w:jc w:val="center"/>
    </w:pPr>
    <w:rPr>
      <w:rFonts w:eastAsiaTheme="minorHAnsi"/>
      <w:b/>
      <w:caps/>
    </w:rPr>
  </w:style>
  <w:style w:type="paragraph" w:customStyle="1" w:styleId="F8523E93FFA144408B56CB9B5A004C8A6">
    <w:name w:val="F8523E93FFA144408B56CB9B5A004C8A6"/>
    <w:rsid w:val="00523F6C"/>
    <w:pPr>
      <w:tabs>
        <w:tab w:val="right" w:pos="9638"/>
      </w:tabs>
      <w:spacing w:after="0" w:line="240" w:lineRule="auto"/>
    </w:pPr>
    <w:rPr>
      <w:rFonts w:eastAsiaTheme="minorHAnsi"/>
      <w:sz w:val="16"/>
      <w:szCs w:val="16"/>
      <w:lang w:eastAsia="en-US"/>
    </w:rPr>
  </w:style>
  <w:style w:type="paragraph" w:customStyle="1" w:styleId="970C171108EB48EF965018773F7A3DF46">
    <w:name w:val="970C171108EB48EF965018773F7A3DF46"/>
    <w:rsid w:val="00523F6C"/>
    <w:pPr>
      <w:tabs>
        <w:tab w:val="right" w:pos="9638"/>
      </w:tabs>
      <w:spacing w:after="0" w:line="240" w:lineRule="auto"/>
    </w:pPr>
    <w:rPr>
      <w:rFonts w:eastAsiaTheme="minorHAnsi"/>
      <w:sz w:val="16"/>
      <w:szCs w:val="16"/>
      <w:lang w:eastAsia="en-US"/>
    </w:rPr>
  </w:style>
  <w:style w:type="paragraph" w:customStyle="1" w:styleId="92BE380C6300430FA99802F71E4D3A476">
    <w:name w:val="92BE380C6300430FA99802F71E4D3A476"/>
    <w:rsid w:val="00523F6C"/>
    <w:pPr>
      <w:tabs>
        <w:tab w:val="right" w:pos="9638"/>
      </w:tabs>
      <w:spacing w:after="0" w:line="240" w:lineRule="auto"/>
    </w:pPr>
    <w:rPr>
      <w:rFonts w:eastAsiaTheme="minorHAnsi"/>
      <w:sz w:val="16"/>
      <w:szCs w:val="16"/>
      <w:lang w:eastAsia="en-US"/>
    </w:rPr>
  </w:style>
  <w:style w:type="paragraph" w:customStyle="1" w:styleId="980E0BC09A6A44C5B61507D7633E751A9">
    <w:name w:val="980E0BC09A6A44C5B61507D7633E751A9"/>
    <w:rsid w:val="00AE43EB"/>
    <w:pPr>
      <w:spacing w:after="0" w:line="260" w:lineRule="atLeast"/>
    </w:pPr>
    <w:rPr>
      <w:rFonts w:eastAsiaTheme="minorHAnsi"/>
      <w:lang w:eastAsia="en-US"/>
    </w:rPr>
  </w:style>
  <w:style w:type="paragraph" w:customStyle="1" w:styleId="2B681AD5737D4922994A94D8D634100713">
    <w:name w:val="2B681AD5737D4922994A94D8D634100713"/>
    <w:rsid w:val="00AE43EB"/>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C9DD0238A61240D0AC199EA3542086C98">
    <w:name w:val="C9DD0238A61240D0AC199EA3542086C98"/>
    <w:rsid w:val="00AE43EB"/>
    <w:pPr>
      <w:spacing w:line="260" w:lineRule="atLeast"/>
      <w:jc w:val="center"/>
    </w:pPr>
    <w:rPr>
      <w:rFonts w:eastAsiaTheme="minorHAnsi"/>
      <w:b/>
      <w:caps/>
    </w:rPr>
  </w:style>
  <w:style w:type="paragraph" w:customStyle="1" w:styleId="EE96421251444573B6897316BD48B66F8">
    <w:name w:val="EE96421251444573B6897316BD48B66F8"/>
    <w:rsid w:val="00AE43EB"/>
    <w:pPr>
      <w:spacing w:line="260" w:lineRule="atLeast"/>
      <w:jc w:val="center"/>
    </w:pPr>
    <w:rPr>
      <w:rFonts w:eastAsiaTheme="minorHAnsi"/>
      <w:b/>
      <w:caps/>
    </w:rPr>
  </w:style>
  <w:style w:type="paragraph" w:customStyle="1" w:styleId="A39ACD97DB174FFCABCA97DB23D742F58">
    <w:name w:val="A39ACD97DB174FFCABCA97DB23D742F58"/>
    <w:rsid w:val="00AE43EB"/>
    <w:pPr>
      <w:spacing w:line="260" w:lineRule="atLeast"/>
      <w:jc w:val="center"/>
    </w:pPr>
    <w:rPr>
      <w:rFonts w:eastAsiaTheme="minorHAnsi"/>
      <w:b/>
      <w:caps/>
    </w:rPr>
  </w:style>
  <w:style w:type="paragraph" w:customStyle="1" w:styleId="184E481C97614ACFA5029A0F885399E6">
    <w:name w:val="184E481C97614ACFA5029A0F885399E6"/>
    <w:rsid w:val="00AE43EB"/>
    <w:pPr>
      <w:tabs>
        <w:tab w:val="center" w:pos="4513"/>
        <w:tab w:val="right" w:pos="9026"/>
      </w:tabs>
      <w:spacing w:after="220" w:line="240" w:lineRule="auto"/>
    </w:pPr>
    <w:rPr>
      <w:rFonts w:eastAsiaTheme="minorHAnsi"/>
      <w:lang w:eastAsia="en-US"/>
    </w:rPr>
  </w:style>
  <w:style w:type="paragraph" w:customStyle="1" w:styleId="F8523E93FFA144408B56CB9B5A004C8A7">
    <w:name w:val="F8523E93FFA144408B56CB9B5A004C8A7"/>
    <w:rsid w:val="00AE43EB"/>
    <w:pPr>
      <w:tabs>
        <w:tab w:val="right" w:pos="9638"/>
      </w:tabs>
      <w:spacing w:after="0" w:line="240" w:lineRule="auto"/>
    </w:pPr>
    <w:rPr>
      <w:rFonts w:eastAsiaTheme="minorHAnsi"/>
      <w:sz w:val="16"/>
      <w:szCs w:val="16"/>
      <w:lang w:eastAsia="en-US"/>
    </w:rPr>
  </w:style>
  <w:style w:type="paragraph" w:customStyle="1" w:styleId="970C171108EB48EF965018773F7A3DF47">
    <w:name w:val="970C171108EB48EF965018773F7A3DF47"/>
    <w:rsid w:val="00AE43EB"/>
    <w:pPr>
      <w:tabs>
        <w:tab w:val="right" w:pos="9638"/>
      </w:tabs>
      <w:spacing w:after="0" w:line="240" w:lineRule="auto"/>
    </w:pPr>
    <w:rPr>
      <w:rFonts w:eastAsiaTheme="minorHAnsi"/>
      <w:sz w:val="16"/>
      <w:szCs w:val="16"/>
      <w:lang w:eastAsia="en-US"/>
    </w:rPr>
  </w:style>
  <w:style w:type="paragraph" w:customStyle="1" w:styleId="92BE380C6300430FA99802F71E4D3A477">
    <w:name w:val="92BE380C6300430FA99802F71E4D3A477"/>
    <w:rsid w:val="00AE43EB"/>
    <w:pPr>
      <w:tabs>
        <w:tab w:val="right" w:pos="9638"/>
      </w:tabs>
      <w:spacing w:after="0" w:line="240" w:lineRule="auto"/>
    </w:pPr>
    <w:rPr>
      <w:rFonts w:eastAsiaTheme="minorHAnsi"/>
      <w:sz w:val="16"/>
      <w:szCs w:val="16"/>
      <w:lang w:eastAsia="en-US"/>
    </w:rPr>
  </w:style>
  <w:style w:type="paragraph" w:customStyle="1" w:styleId="980E0BC09A6A44C5B61507D7633E751A10">
    <w:name w:val="980E0BC09A6A44C5B61507D7633E751A10"/>
    <w:rsid w:val="00046D04"/>
    <w:pPr>
      <w:spacing w:after="0" w:line="260" w:lineRule="atLeast"/>
    </w:pPr>
    <w:rPr>
      <w:rFonts w:eastAsiaTheme="minorHAnsi"/>
      <w:lang w:eastAsia="en-US"/>
    </w:rPr>
  </w:style>
  <w:style w:type="paragraph" w:customStyle="1" w:styleId="2B681AD5737D4922994A94D8D634100714">
    <w:name w:val="2B681AD5737D4922994A94D8D634100714"/>
    <w:rsid w:val="00046D04"/>
    <w:pPr>
      <w:spacing w:before="200" w:after="200" w:line="260" w:lineRule="atLeast"/>
      <w:contextualSpacing/>
      <w:jc w:val="center"/>
    </w:pPr>
    <w:rPr>
      <w:rFonts w:eastAsiaTheme="minorHAnsi"/>
      <w:bCs/>
      <w:color w:val="E7E6E6" w:themeColor="background2"/>
      <w:kern w:val="40"/>
      <w:sz w:val="80"/>
      <w:szCs w:val="80"/>
      <w:lang w:eastAsia="en-US"/>
    </w:rPr>
  </w:style>
  <w:style w:type="paragraph" w:customStyle="1" w:styleId="C9DD0238A61240D0AC199EA3542086C99">
    <w:name w:val="C9DD0238A61240D0AC199EA3542086C99"/>
    <w:rsid w:val="00046D04"/>
    <w:pPr>
      <w:spacing w:line="260" w:lineRule="atLeast"/>
      <w:jc w:val="center"/>
    </w:pPr>
    <w:rPr>
      <w:rFonts w:eastAsiaTheme="minorHAnsi"/>
      <w:b/>
      <w:caps/>
    </w:rPr>
  </w:style>
  <w:style w:type="paragraph" w:customStyle="1" w:styleId="EE96421251444573B6897316BD48B66F9">
    <w:name w:val="EE96421251444573B6897316BD48B66F9"/>
    <w:rsid w:val="00046D04"/>
    <w:pPr>
      <w:spacing w:line="260" w:lineRule="atLeast"/>
      <w:jc w:val="center"/>
    </w:pPr>
    <w:rPr>
      <w:rFonts w:eastAsiaTheme="minorHAnsi"/>
      <w:b/>
      <w:caps/>
    </w:rPr>
  </w:style>
  <w:style w:type="paragraph" w:customStyle="1" w:styleId="A39ACD97DB174FFCABCA97DB23D742F59">
    <w:name w:val="A39ACD97DB174FFCABCA97DB23D742F59"/>
    <w:rsid w:val="00046D04"/>
    <w:pPr>
      <w:spacing w:line="260" w:lineRule="atLeast"/>
      <w:jc w:val="center"/>
    </w:pPr>
    <w:rPr>
      <w:rFonts w:eastAsiaTheme="minorHAnsi"/>
      <w:b/>
      <w:caps/>
    </w:rPr>
  </w:style>
  <w:style w:type="paragraph" w:customStyle="1" w:styleId="184E481C97614ACFA5029A0F885399E61">
    <w:name w:val="184E481C97614ACFA5029A0F885399E61"/>
    <w:rsid w:val="00046D04"/>
    <w:pPr>
      <w:tabs>
        <w:tab w:val="center" w:pos="4513"/>
        <w:tab w:val="right" w:pos="9026"/>
      </w:tabs>
      <w:spacing w:after="220" w:line="240" w:lineRule="auto"/>
    </w:pPr>
    <w:rPr>
      <w:rFonts w:eastAsiaTheme="minorHAnsi"/>
      <w:lang w:eastAsia="en-US"/>
    </w:rPr>
  </w:style>
  <w:style w:type="paragraph" w:customStyle="1" w:styleId="F8523E93FFA144408B56CB9B5A004C8A8">
    <w:name w:val="F8523E93FFA144408B56CB9B5A004C8A8"/>
    <w:rsid w:val="00046D04"/>
    <w:pPr>
      <w:tabs>
        <w:tab w:val="right" w:pos="9638"/>
      </w:tabs>
      <w:spacing w:after="0" w:line="240" w:lineRule="auto"/>
    </w:pPr>
    <w:rPr>
      <w:rFonts w:eastAsiaTheme="minorHAnsi"/>
      <w:sz w:val="16"/>
      <w:szCs w:val="16"/>
      <w:lang w:eastAsia="en-US"/>
    </w:rPr>
  </w:style>
  <w:style w:type="paragraph" w:customStyle="1" w:styleId="970C171108EB48EF965018773F7A3DF48">
    <w:name w:val="970C171108EB48EF965018773F7A3DF48"/>
    <w:rsid w:val="00046D04"/>
    <w:pPr>
      <w:tabs>
        <w:tab w:val="right" w:pos="9638"/>
      </w:tabs>
      <w:spacing w:after="0" w:line="240" w:lineRule="auto"/>
    </w:pPr>
    <w:rPr>
      <w:rFonts w:eastAsiaTheme="minorHAnsi"/>
      <w:sz w:val="16"/>
      <w:szCs w:val="16"/>
      <w:lang w:eastAsia="en-US"/>
    </w:rPr>
  </w:style>
  <w:style w:type="paragraph" w:customStyle="1" w:styleId="92BE380C6300430FA99802F71E4D3A478">
    <w:name w:val="92BE380C6300430FA99802F71E4D3A478"/>
    <w:rsid w:val="00046D04"/>
    <w:pPr>
      <w:tabs>
        <w:tab w:val="right" w:pos="9638"/>
      </w:tabs>
      <w:spacing w:after="0" w:line="240" w:lineRule="auto"/>
    </w:pPr>
    <w:rPr>
      <w:rFonts w:eastAsiaTheme="minorHAnsi"/>
      <w:sz w:val="16"/>
      <w:szCs w:val="16"/>
      <w:lang w:eastAsia="en-US"/>
    </w:rPr>
  </w:style>
  <w:style w:type="paragraph" w:customStyle="1" w:styleId="9FB4270EBD1C47EE926BAB71D106919F">
    <w:name w:val="9FB4270EBD1C47EE926BAB71D106919F"/>
    <w:rsid w:val="00A8117D"/>
    <w:rPr>
      <w:lang w:val="en-US" w:eastAsia="en-US"/>
    </w:rPr>
  </w:style>
  <w:style w:type="paragraph" w:customStyle="1" w:styleId="E6D894B2731A45CB802A8E20FFA802A5">
    <w:name w:val="E6D894B2731A45CB802A8E20FFA802A5"/>
    <w:rsid w:val="00A8117D"/>
    <w:rPr>
      <w:lang w:val="en-US" w:eastAsia="en-US"/>
    </w:rPr>
  </w:style>
  <w:style w:type="paragraph" w:customStyle="1" w:styleId="E6D894B2731A45CB802A8E20FFA802A51">
    <w:name w:val="E6D894B2731A45CB802A8E20FFA802A51"/>
    <w:rsid w:val="00A8117D"/>
    <w:pPr>
      <w:spacing w:before="200" w:after="200" w:line="240" w:lineRule="atLeast"/>
      <w:contextualSpacing/>
      <w:jc w:val="center"/>
    </w:pPr>
    <w:rPr>
      <w:rFonts w:ascii="Arial" w:eastAsiaTheme="minorHAnsi" w:hAnsi="Arial"/>
      <w:bCs/>
      <w:color w:val="E7E6E6" w:themeColor="background2"/>
      <w:kern w:val="40"/>
      <w:sz w:val="80"/>
      <w:szCs w:val="8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F Black">
      <a:dk1>
        <a:srgbClr val="404040"/>
      </a:dk1>
      <a:lt1>
        <a:sysClr val="window" lastClr="FFFFFF"/>
      </a:lt1>
      <a:dk2>
        <a:srgbClr val="FFFFFF"/>
      </a:dk2>
      <a:lt2>
        <a:srgbClr val="1E1E1E"/>
      </a:lt2>
      <a:accent1>
        <a:srgbClr val="C7C8CA"/>
      </a:accent1>
      <a:accent2>
        <a:srgbClr val="939598"/>
      </a:accent2>
      <a:accent3>
        <a:srgbClr val="636466"/>
      </a:accent3>
      <a:accent4>
        <a:srgbClr val="CD202C"/>
      </a:accent4>
      <a:accent5>
        <a:srgbClr val="0055AA"/>
      </a:accent5>
      <a:accent6>
        <a:srgbClr val="FFAA22"/>
      </a:accent6>
      <a:hlink>
        <a:srgbClr val="0563C1"/>
      </a:hlink>
      <a:folHlink>
        <a:srgbClr val="954F72"/>
      </a:folHlink>
    </a:clrScheme>
    <a:fontScheme name="Global Fund">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a03ac030-8fc0-429e-a59d-aec15056182b">3NAZ7T4E3CZ3-539361286-731</_dlc_DocId>
    <_dlc_DocIdUrl xmlns="a03ac030-8fc0-429e-a59d-aec15056182b">
      <Url>https://tgf.sharepoint.com/sites/TSA2F1/A2FD/_layouts/15/DocIdRedir.aspx?ID=3NAZ7T4E3CZ3-539361286-731</Url>
      <Description>3NAZ7T4E3CZ3-539361286-731</Description>
    </_dlc_DocIdUrl>
    <Note xmlns="2219519e-2df8-4e68-9bc8-47ece53c639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king Document" ma:contentTypeID="0x010100DB1926E75FE6D448A94BA4FC7E9CAC0400EB82F3FDC0493647B521A7A424B5B012" ma:contentTypeVersion="8" ma:contentTypeDescription=" Working Document (0 years retention period)" ma:contentTypeScope="" ma:versionID="2e9cd3450a7698f9077782a12829d500">
  <xsd:schema xmlns:xsd="http://www.w3.org/2001/XMLSchema" xmlns:xs="http://www.w3.org/2001/XMLSchema" xmlns:p="http://schemas.microsoft.com/office/2006/metadata/properties" xmlns:ns2="a03ac030-8fc0-429e-a59d-aec15056182b" xmlns:ns3="http://schemas.microsoft.com/sharepoint/v4" xmlns:ns4="2219519e-2df8-4e68-9bc8-47ece53c639c" targetNamespace="http://schemas.microsoft.com/office/2006/metadata/properties" ma:root="true" ma:fieldsID="32a84c95add331215c70071da39b10c5" ns2:_="" ns3:_="" ns4:_="">
    <xsd:import namespace="a03ac030-8fc0-429e-a59d-aec15056182b"/>
    <xsd:import namespace="http://schemas.microsoft.com/sharepoint/v4"/>
    <xsd:import namespace="2219519e-2df8-4e68-9bc8-47ece53c639c"/>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MediaServiceMetadata" minOccurs="0"/>
                <xsd:element ref="ns4:MediaServiceFastMetadata" minOccurs="0"/>
                <xsd:element ref="ns4:MediaServiceAutoKeyPoints" minOccurs="0"/>
                <xsd:element ref="ns4:MediaServiceKeyPoints" minOccurs="0"/>
                <xsd:element ref="ns4:N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ac030-8fc0-429e-a59d-aec15056182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19519e-2df8-4e68-9bc8-47ece53c639c"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 ma:index="16" nillable="true" ma:displayName="Note" ma:format="Dropdown" ma:internalName="No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TemplafyFormConfiguration><![CDATA[{"formFields":[{"dataSource":"ColourThemes","displayColumn":"displayName","hideIfNoUserInteractionRequired":false,"distinct":true,"required":true,"defaultValue":"3","autoSelectFirstOption":false,"type":"dropDown","name":"ColourTheme","label":"Colour theme","helpTexts":{"prefix":"","postfix":""},"spacing":{},"fullyQualifiedName":"ColourTheme"},{"type":"heading","name":"ReportHeadingA","label":"Items for title page and footer text","helpTexts":{"prefix":"","postfix":""},"spacing":{},"fullyQualifiedName":"ReportHeadingA"},{"type":"instructions","name":"ReportInstructionsA","label":"The date, location and country will appear on the front sheet and in the footer of the main part of the document.","helpTexts":{"prefix":"","postfix":""},"spacing":{},"fullyQualifiedName":"ReportInstructionsA"},{"required":true,"type":"datePicker","name":"ReportDate","label":"Document date","helpTexts":{"prefix":"","postfix":""},"spacing":{},"fullyQualifiedName":"ReportDate"},{"required":true,"placeholder":"","lines":0,"defaultValue":"Geneva","type":"textBox","name":"ReportLocation","label":"Location","helpTexts":{"prefix":"","postfix":"The entry on the title page will not be updatable through this form."},"spacing":{},"fullyQualifiedName":"ReportLocation"},{"required":true,"placeholder":"","lines":0,"defaultValue":"Switzerland","type":"textBox","name":"ReportCountry","label":"Country","helpTexts":{"prefix":"","postfix":"The entry on the title page will not be updatable through this form."},"spacing":{},"fullyQualifiedName":"ReportCountry"}],"formDataEntries":[{"name":"ColourTheme","value":"PHxKaO3dKTWBZQ8bFHvPTA=="},{"name":"ReportLocation","value":"TWCzxzGaVv/noqKfmWFd3g=="},{"name":"ReportCountry","value":"nBoaWl++UMM5RwVrtZXUvg=="}]}]]></TemplafyFormConfiguration>
</file>

<file path=customXml/item6.xml><?xml version="1.0" encoding="utf-8"?>
<TemplafyTemplateConfiguration><![CDATA[{"elementsMetadata":[{"type":"richTextContentControl","id":"12bec168-d80f-4ad3-b827-e94b457987f4","elementConfiguration":{"format":"d MMMM yyyy","binding":"Form.ReportDate","removeAndKeepContent":false,"disableUpdates":false,"type":"date"}},{"type":"richTextContentControl","id":"fe01dc37-8ac1-4b47-a65d-6e38f83aed95","elementConfiguration":{"binding":"Form.ReportLocation","removeAndKeepContent":false,"disableUpdates":false,"type":"text"}},{"type":"richTextContentControl","id":"a25d74cb-6c4b-40fa-9ec1-ddd0a35393d3","elementConfiguration":{"binding":"Form.ReportCountry","removeAndKeepContent":false,"disableUpdates":false,"type":"text"}},{"type":"richTextContentControl","id":"df3addba-5040-40ab-9b8a-156bd632013e","elementConfiguration":{"binding":"Form.ReportLocation","removeAndKeepContent":false,"disableUpdates":false,"type":"text"}},{"type":"richTextContentControl","id":"c0e2ba74-3394-4c55-b0cc-2fc8a393067e","elementConfiguration":{"binding":"Form.ReportCountry","removeAndKeepContent":false,"disableUpdates":false,"type":"text"}},{"type":"richTextContentControl","id":"227033cd-8895-47c3-9030-98457c383c51","elementConfiguration":{"format":"d MMMM yyyy","binding":"Form.ReportDate","removeAndKeepContent":false,"disableUpdates":false,"type":"date"}},{"type":"richTextContentControl","id":"15b78cde-5b03-4a4d-a494-ede7e8fb7397","elementConfiguration":{"binding":"Form.ReportLocation","removeAndKeepContent":false,"disableUpdates":false,"type":"text"}},{"type":"richTextContentControl","id":"44816cc2-e3cd-4b49-ba70-f976ad9120f6","elementConfiguration":{"binding":"Form.ReportCountry","removeAndKeepContent":false,"disableUpdates":false,"type":"text"}}],"transformationConfigurations":[{"colorTheme":"{{Form.ColourTheme.ThemeName}}","originalColorThemeXml":"<a:clrScheme name=\"GF Green\" xmlns:a=\"http://schemas.openxmlformats.org/drawingml/2006/main\"><a:dk1><a:srgbClr val=\"404040\" /></a:dk1><a:lt1><a:sysClr val=\"window\" lastClr=\"FFFFFF\" /></a:lt1><a:dk2><a:srgbClr val=\"F0F8EA\" /></a:dk2><a:lt2><a:srgbClr val=\"69BE28\" /></a:lt2><a:accent1><a:srgbClr val=\"D4EAC0\" /></a:accent1><a:accent2><a:srgbClr val=\"B7DD97\" /></a:accent2><a:accent3><a:srgbClr val=\"8CC95A\" /></a:accent3><a:accent4><a:srgbClr val=\"00B0CA\" /></a:accent4><a:accent5><a:srgbClr val=\"9A996E\" /></a:accent5><a:accent6><a:srgbClr val=\"9A996E\" /></a:accent6><a:hlink><a:srgbClr val=\"0563C1\" /></a:hlink><a:folHlink><a:srgbClr val=\"954F72\" /></a:folHlink></a:clrScheme>","disableUpdates":false,"type":"colorTheme"},{"propertyName":"Language","propertyValue":"en-US","disableUpdates":false,"type":"customDocumentProperty"},{"language":"en-US","disableUpdates":false,"type":"proofingLanguage"}],"isBaseTemplate":false,"templateName":"Report 1 Column","templateDescription":"","enableDocumentContentUpdater":true,"version":"1.3"}]]></TemplafyTemplateConfiguration>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118EE-6514-479C-9377-81C10756DC9A}">
  <ds:schemaRefs>
    <ds:schemaRef ds:uri="http://schemas.microsoft.com/sharepoint/events"/>
  </ds:schemaRefs>
</ds:datastoreItem>
</file>

<file path=customXml/itemProps2.xml><?xml version="1.0" encoding="utf-8"?>
<ds:datastoreItem xmlns:ds="http://schemas.openxmlformats.org/officeDocument/2006/customXml" ds:itemID="{B1B133AE-9B08-49ED-96FC-CC948069E978}">
  <ds:schemaRefs>
    <ds:schemaRef ds:uri="http://schemas.microsoft.com/office/2006/metadata/properties"/>
    <ds:schemaRef ds:uri="http://schemas.microsoft.com/office/infopath/2007/PartnerControls"/>
    <ds:schemaRef ds:uri="http://schemas.microsoft.com/sharepoint/v4"/>
    <ds:schemaRef ds:uri="a03ac030-8fc0-429e-a59d-aec15056182b"/>
    <ds:schemaRef ds:uri="2219519e-2df8-4e68-9bc8-47ece53c639c"/>
  </ds:schemaRefs>
</ds:datastoreItem>
</file>

<file path=customXml/itemProps3.xml><?xml version="1.0" encoding="utf-8"?>
<ds:datastoreItem xmlns:ds="http://schemas.openxmlformats.org/officeDocument/2006/customXml" ds:itemID="{22310F86-9454-464A-B6A9-12945F3ED480}">
  <ds:schemaRefs>
    <ds:schemaRef ds:uri="http://schemas.microsoft.com/sharepoint/v3/contenttype/forms"/>
  </ds:schemaRefs>
</ds:datastoreItem>
</file>

<file path=customXml/itemProps4.xml><?xml version="1.0" encoding="utf-8"?>
<ds:datastoreItem xmlns:ds="http://schemas.openxmlformats.org/officeDocument/2006/customXml" ds:itemID="{BE267485-D719-4E6A-BAB2-608726B81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ac030-8fc0-429e-a59d-aec15056182b"/>
    <ds:schemaRef ds:uri="http://schemas.microsoft.com/sharepoint/v4"/>
    <ds:schemaRef ds:uri="2219519e-2df8-4e68-9bc8-47ece53c6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C9D8980-C987-48AF-BFD7-20D6444F7008}">
  <ds:schemaRefs/>
</ds:datastoreItem>
</file>

<file path=customXml/itemProps6.xml><?xml version="1.0" encoding="utf-8"?>
<ds:datastoreItem xmlns:ds="http://schemas.openxmlformats.org/officeDocument/2006/customXml" ds:itemID="{A7AE4FFB-B547-437A-A56E-613A8F346671}">
  <ds:schemaRefs/>
</ds:datastoreItem>
</file>

<file path=customXml/itemProps7.xml><?xml version="1.0" encoding="utf-8"?>
<ds:datastoreItem xmlns:ds="http://schemas.openxmlformats.org/officeDocument/2006/customXml" ds:itemID="{B875DD9F-3498-4D4A-87A0-19E16FD41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15589</Words>
  <Characters>88863</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Phillips</dc:creator>
  <cp:keywords/>
  <dc:description/>
  <cp:lastModifiedBy>eric camacho</cp:lastModifiedBy>
  <cp:revision>17</cp:revision>
  <cp:lastPrinted>2019-10-25T11:25:00Z</cp:lastPrinted>
  <dcterms:created xsi:type="dcterms:W3CDTF">2020-03-13T02:12:00Z</dcterms:created>
  <dcterms:modified xsi:type="dcterms:W3CDTF">2020-03-22T07:11:00Z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theglobalfund</vt:lpwstr>
  </property>
  <property fmtid="{D5CDD505-2E9C-101B-9397-08002B2CF9AE}" pid="3" name="TemplafyTemplateId">
    <vt:lpwstr>636857370821766504</vt:lpwstr>
  </property>
  <property fmtid="{D5CDD505-2E9C-101B-9397-08002B2CF9AE}" pid="4" name="TemplafyUserProfileId">
    <vt:lpwstr>636740640861854487</vt:lpwstr>
  </property>
  <property fmtid="{D5CDD505-2E9C-101B-9397-08002B2CF9AE}" pid="5" name="TemplafyLanguageCode">
    <vt:lpwstr>en-US</vt:lpwstr>
  </property>
  <property fmtid="{D5CDD505-2E9C-101B-9397-08002B2CF9AE}" pid="6" name="Language">
    <vt:lpwstr>en-US</vt:lpwstr>
  </property>
  <property fmtid="{D5CDD505-2E9C-101B-9397-08002B2CF9AE}" pid="7" name="ContentTypeId">
    <vt:lpwstr>0x010100DB1926E75FE6D448A94BA4FC7E9CAC0400EB82F3FDC0493647B521A7A424B5B012</vt:lpwstr>
  </property>
  <property fmtid="{D5CDD505-2E9C-101B-9397-08002B2CF9AE}" pid="8" name="_dlc_DocId">
    <vt:lpwstr>3NAZ7T4E3CZ3-2063355578-4233</vt:lpwstr>
  </property>
  <property fmtid="{D5CDD505-2E9C-101B-9397-08002B2CF9AE}" pid="9" name="_dlc_DocIdUrl">
    <vt:lpwstr>https://tgf.sharepoint.com/sites/TSA2F1/A2FT/_layouts/15/DocIdRedir.aspx?ID=3NAZ7T4E3CZ3-2063355578-4233, 3NAZ7T4E3CZ3-2063355578-4233</vt:lpwstr>
  </property>
  <property fmtid="{D5CDD505-2E9C-101B-9397-08002B2CF9AE}" pid="10" name="_dlc_DocIdItemGuid">
    <vt:lpwstr>9c606bba-bd6b-4883-9349-5ea7ef99f2cf</vt:lpwstr>
  </property>
  <property fmtid="{D5CDD505-2E9C-101B-9397-08002B2CF9AE}" pid="11" name="Order">
    <vt:r8>393300</vt:r8>
  </property>
</Properties>
</file>