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79D96E" w14:textId="77777777" w:rsidR="00155420" w:rsidRDefault="00155420"/>
    <w:tbl>
      <w:tblPr>
        <w:tblStyle w:val="a"/>
        <w:tblW w:w="5458" w:type="dxa"/>
        <w:tblBorders>
          <w:top w:val="single" w:sz="4" w:space="0" w:color="2E4DF9"/>
          <w:left w:val="single" w:sz="4" w:space="0" w:color="2E4DF9"/>
          <w:bottom w:val="single" w:sz="4" w:space="0" w:color="2E4DF9"/>
          <w:right w:val="single" w:sz="4" w:space="0" w:color="2E4DF9"/>
          <w:insideH w:val="single" w:sz="4" w:space="0" w:color="999999"/>
          <w:insideV w:val="single" w:sz="4" w:space="0" w:color="999999"/>
        </w:tblBorders>
        <w:tblLayout w:type="fixed"/>
        <w:tblLook w:val="0400" w:firstRow="0" w:lastRow="0" w:firstColumn="0" w:lastColumn="0" w:noHBand="0" w:noVBand="1"/>
      </w:tblPr>
      <w:tblGrid>
        <w:gridCol w:w="5458"/>
      </w:tblGrid>
      <w:tr w:rsidR="00155420" w14:paraId="15580E6B" w14:textId="77777777">
        <w:trPr>
          <w:cantSplit/>
          <w:trHeight w:val="346"/>
        </w:trPr>
        <w:tc>
          <w:tcPr>
            <w:tcW w:w="5458" w:type="dxa"/>
          </w:tcPr>
          <w:p w14:paraId="4E9716F2" w14:textId="77777777" w:rsidR="00155420" w:rsidRDefault="00E84F93">
            <w:pPr>
              <w:pStyle w:val="Title"/>
            </w:pPr>
            <w:r>
              <w:t>Funding Request Form</w:t>
            </w:r>
          </w:p>
        </w:tc>
      </w:tr>
      <w:tr w:rsidR="00155420" w14:paraId="718933DE" w14:textId="77777777">
        <w:trPr>
          <w:cantSplit/>
          <w:trHeight w:val="20"/>
        </w:trPr>
        <w:tc>
          <w:tcPr>
            <w:tcW w:w="5458" w:type="dxa"/>
          </w:tcPr>
          <w:p w14:paraId="6E2DE3CD" w14:textId="77777777" w:rsidR="00155420" w:rsidRDefault="00E84F93">
            <w:pPr>
              <w:pStyle w:val="Subtitle"/>
              <w:spacing w:after="240"/>
              <w:rPr>
                <w:color w:val="808080"/>
              </w:rPr>
            </w:pPr>
            <w:r>
              <w:rPr>
                <w:color w:val="7F7F7F"/>
                <w:sz w:val="32"/>
                <w:szCs w:val="32"/>
              </w:rPr>
              <w:t>Full Review</w:t>
            </w:r>
          </w:p>
        </w:tc>
      </w:tr>
      <w:tr w:rsidR="00155420" w14:paraId="553ABE87" w14:textId="77777777">
        <w:trPr>
          <w:cantSplit/>
          <w:trHeight w:val="20"/>
        </w:trPr>
        <w:tc>
          <w:tcPr>
            <w:tcW w:w="5458" w:type="dxa"/>
          </w:tcPr>
          <w:p w14:paraId="3797CA5A" w14:textId="77777777" w:rsidR="00155420" w:rsidRDefault="00E84F93">
            <w:pPr>
              <w:pStyle w:val="Subtitle"/>
              <w:spacing w:after="240"/>
              <w:rPr>
                <w:rFonts w:ascii="Arial Black" w:eastAsia="Arial Black" w:hAnsi="Arial Black" w:cs="Arial Black"/>
              </w:rPr>
            </w:pPr>
            <w:r>
              <w:rPr>
                <w:rFonts w:ascii="Arial Black" w:eastAsia="Arial Black" w:hAnsi="Arial Black" w:cs="Arial Black"/>
                <w:sz w:val="32"/>
                <w:szCs w:val="32"/>
              </w:rPr>
              <w:t>Allocation Period 2023-2025</w:t>
            </w:r>
          </w:p>
        </w:tc>
      </w:tr>
      <w:tr w:rsidR="00155420" w14:paraId="6D41EE7F" w14:textId="77777777">
        <w:trPr>
          <w:cantSplit/>
        </w:trPr>
        <w:tc>
          <w:tcPr>
            <w:tcW w:w="5458" w:type="dxa"/>
          </w:tcPr>
          <w:p w14:paraId="49AC2718" w14:textId="77777777" w:rsidR="00155420" w:rsidRDefault="00155420">
            <w:pPr>
              <w:spacing w:line="264" w:lineRule="auto"/>
              <w:rPr>
                <w:rFonts w:ascii="Times New Roman" w:eastAsia="Times New Roman" w:hAnsi="Times New Roman" w:cs="Times New Roman"/>
                <w:sz w:val="28"/>
                <w:szCs w:val="28"/>
              </w:rPr>
            </w:pPr>
          </w:p>
          <w:p w14:paraId="6C64ACB1" w14:textId="77777777" w:rsidR="00155420" w:rsidRDefault="00155420">
            <w:pPr>
              <w:keepNext w:val="0"/>
              <w:pBdr>
                <w:top w:val="nil"/>
                <w:left w:val="nil"/>
                <w:bottom w:val="nil"/>
                <w:right w:val="nil"/>
                <w:between w:val="nil"/>
              </w:pBdr>
              <w:spacing w:before="0" w:line="264" w:lineRule="auto"/>
              <w:ind w:left="0" w:right="0"/>
              <w:rPr>
                <w:color w:val="000000"/>
                <w:sz w:val="16"/>
                <w:szCs w:val="16"/>
              </w:rPr>
            </w:pPr>
          </w:p>
        </w:tc>
      </w:tr>
    </w:tbl>
    <w:p w14:paraId="15676311" w14:textId="77777777" w:rsidR="00155420" w:rsidRDefault="00E84F93">
      <w:pPr>
        <w:pStyle w:val="Heading1"/>
        <w:spacing w:after="360"/>
        <w:rPr>
          <w:b/>
        </w:rPr>
      </w:pPr>
      <w:r>
        <w:rPr>
          <w:b/>
        </w:rPr>
        <w:t>Summary Information</w:t>
      </w:r>
    </w:p>
    <w:p w14:paraId="3A50506D" w14:textId="77777777" w:rsidR="00155420" w:rsidRDefault="00155420">
      <w:pPr>
        <w:spacing w:line="264" w:lineRule="auto"/>
        <w:rPr>
          <w:color w:val="7F7F7F"/>
          <w:sz w:val="24"/>
          <w:szCs w:val="24"/>
        </w:rPr>
      </w:pPr>
      <w:bookmarkStart w:id="0" w:name="_gjdgxs" w:colFirst="0" w:colLast="0"/>
      <w:bookmarkEnd w:id="0"/>
    </w:p>
    <w:tbl>
      <w:tblPr>
        <w:tblStyle w:val="a0"/>
        <w:tblW w:w="99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4406"/>
        <w:gridCol w:w="5501"/>
      </w:tblGrid>
      <w:tr w:rsidR="00155420" w14:paraId="72A18A9C" w14:textId="77777777" w:rsidTr="00155420">
        <w:trPr>
          <w:cnfStyle w:val="000000100000" w:firstRow="0" w:lastRow="0" w:firstColumn="0" w:lastColumn="0" w:oddVBand="0" w:evenVBand="0" w:oddHBand="1" w:evenHBand="0" w:firstRowFirstColumn="0" w:firstRowLastColumn="0" w:lastRowFirstColumn="0" w:lastRowLastColumn="0"/>
          <w:cantSplit/>
          <w:trHeight w:val="340"/>
        </w:trPr>
        <w:tc>
          <w:tcPr>
            <w:tcW w:w="4406" w:type="dxa"/>
            <w:tcBorders>
              <w:bottom w:val="nil"/>
            </w:tcBorders>
            <w:shd w:val="clear" w:color="auto" w:fill="F2F2F2"/>
          </w:tcPr>
          <w:p w14:paraId="362A49DA" w14:textId="77777777" w:rsidR="00155420" w:rsidRDefault="00E84F93">
            <w:pPr>
              <w:keepNext w:val="0"/>
              <w:pBdr>
                <w:top w:val="nil"/>
                <w:left w:val="nil"/>
                <w:bottom w:val="nil"/>
                <w:right w:val="nil"/>
                <w:between w:val="nil"/>
              </w:pBdr>
              <w:spacing w:before="0" w:line="264" w:lineRule="auto"/>
              <w:ind w:left="0" w:right="0"/>
              <w:rPr>
                <w:color w:val="000000"/>
              </w:rPr>
            </w:pPr>
            <w:r>
              <w:rPr>
                <w:color w:val="000000"/>
              </w:rPr>
              <w:t>Country(s)</w:t>
            </w:r>
          </w:p>
        </w:tc>
        <w:tc>
          <w:tcPr>
            <w:tcW w:w="5501" w:type="dxa"/>
            <w:tcBorders>
              <w:bottom w:val="nil"/>
            </w:tcBorders>
          </w:tcPr>
          <w:p w14:paraId="0F600B63" w14:textId="77777777" w:rsidR="00155420" w:rsidRDefault="00E84F93">
            <w:pPr>
              <w:keepNext w:val="0"/>
              <w:pBdr>
                <w:top w:val="nil"/>
                <w:left w:val="nil"/>
                <w:bottom w:val="nil"/>
                <w:right w:val="nil"/>
                <w:between w:val="nil"/>
              </w:pBdr>
              <w:spacing w:before="0" w:line="264" w:lineRule="auto"/>
              <w:ind w:left="0" w:right="0"/>
              <w:rPr>
                <w:color w:val="000000"/>
              </w:rPr>
            </w:pPr>
            <w:r>
              <w:rPr>
                <w:color w:val="000000"/>
              </w:rPr>
              <w:t>Philippines</w:t>
            </w:r>
          </w:p>
        </w:tc>
      </w:tr>
      <w:tr w:rsidR="00155420" w14:paraId="66B8238E" w14:textId="77777777" w:rsidTr="00155420">
        <w:trPr>
          <w:cnfStyle w:val="000000010000" w:firstRow="0" w:lastRow="0" w:firstColumn="0" w:lastColumn="0" w:oddVBand="0" w:evenVBand="0" w:oddHBand="0" w:evenHBand="1" w:firstRowFirstColumn="0" w:firstRowLastColumn="0" w:lastRowFirstColumn="0" w:lastRowLastColumn="0"/>
          <w:cantSplit/>
          <w:trHeight w:val="340"/>
        </w:trPr>
        <w:tc>
          <w:tcPr>
            <w:tcW w:w="4406" w:type="dxa"/>
            <w:tcBorders>
              <w:bottom w:val="nil"/>
            </w:tcBorders>
            <w:shd w:val="clear" w:color="auto" w:fill="F2F2F2"/>
          </w:tcPr>
          <w:p w14:paraId="3A4F84F9" w14:textId="77777777" w:rsidR="00155420" w:rsidRDefault="00E84F93">
            <w:pPr>
              <w:keepNext w:val="0"/>
              <w:pBdr>
                <w:top w:val="nil"/>
                <w:left w:val="nil"/>
                <w:bottom w:val="nil"/>
                <w:right w:val="nil"/>
                <w:between w:val="nil"/>
              </w:pBdr>
              <w:spacing w:before="0" w:line="264" w:lineRule="auto"/>
              <w:ind w:left="0" w:right="0"/>
              <w:rPr>
                <w:color w:val="000000"/>
              </w:rPr>
            </w:pPr>
            <w:r>
              <w:rPr>
                <w:color w:val="000000"/>
              </w:rPr>
              <w:t>Component(s)</w:t>
            </w:r>
          </w:p>
        </w:tc>
        <w:tc>
          <w:tcPr>
            <w:tcW w:w="5501" w:type="dxa"/>
            <w:tcBorders>
              <w:bottom w:val="nil"/>
            </w:tcBorders>
          </w:tcPr>
          <w:p w14:paraId="17AD1981" w14:textId="77777777" w:rsidR="00155420" w:rsidRDefault="00E84F93">
            <w:pPr>
              <w:keepNext w:val="0"/>
              <w:pBdr>
                <w:top w:val="nil"/>
                <w:left w:val="nil"/>
                <w:bottom w:val="nil"/>
                <w:right w:val="nil"/>
                <w:between w:val="nil"/>
              </w:pBdr>
              <w:spacing w:before="0" w:line="264" w:lineRule="auto"/>
              <w:ind w:left="0" w:right="0"/>
              <w:rPr>
                <w:color w:val="000000"/>
              </w:rPr>
            </w:pPr>
            <w:r>
              <w:rPr>
                <w:color w:val="000000"/>
              </w:rPr>
              <w:t>Tuberculosis</w:t>
            </w:r>
          </w:p>
        </w:tc>
      </w:tr>
      <w:tr w:rsidR="00155420" w14:paraId="0324C722" w14:textId="77777777" w:rsidTr="00155420">
        <w:trPr>
          <w:cnfStyle w:val="000000100000" w:firstRow="0" w:lastRow="0" w:firstColumn="0" w:lastColumn="0" w:oddVBand="0" w:evenVBand="0" w:oddHBand="1" w:evenHBand="0" w:firstRowFirstColumn="0" w:firstRowLastColumn="0" w:lastRowFirstColumn="0" w:lastRowLastColumn="0"/>
          <w:cantSplit/>
          <w:trHeight w:val="340"/>
        </w:trPr>
        <w:tc>
          <w:tcPr>
            <w:tcW w:w="4406" w:type="dxa"/>
            <w:tcBorders>
              <w:bottom w:val="nil"/>
            </w:tcBorders>
            <w:shd w:val="clear" w:color="auto" w:fill="F2F2F2"/>
          </w:tcPr>
          <w:p w14:paraId="4138F98B" w14:textId="77777777" w:rsidR="00155420" w:rsidRDefault="00E84F93">
            <w:pPr>
              <w:keepNext w:val="0"/>
              <w:pBdr>
                <w:top w:val="nil"/>
                <w:left w:val="nil"/>
                <w:bottom w:val="nil"/>
                <w:right w:val="nil"/>
                <w:between w:val="nil"/>
              </w:pBdr>
              <w:spacing w:before="0" w:line="264" w:lineRule="auto"/>
              <w:ind w:left="0" w:right="0"/>
              <w:rPr>
                <w:color w:val="000000"/>
              </w:rPr>
            </w:pPr>
            <w:r>
              <w:rPr>
                <w:color w:val="000000"/>
              </w:rPr>
              <w:t>Planned grant start date(s)</w:t>
            </w:r>
          </w:p>
        </w:tc>
        <w:tc>
          <w:tcPr>
            <w:tcW w:w="5501" w:type="dxa"/>
            <w:tcBorders>
              <w:bottom w:val="nil"/>
            </w:tcBorders>
          </w:tcPr>
          <w:p w14:paraId="41CA261C" w14:textId="77777777" w:rsidR="00155420" w:rsidRDefault="00E84F93">
            <w:pPr>
              <w:keepNext w:val="0"/>
              <w:pBdr>
                <w:top w:val="nil"/>
                <w:left w:val="nil"/>
                <w:bottom w:val="nil"/>
                <w:right w:val="nil"/>
                <w:between w:val="nil"/>
              </w:pBdr>
              <w:spacing w:before="0" w:line="264" w:lineRule="auto"/>
              <w:ind w:left="0" w:right="0"/>
              <w:rPr>
                <w:color w:val="000000"/>
              </w:rPr>
            </w:pPr>
            <w:r>
              <w:rPr>
                <w:color w:val="000000"/>
              </w:rPr>
              <w:t>January 1, 2024</w:t>
            </w:r>
          </w:p>
        </w:tc>
      </w:tr>
      <w:tr w:rsidR="00155420" w14:paraId="4591F991" w14:textId="77777777" w:rsidTr="00155420">
        <w:trPr>
          <w:cnfStyle w:val="000000010000" w:firstRow="0" w:lastRow="0" w:firstColumn="0" w:lastColumn="0" w:oddVBand="0" w:evenVBand="0" w:oddHBand="0" w:evenHBand="1" w:firstRowFirstColumn="0" w:firstRowLastColumn="0" w:lastRowFirstColumn="0" w:lastRowLastColumn="0"/>
          <w:cantSplit/>
          <w:trHeight w:val="340"/>
        </w:trPr>
        <w:tc>
          <w:tcPr>
            <w:tcW w:w="4406" w:type="dxa"/>
            <w:tcBorders>
              <w:bottom w:val="nil"/>
            </w:tcBorders>
            <w:shd w:val="clear" w:color="auto" w:fill="F2F2F2"/>
          </w:tcPr>
          <w:p w14:paraId="34F8175A" w14:textId="77777777" w:rsidR="00155420" w:rsidRDefault="00E84F93">
            <w:pPr>
              <w:keepNext w:val="0"/>
              <w:pBdr>
                <w:top w:val="nil"/>
                <w:left w:val="nil"/>
                <w:bottom w:val="nil"/>
                <w:right w:val="nil"/>
                <w:between w:val="nil"/>
              </w:pBdr>
              <w:spacing w:before="0" w:line="264" w:lineRule="auto"/>
              <w:ind w:left="0" w:right="0"/>
              <w:rPr>
                <w:color w:val="000000"/>
              </w:rPr>
            </w:pPr>
            <w:r>
              <w:rPr>
                <w:color w:val="000000"/>
              </w:rPr>
              <w:t>Planned grant end date(s)</w:t>
            </w:r>
          </w:p>
        </w:tc>
        <w:tc>
          <w:tcPr>
            <w:tcW w:w="5501" w:type="dxa"/>
            <w:tcBorders>
              <w:bottom w:val="nil"/>
            </w:tcBorders>
          </w:tcPr>
          <w:p w14:paraId="2CA4B3C9" w14:textId="77777777" w:rsidR="00155420" w:rsidRDefault="00E84F93">
            <w:pPr>
              <w:keepNext w:val="0"/>
              <w:pBdr>
                <w:top w:val="nil"/>
                <w:left w:val="nil"/>
                <w:bottom w:val="nil"/>
                <w:right w:val="nil"/>
                <w:between w:val="nil"/>
              </w:pBdr>
              <w:spacing w:before="0" w:line="264" w:lineRule="auto"/>
              <w:ind w:left="0" w:right="0"/>
              <w:rPr>
                <w:color w:val="000000"/>
              </w:rPr>
            </w:pPr>
            <w:r>
              <w:rPr>
                <w:color w:val="000000"/>
              </w:rPr>
              <w:t>December 31, 2026</w:t>
            </w:r>
          </w:p>
        </w:tc>
      </w:tr>
      <w:tr w:rsidR="00155420" w14:paraId="5F34C9DD" w14:textId="77777777" w:rsidTr="00155420">
        <w:trPr>
          <w:cnfStyle w:val="000000100000" w:firstRow="0" w:lastRow="0" w:firstColumn="0" w:lastColumn="0" w:oddVBand="0" w:evenVBand="0" w:oddHBand="1" w:evenHBand="0" w:firstRowFirstColumn="0" w:firstRowLastColumn="0" w:lastRowFirstColumn="0" w:lastRowLastColumn="0"/>
          <w:cantSplit/>
          <w:trHeight w:val="340"/>
        </w:trPr>
        <w:tc>
          <w:tcPr>
            <w:tcW w:w="4406" w:type="dxa"/>
            <w:tcBorders>
              <w:bottom w:val="nil"/>
            </w:tcBorders>
            <w:shd w:val="clear" w:color="auto" w:fill="F2F2F2"/>
          </w:tcPr>
          <w:p w14:paraId="0C1FF776" w14:textId="77777777" w:rsidR="00155420" w:rsidRDefault="00E84F93">
            <w:pPr>
              <w:keepNext w:val="0"/>
              <w:pBdr>
                <w:top w:val="nil"/>
                <w:left w:val="nil"/>
                <w:bottom w:val="nil"/>
                <w:right w:val="nil"/>
                <w:between w:val="nil"/>
              </w:pBdr>
              <w:spacing w:before="0" w:line="264" w:lineRule="auto"/>
              <w:ind w:left="0" w:right="0"/>
              <w:rPr>
                <w:color w:val="000000"/>
              </w:rPr>
            </w:pPr>
            <w:r>
              <w:rPr>
                <w:color w:val="000000"/>
              </w:rPr>
              <w:t xml:space="preserve">Principal Recipient(s) </w:t>
            </w:r>
          </w:p>
        </w:tc>
        <w:tc>
          <w:tcPr>
            <w:tcW w:w="5501" w:type="dxa"/>
            <w:tcBorders>
              <w:bottom w:val="nil"/>
            </w:tcBorders>
          </w:tcPr>
          <w:p w14:paraId="41651DCB" w14:textId="77777777" w:rsidR="00155420" w:rsidRDefault="00E84F93">
            <w:pPr>
              <w:keepNext w:val="0"/>
              <w:pBdr>
                <w:top w:val="nil"/>
                <w:left w:val="nil"/>
                <w:bottom w:val="nil"/>
                <w:right w:val="nil"/>
                <w:between w:val="nil"/>
              </w:pBdr>
              <w:spacing w:before="0" w:line="264" w:lineRule="auto"/>
              <w:ind w:left="0" w:right="0"/>
              <w:rPr>
                <w:color w:val="000000"/>
              </w:rPr>
            </w:pPr>
            <w:r>
              <w:rPr>
                <w:color w:val="000000"/>
              </w:rPr>
              <w:t>Philippine Business for Social Progress</w:t>
            </w:r>
          </w:p>
        </w:tc>
      </w:tr>
      <w:tr w:rsidR="00155420" w14:paraId="7174B7C1" w14:textId="77777777" w:rsidTr="00155420">
        <w:trPr>
          <w:cnfStyle w:val="000000010000" w:firstRow="0" w:lastRow="0" w:firstColumn="0" w:lastColumn="0" w:oddVBand="0" w:evenVBand="0" w:oddHBand="0" w:evenHBand="1" w:firstRowFirstColumn="0" w:firstRowLastColumn="0" w:lastRowFirstColumn="0" w:lastRowLastColumn="0"/>
          <w:cantSplit/>
          <w:trHeight w:val="340"/>
        </w:trPr>
        <w:tc>
          <w:tcPr>
            <w:tcW w:w="4406" w:type="dxa"/>
            <w:tcBorders>
              <w:bottom w:val="nil"/>
            </w:tcBorders>
            <w:shd w:val="clear" w:color="auto" w:fill="F2F2F2"/>
          </w:tcPr>
          <w:p w14:paraId="07310A51" w14:textId="77777777" w:rsidR="00155420" w:rsidRDefault="00E84F93">
            <w:pPr>
              <w:keepNext w:val="0"/>
              <w:pBdr>
                <w:top w:val="nil"/>
                <w:left w:val="nil"/>
                <w:bottom w:val="nil"/>
                <w:right w:val="nil"/>
                <w:between w:val="nil"/>
              </w:pBdr>
              <w:spacing w:before="0" w:line="264" w:lineRule="auto"/>
              <w:ind w:left="0" w:right="0"/>
              <w:rPr>
                <w:color w:val="000000"/>
              </w:rPr>
            </w:pPr>
            <w:r>
              <w:rPr>
                <w:color w:val="000000"/>
              </w:rPr>
              <w:t>Currency</w:t>
            </w:r>
          </w:p>
        </w:tc>
        <w:tc>
          <w:tcPr>
            <w:tcW w:w="5501" w:type="dxa"/>
            <w:tcBorders>
              <w:bottom w:val="nil"/>
            </w:tcBorders>
          </w:tcPr>
          <w:p w14:paraId="7F656F88" w14:textId="77777777" w:rsidR="00155420" w:rsidRDefault="00E84F93">
            <w:pPr>
              <w:keepNext w:val="0"/>
              <w:pBdr>
                <w:top w:val="nil"/>
                <w:left w:val="nil"/>
                <w:bottom w:val="nil"/>
                <w:right w:val="nil"/>
                <w:between w:val="nil"/>
              </w:pBdr>
              <w:spacing w:before="0" w:line="264" w:lineRule="auto"/>
              <w:ind w:left="0" w:right="0"/>
              <w:rPr>
                <w:color w:val="000000"/>
              </w:rPr>
            </w:pPr>
            <w:r>
              <w:rPr>
                <w:color w:val="000000"/>
              </w:rPr>
              <w:t>USD</w:t>
            </w:r>
          </w:p>
        </w:tc>
      </w:tr>
      <w:tr w:rsidR="00155420" w14:paraId="5FF114EC" w14:textId="77777777" w:rsidTr="00155420">
        <w:trPr>
          <w:cnfStyle w:val="000000100000" w:firstRow="0" w:lastRow="0" w:firstColumn="0" w:lastColumn="0" w:oddVBand="0" w:evenVBand="0" w:oddHBand="1" w:evenHBand="0" w:firstRowFirstColumn="0" w:firstRowLastColumn="0" w:lastRowFirstColumn="0" w:lastRowLastColumn="0"/>
          <w:cantSplit/>
          <w:trHeight w:val="340"/>
        </w:trPr>
        <w:tc>
          <w:tcPr>
            <w:tcW w:w="4406" w:type="dxa"/>
            <w:tcBorders>
              <w:bottom w:val="nil"/>
            </w:tcBorders>
            <w:shd w:val="clear" w:color="auto" w:fill="F2F2F2"/>
          </w:tcPr>
          <w:p w14:paraId="25BA50FD" w14:textId="77777777" w:rsidR="00155420" w:rsidRDefault="00E84F93">
            <w:pPr>
              <w:keepNext w:val="0"/>
              <w:pBdr>
                <w:top w:val="nil"/>
                <w:left w:val="nil"/>
                <w:bottom w:val="nil"/>
                <w:right w:val="nil"/>
                <w:between w:val="nil"/>
              </w:pBdr>
              <w:spacing w:before="0" w:line="264" w:lineRule="auto"/>
              <w:ind w:left="0" w:right="0"/>
              <w:rPr>
                <w:color w:val="000000"/>
              </w:rPr>
            </w:pPr>
            <w:r>
              <w:rPr>
                <w:color w:val="000000"/>
              </w:rPr>
              <w:t>Allocation Funding Request Amount</w:t>
            </w:r>
          </w:p>
        </w:tc>
        <w:tc>
          <w:tcPr>
            <w:tcW w:w="5501" w:type="dxa"/>
            <w:tcBorders>
              <w:bottom w:val="nil"/>
            </w:tcBorders>
          </w:tcPr>
          <w:p w14:paraId="77C1C6B5" w14:textId="77777777" w:rsidR="00155420" w:rsidRDefault="00E84F93">
            <w:pPr>
              <w:keepNext w:val="0"/>
              <w:pBdr>
                <w:top w:val="nil"/>
                <w:left w:val="nil"/>
                <w:bottom w:val="nil"/>
                <w:right w:val="nil"/>
                <w:between w:val="nil"/>
              </w:pBdr>
              <w:spacing w:before="0" w:line="264" w:lineRule="auto"/>
              <w:ind w:left="0" w:right="0"/>
              <w:rPr>
                <w:color w:val="000000"/>
              </w:rPr>
            </w:pPr>
            <w:r>
              <w:rPr>
                <w:color w:val="000000"/>
              </w:rPr>
              <w:t>136,020,179</w:t>
            </w:r>
          </w:p>
        </w:tc>
      </w:tr>
      <w:tr w:rsidR="00155420" w14:paraId="38720C3E" w14:textId="77777777" w:rsidTr="00155420">
        <w:trPr>
          <w:cnfStyle w:val="000000010000" w:firstRow="0" w:lastRow="0" w:firstColumn="0" w:lastColumn="0" w:oddVBand="0" w:evenVBand="0" w:oddHBand="0" w:evenHBand="1" w:firstRowFirstColumn="0" w:firstRowLastColumn="0" w:lastRowFirstColumn="0" w:lastRowLastColumn="0"/>
          <w:cantSplit/>
          <w:trHeight w:val="340"/>
        </w:trPr>
        <w:tc>
          <w:tcPr>
            <w:tcW w:w="4406" w:type="dxa"/>
            <w:tcBorders>
              <w:bottom w:val="nil"/>
            </w:tcBorders>
            <w:shd w:val="clear" w:color="auto" w:fill="F2F2F2"/>
          </w:tcPr>
          <w:p w14:paraId="3EBC95A6" w14:textId="77777777" w:rsidR="00155420" w:rsidRDefault="00E84F93">
            <w:pPr>
              <w:keepNext w:val="0"/>
              <w:pBdr>
                <w:top w:val="nil"/>
                <w:left w:val="nil"/>
                <w:bottom w:val="nil"/>
                <w:right w:val="nil"/>
                <w:between w:val="nil"/>
              </w:pBdr>
              <w:spacing w:before="0" w:line="264" w:lineRule="auto"/>
              <w:ind w:left="0" w:right="0"/>
              <w:rPr>
                <w:color w:val="000000"/>
              </w:rPr>
            </w:pPr>
            <w:r>
              <w:rPr>
                <w:color w:val="000000"/>
              </w:rPr>
              <w:t>Prioritized Above Allocation Request (PAAR) Amount</w:t>
            </w:r>
          </w:p>
        </w:tc>
        <w:tc>
          <w:tcPr>
            <w:tcW w:w="5501" w:type="dxa"/>
            <w:tcBorders>
              <w:bottom w:val="nil"/>
            </w:tcBorders>
          </w:tcPr>
          <w:p w14:paraId="63C5DB11" w14:textId="77777777" w:rsidR="00155420" w:rsidRDefault="00E84F93">
            <w:pPr>
              <w:keepNext w:val="0"/>
              <w:pBdr>
                <w:top w:val="nil"/>
                <w:left w:val="nil"/>
                <w:bottom w:val="nil"/>
                <w:right w:val="nil"/>
                <w:between w:val="nil"/>
              </w:pBdr>
              <w:spacing w:before="0" w:line="264" w:lineRule="auto"/>
              <w:ind w:left="0" w:right="0"/>
              <w:rPr>
                <w:color w:val="000000"/>
              </w:rPr>
            </w:pPr>
            <w:r>
              <w:rPr>
                <w:color w:val="000000"/>
              </w:rPr>
              <w:t>104,333,144</w:t>
            </w:r>
          </w:p>
        </w:tc>
      </w:tr>
      <w:tr w:rsidR="00155420" w14:paraId="1836BF5B" w14:textId="77777777" w:rsidTr="00155420">
        <w:trPr>
          <w:cnfStyle w:val="000000100000" w:firstRow="0" w:lastRow="0" w:firstColumn="0" w:lastColumn="0" w:oddVBand="0" w:evenVBand="0" w:oddHBand="1" w:evenHBand="0" w:firstRowFirstColumn="0" w:firstRowLastColumn="0" w:lastRowFirstColumn="0" w:lastRowLastColumn="0"/>
          <w:cantSplit/>
          <w:trHeight w:val="340"/>
        </w:trPr>
        <w:tc>
          <w:tcPr>
            <w:tcW w:w="4406" w:type="dxa"/>
            <w:tcBorders>
              <w:bottom w:val="nil"/>
            </w:tcBorders>
            <w:shd w:val="clear" w:color="auto" w:fill="F2F2F2"/>
          </w:tcPr>
          <w:p w14:paraId="0A4C840A" w14:textId="77777777" w:rsidR="00155420" w:rsidRDefault="00E84F93">
            <w:pPr>
              <w:keepNext w:val="0"/>
              <w:pBdr>
                <w:top w:val="nil"/>
                <w:left w:val="nil"/>
                <w:bottom w:val="nil"/>
                <w:right w:val="nil"/>
                <w:between w:val="nil"/>
              </w:pBdr>
              <w:spacing w:before="0" w:line="264" w:lineRule="auto"/>
              <w:ind w:left="0" w:right="0"/>
              <w:rPr>
                <w:color w:val="000000"/>
              </w:rPr>
            </w:pPr>
            <w:r>
              <w:rPr>
                <w:color w:val="000000"/>
              </w:rPr>
              <w:lastRenderedPageBreak/>
              <w:t>Matching Funds Request Amount</w:t>
            </w:r>
          </w:p>
          <w:p w14:paraId="34721B1F" w14:textId="77777777" w:rsidR="00155420" w:rsidRDefault="00E84F93">
            <w:pPr>
              <w:keepNext w:val="0"/>
              <w:pBdr>
                <w:top w:val="nil"/>
                <w:left w:val="nil"/>
                <w:bottom w:val="nil"/>
                <w:right w:val="nil"/>
                <w:between w:val="nil"/>
              </w:pBdr>
              <w:spacing w:before="0" w:line="264" w:lineRule="auto"/>
              <w:ind w:left="0" w:right="0"/>
              <w:rPr>
                <w:color w:val="000000"/>
              </w:rPr>
            </w:pPr>
            <w:r>
              <w:rPr>
                <w:color w:val="000000"/>
              </w:rPr>
              <w:t>(if applicable)</w:t>
            </w:r>
          </w:p>
        </w:tc>
        <w:tc>
          <w:tcPr>
            <w:tcW w:w="5501" w:type="dxa"/>
            <w:tcBorders>
              <w:bottom w:val="nil"/>
            </w:tcBorders>
          </w:tcPr>
          <w:p w14:paraId="1887438A" w14:textId="77777777" w:rsidR="00155420" w:rsidRDefault="00E84F93">
            <w:pPr>
              <w:keepNext w:val="0"/>
              <w:pBdr>
                <w:top w:val="nil"/>
                <w:left w:val="nil"/>
                <w:bottom w:val="nil"/>
                <w:right w:val="nil"/>
                <w:between w:val="nil"/>
              </w:pBdr>
              <w:spacing w:before="0" w:line="264" w:lineRule="auto"/>
              <w:ind w:left="0" w:right="0"/>
              <w:rPr>
                <w:color w:val="000000"/>
              </w:rPr>
            </w:pPr>
            <w:r>
              <w:rPr>
                <w:color w:val="000000"/>
              </w:rPr>
              <w:t>4,000,000</w:t>
            </w:r>
          </w:p>
        </w:tc>
      </w:tr>
    </w:tbl>
    <w:p w14:paraId="0757BEB5" w14:textId="77777777" w:rsidR="00155420" w:rsidRDefault="00E84F93">
      <w:pPr>
        <w:pBdr>
          <w:top w:val="nil"/>
          <w:left w:val="nil"/>
          <w:bottom w:val="nil"/>
          <w:right w:val="nil"/>
          <w:between w:val="nil"/>
        </w:pBdr>
        <w:spacing w:before="120" w:line="264" w:lineRule="auto"/>
        <w:rPr>
          <w:color w:val="000000"/>
          <w:sz w:val="24"/>
          <w:szCs w:val="24"/>
        </w:rPr>
      </w:pPr>
      <w:r>
        <w:rPr>
          <w:color w:val="000000"/>
          <w:sz w:val="24"/>
          <w:szCs w:val="24"/>
        </w:rPr>
        <w:t xml:space="preserve">Refer to the </w:t>
      </w:r>
      <w:hyperlink r:id="rId7">
        <w:r>
          <w:rPr>
            <w:color w:val="2E4DF9"/>
            <w:sz w:val="24"/>
            <w:szCs w:val="24"/>
            <w:u w:val="single"/>
          </w:rPr>
          <w:t>Full Review Instructions</w:t>
        </w:r>
      </w:hyperlink>
      <w:r>
        <w:rPr>
          <w:color w:val="000000"/>
          <w:sz w:val="24"/>
          <w:szCs w:val="24"/>
        </w:rPr>
        <w:t xml:space="preserve"> for detailed elements related to each question which should be addressed for a response to be considered complete. The Instruct</w:t>
      </w:r>
      <w:r>
        <w:rPr>
          <w:color w:val="000000"/>
          <w:sz w:val="24"/>
          <w:szCs w:val="24"/>
        </w:rPr>
        <w:t>ions also include information, resources, and a description of necessary documents to be submitted along with this form.</w:t>
      </w:r>
    </w:p>
    <w:p w14:paraId="4C3BE584" w14:textId="77777777" w:rsidR="00155420" w:rsidRDefault="00155420">
      <w:pPr>
        <w:pBdr>
          <w:top w:val="nil"/>
          <w:left w:val="nil"/>
          <w:bottom w:val="nil"/>
          <w:right w:val="nil"/>
          <w:between w:val="nil"/>
        </w:pBdr>
        <w:spacing w:before="120" w:line="264" w:lineRule="auto"/>
        <w:rPr>
          <w:color w:val="000000"/>
          <w:sz w:val="24"/>
          <w:szCs w:val="24"/>
        </w:rPr>
        <w:sectPr w:rsidR="00155420">
          <w:headerReference w:type="default" r:id="rId8"/>
          <w:footerReference w:type="default" r:id="rId9"/>
          <w:headerReference w:type="first" r:id="rId10"/>
          <w:footerReference w:type="first" r:id="rId11"/>
          <w:pgSz w:w="11906" w:h="16838"/>
          <w:pgMar w:top="851" w:right="851" w:bottom="1871" w:left="851" w:header="289" w:footer="289" w:gutter="0"/>
          <w:pgNumType w:start="1"/>
          <w:cols w:space="720"/>
          <w:titlePg/>
        </w:sectPr>
      </w:pPr>
    </w:p>
    <w:p w14:paraId="30E0E8E6" w14:textId="77777777" w:rsidR="00155420" w:rsidRDefault="00E84F93">
      <w:pPr>
        <w:pStyle w:val="Heading1"/>
        <w:numPr>
          <w:ilvl w:val="0"/>
          <w:numId w:val="38"/>
        </w:numPr>
      </w:pPr>
      <w:r>
        <w:lastRenderedPageBreak/>
        <w:t>Funding Request and Rationale</w:t>
      </w:r>
    </w:p>
    <w:p w14:paraId="3F538144" w14:textId="77777777" w:rsidR="00155420" w:rsidRDefault="00E84F93">
      <w:pPr>
        <w:pStyle w:val="Heading2"/>
        <w:numPr>
          <w:ilvl w:val="1"/>
          <w:numId w:val="38"/>
        </w:numPr>
      </w:pPr>
      <w:r>
        <w:t>Prioritized Request</w:t>
      </w:r>
    </w:p>
    <w:p w14:paraId="0192F303" w14:textId="77777777" w:rsidR="00155420" w:rsidRDefault="00E84F93">
      <w:pPr>
        <w:numPr>
          <w:ilvl w:val="2"/>
          <w:numId w:val="15"/>
        </w:numPr>
        <w:pBdr>
          <w:top w:val="nil"/>
          <w:left w:val="nil"/>
          <w:bottom w:val="nil"/>
          <w:right w:val="nil"/>
          <w:between w:val="nil"/>
        </w:pBdr>
        <w:spacing w:line="264" w:lineRule="auto"/>
      </w:pPr>
      <w:r>
        <w:rPr>
          <w:color w:val="000000"/>
          <w:sz w:val="24"/>
          <w:szCs w:val="24"/>
        </w:rPr>
        <w:t xml:space="preserve">For each module, provide information on the funding being requested from the Global Fund and what is expected to be achieved due to the Global Fund’s investment. </w:t>
      </w:r>
    </w:p>
    <w:tbl>
      <w:tblPr>
        <w:tblStyle w:val="a1"/>
        <w:tblW w:w="15030" w:type="dxa"/>
        <w:tblBorders>
          <w:top w:val="single" w:sz="4" w:space="0" w:color="2E4DF9"/>
          <w:left w:val="single" w:sz="4" w:space="0" w:color="2E4DF9"/>
          <w:bottom w:val="single" w:sz="4" w:space="0" w:color="2E4DF9"/>
          <w:right w:val="single" w:sz="4" w:space="0" w:color="2E4DF9"/>
          <w:insideH w:val="single" w:sz="4" w:space="0" w:color="999999"/>
          <w:insideV w:val="single" w:sz="4" w:space="0" w:color="999999"/>
        </w:tblBorders>
        <w:tblLayout w:type="fixed"/>
        <w:tblLook w:val="04A0" w:firstRow="1" w:lastRow="0" w:firstColumn="1" w:lastColumn="0" w:noHBand="0" w:noVBand="1"/>
      </w:tblPr>
      <w:tblGrid>
        <w:gridCol w:w="2565"/>
        <w:gridCol w:w="12465"/>
      </w:tblGrid>
      <w:tr w:rsidR="00155420" w14:paraId="771D53E0" w14:textId="77777777" w:rsidTr="0015542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shd w:val="clear" w:color="auto" w:fill="ABB7FC"/>
          </w:tcPr>
          <w:p w14:paraId="7D815D61"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color w:val="000000"/>
                <w:sz w:val="24"/>
                <w:szCs w:val="24"/>
              </w:rPr>
              <w:t>Module #1</w:t>
            </w:r>
          </w:p>
        </w:tc>
        <w:tc>
          <w:tcPr>
            <w:tcW w:w="12465" w:type="dxa"/>
            <w:shd w:val="clear" w:color="auto" w:fill="ABB7FC"/>
          </w:tcPr>
          <w:p w14:paraId="66E84148" w14:textId="77777777" w:rsidR="00155420" w:rsidRDefault="00E84F93">
            <w:pPr>
              <w:keepNext w:val="0"/>
              <w:pBdr>
                <w:top w:val="nil"/>
                <w:left w:val="nil"/>
                <w:bottom w:val="nil"/>
                <w:right w:val="nil"/>
                <w:between w:val="nil"/>
              </w:pBdr>
              <w:spacing w:before="0" w:after="120" w:line="264" w:lineRule="auto"/>
              <w:ind w:left="0" w:right="0"/>
              <w:cnfStyle w:val="100000000000" w:firstRow="1"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 xml:space="preserve">DRTB Diagnosis, Treatment, and Care </w:t>
            </w:r>
          </w:p>
        </w:tc>
      </w:tr>
      <w:tr w:rsidR="00155420" w14:paraId="49D86B6B"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vMerge w:val="restart"/>
          </w:tcPr>
          <w:p w14:paraId="3B27A7B8"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Intervention(s)</w:t>
            </w:r>
          </w:p>
        </w:tc>
        <w:tc>
          <w:tcPr>
            <w:tcW w:w="12465" w:type="dxa"/>
          </w:tcPr>
          <w:p w14:paraId="7B5A14AF"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DR TB Diagnosis and DST </w:t>
            </w:r>
            <w:r>
              <w:rPr>
                <w:rFonts w:ascii="MS Gothic" w:eastAsia="MS Gothic" w:hAnsi="MS Gothic" w:cs="MS Gothic"/>
                <w:color w:val="000000"/>
              </w:rPr>
              <w:t>☐</w:t>
            </w:r>
            <w:r>
              <w:rPr>
                <w:color w:val="000000"/>
              </w:rPr>
              <w:t xml:space="preserve"> New, </w:t>
            </w:r>
            <w:r>
              <w:rPr>
                <w:rFonts w:ascii="MS Gothic" w:eastAsia="MS Gothic" w:hAnsi="MS Gothic" w:cs="MS Gothic"/>
                <w:color w:val="000000"/>
              </w:rPr>
              <w:t>☒</w:t>
            </w:r>
            <w:r>
              <w:rPr>
                <w:color w:val="000000"/>
              </w:rPr>
              <w:t xml:space="preserve"> Scale-up, </w:t>
            </w:r>
            <w:r>
              <w:rPr>
                <w:rFonts w:ascii="MS Gothic" w:eastAsia="MS Gothic" w:hAnsi="MS Gothic" w:cs="MS Gothic"/>
                <w:color w:val="000000"/>
              </w:rPr>
              <w:t>☐</w:t>
            </w:r>
            <w:r>
              <w:rPr>
                <w:color w:val="000000"/>
              </w:rPr>
              <w:t xml:space="preserve"> Continuation, or </w:t>
            </w:r>
            <w:r>
              <w:rPr>
                <w:rFonts w:ascii="MS Gothic" w:eastAsia="MS Gothic" w:hAnsi="MS Gothic" w:cs="MS Gothic"/>
                <w:color w:val="000000"/>
              </w:rPr>
              <w:t>☐</w:t>
            </w:r>
            <w:r>
              <w:rPr>
                <w:color w:val="000000"/>
              </w:rPr>
              <w:t xml:space="preserve"> Scale-down</w:t>
            </w:r>
          </w:p>
        </w:tc>
      </w:tr>
      <w:tr w:rsidR="00155420" w14:paraId="1D343A98"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vMerge/>
          </w:tcPr>
          <w:p w14:paraId="0E9DCCCE" w14:textId="77777777" w:rsidR="00155420" w:rsidRDefault="00155420">
            <w:pPr>
              <w:keepNext w:val="0"/>
              <w:widowControl w:val="0"/>
              <w:pBdr>
                <w:top w:val="nil"/>
                <w:left w:val="nil"/>
                <w:bottom w:val="nil"/>
                <w:right w:val="nil"/>
                <w:between w:val="nil"/>
              </w:pBdr>
              <w:spacing w:before="0" w:line="276" w:lineRule="auto"/>
              <w:ind w:left="0" w:right="0"/>
              <w:rPr>
                <w:color w:val="000000"/>
              </w:rPr>
            </w:pPr>
          </w:p>
        </w:tc>
        <w:tc>
          <w:tcPr>
            <w:tcW w:w="12465" w:type="dxa"/>
          </w:tcPr>
          <w:p w14:paraId="56C6A1A6"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DR TB Treatment, Care, and Support </w:t>
            </w:r>
            <w:r>
              <w:rPr>
                <w:rFonts w:ascii="MS Gothic" w:eastAsia="MS Gothic" w:hAnsi="MS Gothic" w:cs="MS Gothic"/>
                <w:color w:val="000000"/>
              </w:rPr>
              <w:t>☐</w:t>
            </w:r>
            <w:r>
              <w:rPr>
                <w:color w:val="000000"/>
              </w:rPr>
              <w:t xml:space="preserve"> New, </w:t>
            </w:r>
            <w:r>
              <w:rPr>
                <w:rFonts w:ascii="MS Gothic" w:eastAsia="MS Gothic" w:hAnsi="MS Gothic" w:cs="MS Gothic"/>
                <w:color w:val="000000"/>
              </w:rPr>
              <w:t>☒</w:t>
            </w:r>
            <w:r>
              <w:rPr>
                <w:color w:val="000000"/>
              </w:rPr>
              <w:t xml:space="preserve"> Scale-up, </w:t>
            </w:r>
            <w:r>
              <w:rPr>
                <w:rFonts w:ascii="MS Gothic" w:eastAsia="MS Gothic" w:hAnsi="MS Gothic" w:cs="MS Gothic"/>
                <w:color w:val="000000"/>
              </w:rPr>
              <w:t>☐</w:t>
            </w:r>
            <w:r>
              <w:rPr>
                <w:color w:val="000000"/>
              </w:rPr>
              <w:t xml:space="preserve"> Continuation, or </w:t>
            </w:r>
            <w:r>
              <w:rPr>
                <w:rFonts w:ascii="MS Gothic" w:eastAsia="MS Gothic" w:hAnsi="MS Gothic" w:cs="MS Gothic"/>
                <w:color w:val="000000"/>
              </w:rPr>
              <w:t>☐</w:t>
            </w:r>
            <w:r>
              <w:rPr>
                <w:color w:val="000000"/>
              </w:rPr>
              <w:t xml:space="preserve"> Scale-down</w:t>
            </w:r>
          </w:p>
        </w:tc>
      </w:tr>
      <w:tr w:rsidR="00155420" w14:paraId="10017DCB"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tcPr>
          <w:p w14:paraId="77B89229"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Population, geographies, and barriers addressed</w:t>
            </w:r>
          </w:p>
        </w:tc>
        <w:tc>
          <w:tcPr>
            <w:tcW w:w="12465" w:type="dxa"/>
          </w:tcPr>
          <w:p w14:paraId="7ECC30E4"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b/>
                <w:color w:val="000000"/>
              </w:rPr>
              <w:t>Population:</w:t>
            </w:r>
            <w:r>
              <w:rPr>
                <w:color w:val="000000"/>
              </w:rPr>
              <w:t xml:space="preserve"> All presumptive TB clients, DR TB clients, DR TB contacts, re-treatment cases, PLHIV</w:t>
            </w:r>
          </w:p>
          <w:p w14:paraId="7A7CA0B9"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b/>
                <w:color w:val="000000"/>
              </w:rPr>
              <w:t>Geography:</w:t>
            </w:r>
            <w:r>
              <w:rPr>
                <w:color w:val="000000"/>
              </w:rPr>
              <w:t xml:space="preserve"> Nationwide </w:t>
            </w:r>
          </w:p>
          <w:p w14:paraId="1A2EC9D4"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b/>
                <w:color w:val="000000"/>
              </w:rPr>
              <w:t xml:space="preserve">Barriers: </w:t>
            </w:r>
            <w:r>
              <w:rPr>
                <w:color w:val="000000"/>
              </w:rPr>
              <w:t>Limited access to RDT for TB diagnosis and DR TB treatment coverage in 2022 is only at 64%</w:t>
            </w:r>
          </w:p>
        </w:tc>
      </w:tr>
      <w:tr w:rsidR="00155420" w14:paraId="125A1711"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tcPr>
          <w:p w14:paraId="24439BEE"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lastRenderedPageBreak/>
              <w:t>List of activities</w:t>
            </w:r>
          </w:p>
        </w:tc>
        <w:tc>
          <w:tcPr>
            <w:tcW w:w="12465" w:type="dxa"/>
          </w:tcPr>
          <w:p w14:paraId="50C1C25E" w14:textId="21F81CEC"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FR is a scale-up of </w:t>
            </w:r>
            <w:r>
              <w:rPr>
                <w:color w:val="000000"/>
              </w:rPr>
              <w:t>most interventions included in the ongoing GFTB grant for 2021-2023. What is critical in this FR is (1) the full implementation of iDOTS whereby DS and DR TB diagnosis, treatment, and care are integrated into the primary care facilities. This reduces the F</w:t>
            </w:r>
            <w:r>
              <w:rPr>
                <w:color w:val="000000"/>
              </w:rPr>
              <w:t>R request for clinic personnel from 350 to 120 staff, converting most PMDT satellite treatment centers (PMDT STC) into iDOTS. The role of the STCs has been transferred to referral hospitals and the scale-up of TB Medical Advisory Councils (TB MAC) for ever</w:t>
            </w:r>
            <w:r>
              <w:rPr>
                <w:color w:val="000000"/>
              </w:rPr>
              <w:t>y region; (2) Full adoption of BPaL and BPaLM for eligible patients beginning July 2023; (3) Mainstreaming of DAT and aDSM; (4) Increasing government procurement of SLD, particularly Bedaqueline for DR</w:t>
            </w:r>
            <w:r w:rsidR="005E61FD">
              <w:rPr>
                <w:color w:val="000000"/>
              </w:rPr>
              <w:t xml:space="preserve"> </w:t>
            </w:r>
            <w:r>
              <w:rPr>
                <w:color w:val="000000"/>
              </w:rPr>
              <w:t>TB treatment; (4) shifting some social protection supp</w:t>
            </w:r>
            <w:r>
              <w:rPr>
                <w:color w:val="000000"/>
              </w:rPr>
              <w:t>ort to other national government agencies (NGA) and LGUs (e.g., nutritional support, transportation subsidy, livelihood support, etc.); and (5) scaling up the use of specimen and commodity transport riders to increase access to RDTs nationwide – which is i</w:t>
            </w:r>
            <w:r>
              <w:rPr>
                <w:color w:val="000000"/>
              </w:rPr>
              <w:t xml:space="preserve">ncluded in RSSH/PP: Laboratory Strengthening.  </w:t>
            </w:r>
          </w:p>
          <w:p w14:paraId="344A5FE0"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u w:val="single"/>
              </w:rPr>
            </w:pPr>
            <w:r>
              <w:rPr>
                <w:color w:val="000000"/>
                <w:u w:val="single"/>
              </w:rPr>
              <w:t>DR TB Diagnosis and DST:</w:t>
            </w:r>
          </w:p>
          <w:p w14:paraId="244CD20B" w14:textId="467A5A35" w:rsidR="00155420" w:rsidRDefault="00E84F93">
            <w:pPr>
              <w:keepNext w:val="0"/>
              <w:numPr>
                <w:ilvl w:val="0"/>
                <w:numId w:val="28"/>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Procurement of GeneXpert cartridges approximates 10% of the country target for DR</w:t>
            </w:r>
            <w:r w:rsidR="005E61FD">
              <w:rPr>
                <w:color w:val="000000"/>
              </w:rPr>
              <w:t xml:space="preserve"> </w:t>
            </w:r>
            <w:r>
              <w:rPr>
                <w:color w:val="000000"/>
              </w:rPr>
              <w:t>TB detection annually.</w:t>
            </w:r>
          </w:p>
          <w:p w14:paraId="3222B648" w14:textId="2F93F152" w:rsidR="00155420" w:rsidRDefault="00E84F93">
            <w:pPr>
              <w:keepNext w:val="0"/>
              <w:numPr>
                <w:ilvl w:val="0"/>
                <w:numId w:val="28"/>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Support operations of 872 </w:t>
            </w:r>
            <w:r w:rsidR="005E61FD">
              <w:rPr>
                <w:color w:val="000000"/>
              </w:rPr>
              <w:t>GeneX</w:t>
            </w:r>
            <w:r>
              <w:rPr>
                <w:color w:val="000000"/>
              </w:rPr>
              <w:t xml:space="preserve">pert sites, 29 TB culture centers, eight DST centers, one LPA site, and five Xpert XDR sites. </w:t>
            </w:r>
            <w:r w:rsidR="00436E24">
              <w:rPr>
                <w:color w:val="000000"/>
              </w:rPr>
              <w:t xml:space="preserve">This includes </w:t>
            </w:r>
            <w:r w:rsidR="00C2092B">
              <w:rPr>
                <w:color w:val="000000"/>
              </w:rPr>
              <w:t xml:space="preserve">the </w:t>
            </w:r>
            <w:r w:rsidR="00436E24">
              <w:rPr>
                <w:color w:val="000000"/>
              </w:rPr>
              <w:t xml:space="preserve">deployment of 63 laboratory personnel in culture and DST centers. </w:t>
            </w:r>
          </w:p>
          <w:p w14:paraId="599D9B59" w14:textId="0E767B01" w:rsidR="003C28E8" w:rsidRPr="003C28E8" w:rsidRDefault="003C28E8" w:rsidP="003C28E8">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b/>
                <w:bCs/>
                <w:i/>
                <w:iCs/>
                <w:color w:val="4F81BD" w:themeColor="accent1"/>
              </w:rPr>
            </w:pPr>
            <w:r w:rsidRPr="003C28E8">
              <w:rPr>
                <w:b/>
                <w:bCs/>
                <w:i/>
                <w:iCs/>
                <w:color w:val="4F81BD" w:themeColor="accent1"/>
              </w:rPr>
              <w:t xml:space="preserve">The current distribution, coverage, and operational status </w:t>
            </w:r>
            <w:r>
              <w:rPr>
                <w:b/>
                <w:bCs/>
                <w:i/>
                <w:iCs/>
                <w:color w:val="4F81BD" w:themeColor="accent1"/>
              </w:rPr>
              <w:t xml:space="preserve">of </w:t>
            </w:r>
            <w:r w:rsidRPr="003C28E8">
              <w:rPr>
                <w:b/>
                <w:bCs/>
                <w:i/>
                <w:iCs/>
                <w:color w:val="4F81BD" w:themeColor="accent1"/>
              </w:rPr>
              <w:t>the GeneXpert machines are attached as Annex 24.</w:t>
            </w:r>
          </w:p>
          <w:p w14:paraId="78B7AA2A"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u w:val="single"/>
              </w:rPr>
            </w:pPr>
            <w:r>
              <w:rPr>
                <w:color w:val="000000"/>
                <w:u w:val="single"/>
              </w:rPr>
              <w:t>DR TB Treatment, Care, and Support:</w:t>
            </w:r>
          </w:p>
          <w:p w14:paraId="39080E6F" w14:textId="77777777" w:rsidR="00155420" w:rsidRDefault="00E84F93">
            <w:pPr>
              <w:keepNext w:val="0"/>
              <w:numPr>
                <w:ilvl w:val="0"/>
                <w:numId w:val="23"/>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Full implementation of iDOTS (integration of DS and DR management in primary care facilities) </w:t>
            </w:r>
          </w:p>
          <w:p w14:paraId="051E97DD" w14:textId="5EE3803D" w:rsidR="00155420" w:rsidRDefault="00E84F93">
            <w:pPr>
              <w:keepNext w:val="0"/>
              <w:numPr>
                <w:ilvl w:val="0"/>
                <w:numId w:val="23"/>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Procurement of BPAL and BPaLM, reflecting annual country target enrolment requirements of </w:t>
            </w:r>
            <w:r>
              <w:rPr>
                <w:color w:val="000000"/>
              </w:rPr>
              <w:t>73% (2024), 68% (2025), and 63% (2026). The government will procure the difference annually to meet the country’s target. The country will buy 100% of DS TB drugs for adults and children.  Ancillary medicines for DR TB cases are included in the FR. DOH and</w:t>
            </w:r>
            <w:r>
              <w:rPr>
                <w:color w:val="000000"/>
              </w:rPr>
              <w:t xml:space="preserve"> LGUs provide ancillary medications for DS</w:t>
            </w:r>
            <w:r w:rsidR="005E61FD">
              <w:rPr>
                <w:color w:val="000000"/>
              </w:rPr>
              <w:t xml:space="preserve"> </w:t>
            </w:r>
            <w:r>
              <w:rPr>
                <w:color w:val="000000"/>
              </w:rPr>
              <w:t xml:space="preserve">TB and share those that DR TB cases can also use.  </w:t>
            </w:r>
          </w:p>
          <w:p w14:paraId="01B49D1B" w14:textId="77777777" w:rsidR="00155420" w:rsidRDefault="00E84F93">
            <w:pPr>
              <w:keepNext w:val="0"/>
              <w:numPr>
                <w:ilvl w:val="0"/>
                <w:numId w:val="23"/>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Subsidy for patient medical &amp; laboratory needs and psycho-social support.</w:t>
            </w:r>
          </w:p>
          <w:p w14:paraId="08FBC18B" w14:textId="77777777" w:rsidR="00155420" w:rsidRDefault="00E84F93">
            <w:pPr>
              <w:keepNext w:val="0"/>
              <w:numPr>
                <w:ilvl w:val="0"/>
                <w:numId w:val="23"/>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Mainstreaming use of digital adherence tools to improve treatment adherence.</w:t>
            </w:r>
          </w:p>
          <w:p w14:paraId="3D3CB5D5" w14:textId="77777777" w:rsidR="00155420" w:rsidRDefault="00E84F93">
            <w:pPr>
              <w:keepNext w:val="0"/>
              <w:numPr>
                <w:ilvl w:val="0"/>
                <w:numId w:val="23"/>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Management</w:t>
            </w:r>
            <w:r>
              <w:rPr>
                <w:color w:val="000000"/>
              </w:rPr>
              <w:t xml:space="preserve"> of ADRs, including aDSM. Regional TB Medical Advisory Committees will be strengthened to manage ADRs referred from iDOTS facilities.</w:t>
            </w:r>
          </w:p>
          <w:p w14:paraId="5D189006" w14:textId="77777777" w:rsidR="00155420" w:rsidRDefault="00E84F93">
            <w:pPr>
              <w:keepNext w:val="0"/>
              <w:numPr>
                <w:ilvl w:val="0"/>
                <w:numId w:val="23"/>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Continuous training, coaching, and mentoring of DRTB staff/case managers on TB MOP. </w:t>
            </w:r>
          </w:p>
        </w:tc>
      </w:tr>
      <w:tr w:rsidR="00155420" w14:paraId="3497E6C2"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tcPr>
          <w:p w14:paraId="25339555"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Amount requested</w:t>
            </w:r>
          </w:p>
        </w:tc>
        <w:tc>
          <w:tcPr>
            <w:tcW w:w="12465" w:type="dxa"/>
          </w:tcPr>
          <w:p w14:paraId="46F4B386" w14:textId="3823A4E5"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sidRPr="00D65121">
              <w:rPr>
                <w:color w:val="000000"/>
              </w:rPr>
              <w:t>USD 55,</w:t>
            </w:r>
            <w:r w:rsidR="00B57005" w:rsidRPr="00D65121">
              <w:rPr>
                <w:color w:val="000000"/>
              </w:rPr>
              <w:t>656</w:t>
            </w:r>
            <w:r w:rsidRPr="00D65121">
              <w:rPr>
                <w:color w:val="000000"/>
              </w:rPr>
              <w:t>,</w:t>
            </w:r>
            <w:r w:rsidR="00B57005" w:rsidRPr="00D65121">
              <w:rPr>
                <w:color w:val="000000"/>
              </w:rPr>
              <w:t>5</w:t>
            </w:r>
            <w:r w:rsidR="00D65121" w:rsidRPr="00D65121">
              <w:rPr>
                <w:color w:val="000000"/>
              </w:rPr>
              <w:t>70</w:t>
            </w:r>
            <w:r>
              <w:rPr>
                <w:color w:val="000000"/>
              </w:rPr>
              <w:t xml:space="preserve"> [40% of the total FR]</w:t>
            </w:r>
          </w:p>
        </w:tc>
      </w:tr>
      <w:tr w:rsidR="00155420" w14:paraId="37403289"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tcPr>
          <w:p w14:paraId="427C7A77"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lastRenderedPageBreak/>
              <w:t>Expected outcome</w:t>
            </w:r>
          </w:p>
        </w:tc>
        <w:tc>
          <w:tcPr>
            <w:tcW w:w="12465" w:type="dxa"/>
          </w:tcPr>
          <w:p w14:paraId="3C7306D7" w14:textId="77777777" w:rsidR="00155420" w:rsidRDefault="00155420">
            <w:pPr>
              <w:keepNext w:val="0"/>
              <w:widowControl w:val="0"/>
              <w:pBdr>
                <w:top w:val="nil"/>
                <w:left w:val="nil"/>
                <w:bottom w:val="nil"/>
                <w:right w:val="nil"/>
                <w:between w:val="nil"/>
              </w:pBdr>
              <w:spacing w:before="0" w:line="276" w:lineRule="auto"/>
              <w:ind w:left="0" w:right="0"/>
              <w:cnfStyle w:val="000000000000" w:firstRow="0" w:lastRow="0" w:firstColumn="0" w:lastColumn="0" w:oddVBand="0" w:evenVBand="0" w:oddHBand="0" w:evenHBand="0" w:firstRowFirstColumn="0" w:firstRowLastColumn="0" w:lastRowFirstColumn="0" w:lastRowLastColumn="0"/>
              <w:rPr>
                <w:color w:val="000000"/>
                <w:sz w:val="24"/>
                <w:szCs w:val="24"/>
              </w:rPr>
            </w:pPr>
          </w:p>
          <w:tbl>
            <w:tblPr>
              <w:tblStyle w:val="a2"/>
              <w:tblW w:w="12225" w:type="dxa"/>
              <w:tblBorders>
                <w:top w:val="single" w:sz="4" w:space="0" w:color="2E4DF9"/>
                <w:left w:val="single" w:sz="4" w:space="0" w:color="2E4DF9"/>
                <w:bottom w:val="single" w:sz="4" w:space="0" w:color="2E4DF9"/>
                <w:right w:val="single" w:sz="4" w:space="0" w:color="2E4DF9"/>
                <w:insideH w:val="single" w:sz="4" w:space="0" w:color="999999"/>
                <w:insideV w:val="single" w:sz="4" w:space="0" w:color="999999"/>
              </w:tblBorders>
              <w:tblLayout w:type="fixed"/>
              <w:tblLook w:val="0420" w:firstRow="1" w:lastRow="0" w:firstColumn="0" w:lastColumn="0" w:noHBand="0" w:noVBand="1"/>
            </w:tblPr>
            <w:tblGrid>
              <w:gridCol w:w="4230"/>
              <w:gridCol w:w="2055"/>
              <w:gridCol w:w="1935"/>
              <w:gridCol w:w="2010"/>
              <w:gridCol w:w="1995"/>
            </w:tblGrid>
            <w:tr w:rsidR="00155420" w14:paraId="6F848EE5" w14:textId="77777777" w:rsidTr="00155420">
              <w:trPr>
                <w:cnfStyle w:val="100000000000" w:firstRow="1" w:lastRow="0" w:firstColumn="0" w:lastColumn="0" w:oddVBand="0" w:evenVBand="0" w:oddHBand="0" w:evenHBand="0" w:firstRowFirstColumn="0" w:firstRowLastColumn="0" w:lastRowFirstColumn="0" w:lastRowLastColumn="0"/>
                <w:cantSplit/>
                <w:trHeight w:val="283"/>
              </w:trPr>
              <w:tc>
                <w:tcPr>
                  <w:tcW w:w="4230" w:type="dxa"/>
                </w:tcPr>
                <w:p w14:paraId="23DA3741" w14:textId="77777777" w:rsidR="00155420" w:rsidRPr="00D65121" w:rsidRDefault="00E84F93">
                  <w:pPr>
                    <w:keepNext w:val="0"/>
                    <w:pBdr>
                      <w:top w:val="nil"/>
                      <w:left w:val="nil"/>
                      <w:bottom w:val="nil"/>
                      <w:right w:val="nil"/>
                      <w:between w:val="nil"/>
                    </w:pBdr>
                    <w:spacing w:before="0" w:after="120" w:line="264" w:lineRule="auto"/>
                    <w:ind w:left="0" w:right="0"/>
                    <w:jc w:val="center"/>
                    <w:rPr>
                      <w:color w:val="F2F2F2"/>
                    </w:rPr>
                  </w:pPr>
                  <w:r w:rsidRPr="00D65121">
                    <w:rPr>
                      <w:color w:val="F2F2F2"/>
                    </w:rPr>
                    <w:t>Indicator</w:t>
                  </w:r>
                </w:p>
              </w:tc>
              <w:tc>
                <w:tcPr>
                  <w:tcW w:w="2055" w:type="dxa"/>
                </w:tcPr>
                <w:p w14:paraId="05868797" w14:textId="77777777" w:rsidR="00155420" w:rsidRPr="00D65121" w:rsidRDefault="00E84F93">
                  <w:pPr>
                    <w:keepNext w:val="0"/>
                    <w:pBdr>
                      <w:top w:val="nil"/>
                      <w:left w:val="nil"/>
                      <w:bottom w:val="nil"/>
                      <w:right w:val="nil"/>
                      <w:between w:val="nil"/>
                    </w:pBdr>
                    <w:spacing w:before="0" w:after="120" w:line="264" w:lineRule="auto"/>
                    <w:ind w:left="0" w:right="0"/>
                    <w:jc w:val="center"/>
                    <w:rPr>
                      <w:color w:val="F2F2F2"/>
                    </w:rPr>
                  </w:pPr>
                  <w:r w:rsidRPr="00D65121">
                    <w:rPr>
                      <w:color w:val="F2F2F2"/>
                    </w:rPr>
                    <w:t>Baseline 2022</w:t>
                  </w:r>
                </w:p>
              </w:tc>
              <w:tc>
                <w:tcPr>
                  <w:tcW w:w="1935" w:type="dxa"/>
                </w:tcPr>
                <w:p w14:paraId="150C7091" w14:textId="77777777" w:rsidR="00155420" w:rsidRPr="00D65121" w:rsidRDefault="00E84F93">
                  <w:pPr>
                    <w:keepNext w:val="0"/>
                    <w:pBdr>
                      <w:top w:val="nil"/>
                      <w:left w:val="nil"/>
                      <w:bottom w:val="nil"/>
                      <w:right w:val="nil"/>
                      <w:between w:val="nil"/>
                    </w:pBdr>
                    <w:spacing w:before="0" w:after="120" w:line="264" w:lineRule="auto"/>
                    <w:ind w:left="0" w:right="0"/>
                    <w:jc w:val="center"/>
                    <w:rPr>
                      <w:color w:val="F2F2F2"/>
                    </w:rPr>
                  </w:pPr>
                  <w:r w:rsidRPr="00D65121">
                    <w:rPr>
                      <w:color w:val="F2F2F2"/>
                    </w:rPr>
                    <w:t>2024</w:t>
                  </w:r>
                </w:p>
              </w:tc>
              <w:tc>
                <w:tcPr>
                  <w:tcW w:w="2010" w:type="dxa"/>
                </w:tcPr>
                <w:p w14:paraId="194733CF" w14:textId="77777777" w:rsidR="00155420" w:rsidRPr="00D65121" w:rsidRDefault="00E84F93">
                  <w:pPr>
                    <w:keepNext w:val="0"/>
                    <w:pBdr>
                      <w:top w:val="nil"/>
                      <w:left w:val="nil"/>
                      <w:bottom w:val="nil"/>
                      <w:right w:val="nil"/>
                      <w:between w:val="nil"/>
                    </w:pBdr>
                    <w:spacing w:before="0" w:after="120" w:line="264" w:lineRule="auto"/>
                    <w:ind w:left="0" w:right="0"/>
                    <w:jc w:val="center"/>
                    <w:rPr>
                      <w:color w:val="F2F2F2"/>
                    </w:rPr>
                  </w:pPr>
                  <w:r w:rsidRPr="00D65121">
                    <w:rPr>
                      <w:color w:val="F2F2F2"/>
                    </w:rPr>
                    <w:t>2025</w:t>
                  </w:r>
                </w:p>
              </w:tc>
              <w:tc>
                <w:tcPr>
                  <w:tcW w:w="1995" w:type="dxa"/>
                </w:tcPr>
                <w:p w14:paraId="5B9B4A77" w14:textId="77777777" w:rsidR="00155420" w:rsidRPr="00D65121" w:rsidRDefault="00E84F93">
                  <w:pPr>
                    <w:keepNext w:val="0"/>
                    <w:pBdr>
                      <w:top w:val="nil"/>
                      <w:left w:val="nil"/>
                      <w:bottom w:val="nil"/>
                      <w:right w:val="nil"/>
                      <w:between w:val="nil"/>
                    </w:pBdr>
                    <w:spacing w:before="0" w:after="120" w:line="264" w:lineRule="auto"/>
                    <w:ind w:left="0" w:right="0"/>
                    <w:jc w:val="center"/>
                    <w:rPr>
                      <w:color w:val="F2F2F2"/>
                    </w:rPr>
                  </w:pPr>
                  <w:r w:rsidRPr="00D65121">
                    <w:rPr>
                      <w:color w:val="F2F2F2"/>
                    </w:rPr>
                    <w:t>2026</w:t>
                  </w:r>
                </w:p>
              </w:tc>
            </w:tr>
            <w:tr w:rsidR="00155420" w14:paraId="1144E5E5" w14:textId="77777777" w:rsidTr="00155420">
              <w:trPr>
                <w:cnfStyle w:val="000000100000" w:firstRow="0" w:lastRow="0" w:firstColumn="0" w:lastColumn="0" w:oddVBand="0" w:evenVBand="0" w:oddHBand="1" w:evenHBand="0" w:firstRowFirstColumn="0" w:firstRowLastColumn="0" w:lastRowFirstColumn="0" w:lastRowLastColumn="0"/>
                <w:cantSplit/>
                <w:trHeight w:val="209"/>
              </w:trPr>
              <w:tc>
                <w:tcPr>
                  <w:tcW w:w="4230" w:type="dxa"/>
                </w:tcPr>
                <w:p w14:paraId="4B6AD4F6" w14:textId="79E5E7A0" w:rsidR="00155420" w:rsidRPr="00D65121" w:rsidRDefault="00E84F93">
                  <w:pPr>
                    <w:keepNext w:val="0"/>
                    <w:pBdr>
                      <w:top w:val="nil"/>
                      <w:left w:val="nil"/>
                      <w:bottom w:val="nil"/>
                      <w:right w:val="nil"/>
                      <w:between w:val="nil"/>
                    </w:pBdr>
                    <w:spacing w:before="0" w:after="120" w:line="264" w:lineRule="auto"/>
                    <w:ind w:left="0" w:right="0"/>
                    <w:rPr>
                      <w:color w:val="000000"/>
                    </w:rPr>
                  </w:pPr>
                  <w:r w:rsidRPr="00D65121">
                    <w:rPr>
                      <w:color w:val="000000"/>
                    </w:rPr>
                    <w:t xml:space="preserve">No. of people with confirmed RR TB </w:t>
                  </w:r>
                  <w:r w:rsidR="00C2092B" w:rsidRPr="00D65121">
                    <w:rPr>
                      <w:color w:val="000000"/>
                    </w:rPr>
                    <w:t>and</w:t>
                  </w:r>
                  <w:r w:rsidRPr="00D65121">
                    <w:rPr>
                      <w:color w:val="000000"/>
                    </w:rPr>
                    <w:t xml:space="preserve"> MDR TB notified </w:t>
                  </w:r>
                </w:p>
              </w:tc>
              <w:tc>
                <w:tcPr>
                  <w:tcW w:w="2055" w:type="dxa"/>
                </w:tcPr>
                <w:p w14:paraId="5C78BF40" w14:textId="77777777" w:rsidR="00155420" w:rsidRPr="00D65121" w:rsidRDefault="00E84F93">
                  <w:pPr>
                    <w:keepNext w:val="0"/>
                    <w:pBdr>
                      <w:top w:val="nil"/>
                      <w:left w:val="nil"/>
                      <w:bottom w:val="nil"/>
                      <w:right w:val="nil"/>
                      <w:between w:val="nil"/>
                    </w:pBdr>
                    <w:spacing w:before="0" w:after="120" w:line="264" w:lineRule="auto"/>
                    <w:ind w:left="0" w:right="0"/>
                    <w:jc w:val="center"/>
                    <w:rPr>
                      <w:color w:val="000000"/>
                    </w:rPr>
                  </w:pPr>
                  <w:r w:rsidRPr="00D65121">
                    <w:rPr>
                      <w:color w:val="000000"/>
                    </w:rPr>
                    <w:t>8,165</w:t>
                  </w:r>
                </w:p>
              </w:tc>
              <w:tc>
                <w:tcPr>
                  <w:tcW w:w="1935" w:type="dxa"/>
                </w:tcPr>
                <w:p w14:paraId="1F4DEAF2" w14:textId="77777777" w:rsidR="00155420" w:rsidRPr="00D65121" w:rsidRDefault="00E84F93">
                  <w:pPr>
                    <w:keepNext w:val="0"/>
                    <w:pBdr>
                      <w:top w:val="nil"/>
                      <w:left w:val="nil"/>
                      <w:bottom w:val="nil"/>
                      <w:right w:val="nil"/>
                      <w:between w:val="nil"/>
                    </w:pBdr>
                    <w:spacing w:before="0" w:after="120" w:line="264" w:lineRule="auto"/>
                    <w:ind w:left="0" w:right="0"/>
                    <w:jc w:val="center"/>
                    <w:rPr>
                      <w:color w:val="000000"/>
                    </w:rPr>
                  </w:pPr>
                  <w:r w:rsidRPr="00D65121">
                    <w:rPr>
                      <w:color w:val="000000"/>
                    </w:rPr>
                    <w:t>9,873</w:t>
                  </w:r>
                </w:p>
              </w:tc>
              <w:tc>
                <w:tcPr>
                  <w:tcW w:w="2010" w:type="dxa"/>
                </w:tcPr>
                <w:p w14:paraId="0B3B0096" w14:textId="77777777" w:rsidR="00155420" w:rsidRPr="00D65121" w:rsidRDefault="00E84F93">
                  <w:pPr>
                    <w:keepNext w:val="0"/>
                    <w:pBdr>
                      <w:top w:val="nil"/>
                      <w:left w:val="nil"/>
                      <w:bottom w:val="nil"/>
                      <w:right w:val="nil"/>
                      <w:between w:val="nil"/>
                    </w:pBdr>
                    <w:spacing w:before="0" w:after="120" w:line="264" w:lineRule="auto"/>
                    <w:ind w:left="0" w:right="0"/>
                    <w:jc w:val="center"/>
                    <w:rPr>
                      <w:color w:val="000000"/>
                    </w:rPr>
                  </w:pPr>
                  <w:r w:rsidRPr="00D65121">
                    <w:rPr>
                      <w:color w:val="000000"/>
                    </w:rPr>
                    <w:t>11,582</w:t>
                  </w:r>
                </w:p>
              </w:tc>
              <w:tc>
                <w:tcPr>
                  <w:tcW w:w="1995" w:type="dxa"/>
                </w:tcPr>
                <w:p w14:paraId="71923695" w14:textId="77777777" w:rsidR="00155420" w:rsidRPr="00D65121" w:rsidRDefault="00E84F93">
                  <w:pPr>
                    <w:keepNext w:val="0"/>
                    <w:pBdr>
                      <w:top w:val="nil"/>
                      <w:left w:val="nil"/>
                      <w:bottom w:val="nil"/>
                      <w:right w:val="nil"/>
                      <w:between w:val="nil"/>
                    </w:pBdr>
                    <w:spacing w:before="0" w:after="120" w:line="264" w:lineRule="auto"/>
                    <w:ind w:left="0" w:right="0"/>
                    <w:jc w:val="center"/>
                    <w:rPr>
                      <w:color w:val="000000"/>
                    </w:rPr>
                  </w:pPr>
                  <w:r w:rsidRPr="00D65121">
                    <w:rPr>
                      <w:color w:val="000000"/>
                    </w:rPr>
                    <w:t>13,468</w:t>
                  </w:r>
                </w:p>
              </w:tc>
            </w:tr>
            <w:tr w:rsidR="00155420" w14:paraId="303FDE0D" w14:textId="77777777" w:rsidTr="00155420">
              <w:trPr>
                <w:cantSplit/>
                <w:trHeight w:val="329"/>
              </w:trPr>
              <w:tc>
                <w:tcPr>
                  <w:tcW w:w="4230" w:type="dxa"/>
                </w:tcPr>
                <w:p w14:paraId="1B344E19" w14:textId="4EB2E37A" w:rsidR="00155420" w:rsidRPr="00D65121" w:rsidRDefault="00E84F93">
                  <w:pPr>
                    <w:keepNext w:val="0"/>
                    <w:pBdr>
                      <w:top w:val="nil"/>
                      <w:left w:val="nil"/>
                      <w:bottom w:val="nil"/>
                      <w:right w:val="nil"/>
                      <w:between w:val="nil"/>
                    </w:pBdr>
                    <w:spacing w:before="0" w:after="120" w:line="264" w:lineRule="auto"/>
                    <w:ind w:left="0" w:right="0"/>
                    <w:rPr>
                      <w:color w:val="000000"/>
                    </w:rPr>
                  </w:pPr>
                  <w:r w:rsidRPr="00D65121">
                    <w:rPr>
                      <w:color w:val="000000"/>
                    </w:rPr>
                    <w:t xml:space="preserve">Percentage of people with confirmed RR TB </w:t>
                  </w:r>
                  <w:r w:rsidR="00C2092B" w:rsidRPr="00D65121">
                    <w:rPr>
                      <w:color w:val="000000"/>
                    </w:rPr>
                    <w:t>and</w:t>
                  </w:r>
                  <w:r w:rsidRPr="00D65121">
                    <w:rPr>
                      <w:color w:val="000000"/>
                    </w:rPr>
                    <w:t xml:space="preserve"> MDR TB that began SL treatment</w:t>
                  </w:r>
                </w:p>
              </w:tc>
              <w:tc>
                <w:tcPr>
                  <w:tcW w:w="2055" w:type="dxa"/>
                </w:tcPr>
                <w:p w14:paraId="40A4C8A2" w14:textId="77777777" w:rsidR="00155420" w:rsidRPr="00D65121" w:rsidRDefault="00E84F93">
                  <w:pPr>
                    <w:keepNext w:val="0"/>
                    <w:pBdr>
                      <w:top w:val="nil"/>
                      <w:left w:val="nil"/>
                      <w:bottom w:val="nil"/>
                      <w:right w:val="nil"/>
                      <w:between w:val="nil"/>
                    </w:pBdr>
                    <w:spacing w:before="0" w:after="120" w:line="264" w:lineRule="auto"/>
                    <w:ind w:left="0" w:right="0"/>
                    <w:jc w:val="center"/>
                    <w:rPr>
                      <w:b/>
                      <w:color w:val="000000"/>
                    </w:rPr>
                  </w:pPr>
                  <w:r w:rsidRPr="00D65121">
                    <w:rPr>
                      <w:b/>
                      <w:color w:val="000000"/>
                    </w:rPr>
                    <w:t>95.3%</w:t>
                  </w:r>
                </w:p>
                <w:p w14:paraId="0CB1C77F" w14:textId="77777777" w:rsidR="00155420" w:rsidRPr="00D65121" w:rsidRDefault="00E84F93">
                  <w:pPr>
                    <w:keepNext w:val="0"/>
                    <w:pBdr>
                      <w:top w:val="nil"/>
                      <w:left w:val="nil"/>
                      <w:bottom w:val="nil"/>
                      <w:right w:val="nil"/>
                      <w:between w:val="nil"/>
                    </w:pBdr>
                    <w:spacing w:before="0" w:after="120" w:line="264" w:lineRule="auto"/>
                    <w:ind w:left="0" w:right="0"/>
                    <w:jc w:val="center"/>
                    <w:rPr>
                      <w:color w:val="000000"/>
                    </w:rPr>
                  </w:pPr>
                  <w:r w:rsidRPr="00D65121">
                    <w:rPr>
                      <w:color w:val="000000"/>
                    </w:rPr>
                    <w:t>(7,850/8,235)</w:t>
                  </w:r>
                </w:p>
              </w:tc>
              <w:tc>
                <w:tcPr>
                  <w:tcW w:w="1935" w:type="dxa"/>
                </w:tcPr>
                <w:p w14:paraId="1B3F020B" w14:textId="77777777" w:rsidR="00155420" w:rsidRPr="00D65121" w:rsidRDefault="00E84F93">
                  <w:pPr>
                    <w:keepNext w:val="0"/>
                    <w:spacing w:before="0" w:after="120" w:line="264" w:lineRule="auto"/>
                    <w:ind w:left="0" w:right="0"/>
                    <w:jc w:val="center"/>
                    <w:rPr>
                      <w:b/>
                      <w:color w:val="000000"/>
                    </w:rPr>
                  </w:pPr>
                  <w:r w:rsidRPr="00D65121">
                    <w:rPr>
                      <w:b/>
                      <w:color w:val="000000"/>
                    </w:rPr>
                    <w:t>100%</w:t>
                  </w:r>
                </w:p>
                <w:p w14:paraId="5B3E2E98" w14:textId="77777777" w:rsidR="00155420" w:rsidRPr="00D65121" w:rsidRDefault="00E84F93">
                  <w:pPr>
                    <w:keepNext w:val="0"/>
                    <w:spacing w:before="0" w:after="120" w:line="264" w:lineRule="auto"/>
                    <w:ind w:left="0" w:right="0"/>
                    <w:jc w:val="center"/>
                    <w:rPr>
                      <w:color w:val="000000"/>
                    </w:rPr>
                  </w:pPr>
                  <w:r w:rsidRPr="00D65121">
                    <w:rPr>
                      <w:color w:val="000000"/>
                    </w:rPr>
                    <w:t>(9,873/9,873)</w:t>
                  </w:r>
                </w:p>
              </w:tc>
              <w:tc>
                <w:tcPr>
                  <w:tcW w:w="2010" w:type="dxa"/>
                </w:tcPr>
                <w:p w14:paraId="7B8E6BCF" w14:textId="77777777" w:rsidR="00155420" w:rsidRPr="00D65121" w:rsidRDefault="00E84F93">
                  <w:pPr>
                    <w:keepNext w:val="0"/>
                    <w:spacing w:before="0" w:after="120" w:line="264" w:lineRule="auto"/>
                    <w:ind w:left="0" w:right="0"/>
                    <w:jc w:val="center"/>
                    <w:rPr>
                      <w:b/>
                      <w:color w:val="000000"/>
                    </w:rPr>
                  </w:pPr>
                  <w:r w:rsidRPr="00D65121">
                    <w:rPr>
                      <w:b/>
                      <w:color w:val="000000"/>
                    </w:rPr>
                    <w:t>100%</w:t>
                  </w:r>
                </w:p>
                <w:p w14:paraId="21CAE84D" w14:textId="77777777" w:rsidR="00155420" w:rsidRPr="00D65121" w:rsidRDefault="00E84F93">
                  <w:pPr>
                    <w:keepNext w:val="0"/>
                    <w:spacing w:before="0" w:after="120" w:line="264" w:lineRule="auto"/>
                    <w:ind w:left="0" w:right="0"/>
                    <w:jc w:val="center"/>
                    <w:rPr>
                      <w:color w:val="000000"/>
                    </w:rPr>
                  </w:pPr>
                  <w:r w:rsidRPr="00D65121">
                    <w:rPr>
                      <w:color w:val="000000"/>
                    </w:rPr>
                    <w:t>(11,582/11,582)</w:t>
                  </w:r>
                </w:p>
              </w:tc>
              <w:tc>
                <w:tcPr>
                  <w:tcW w:w="1995" w:type="dxa"/>
                </w:tcPr>
                <w:p w14:paraId="003E8E72" w14:textId="77777777" w:rsidR="00155420" w:rsidRPr="00D65121" w:rsidRDefault="00E84F93">
                  <w:pPr>
                    <w:keepNext w:val="0"/>
                    <w:spacing w:before="0" w:after="120" w:line="264" w:lineRule="auto"/>
                    <w:ind w:left="0" w:right="0"/>
                    <w:jc w:val="center"/>
                    <w:rPr>
                      <w:b/>
                      <w:color w:val="000000"/>
                    </w:rPr>
                  </w:pPr>
                  <w:r w:rsidRPr="00D65121">
                    <w:rPr>
                      <w:b/>
                      <w:color w:val="000000"/>
                    </w:rPr>
                    <w:t>100%</w:t>
                  </w:r>
                </w:p>
                <w:p w14:paraId="7AEB4EED" w14:textId="77777777" w:rsidR="00155420" w:rsidRPr="00D65121" w:rsidRDefault="00E84F93">
                  <w:pPr>
                    <w:keepNext w:val="0"/>
                    <w:spacing w:before="0" w:after="120" w:line="264" w:lineRule="auto"/>
                    <w:ind w:left="0" w:right="0"/>
                    <w:jc w:val="center"/>
                    <w:rPr>
                      <w:color w:val="000000"/>
                    </w:rPr>
                  </w:pPr>
                  <w:r w:rsidRPr="00D65121">
                    <w:rPr>
                      <w:color w:val="000000"/>
                    </w:rPr>
                    <w:t>(13,468/13468)</w:t>
                  </w:r>
                </w:p>
              </w:tc>
            </w:tr>
            <w:tr w:rsidR="00155420" w14:paraId="33E49BB3" w14:textId="77777777" w:rsidTr="00155420">
              <w:trPr>
                <w:cnfStyle w:val="000000100000" w:firstRow="0" w:lastRow="0" w:firstColumn="0" w:lastColumn="0" w:oddVBand="0" w:evenVBand="0" w:oddHBand="1" w:evenHBand="0" w:firstRowFirstColumn="0" w:firstRowLastColumn="0" w:lastRowFirstColumn="0" w:lastRowLastColumn="0"/>
                <w:cantSplit/>
                <w:trHeight w:val="181"/>
              </w:trPr>
              <w:tc>
                <w:tcPr>
                  <w:tcW w:w="4230" w:type="dxa"/>
                </w:tcPr>
                <w:p w14:paraId="1D3655A4" w14:textId="77777777" w:rsidR="00155420" w:rsidRPr="00D65121" w:rsidRDefault="00E84F93">
                  <w:pPr>
                    <w:keepNext w:val="0"/>
                    <w:pBdr>
                      <w:top w:val="nil"/>
                      <w:left w:val="nil"/>
                      <w:bottom w:val="nil"/>
                      <w:right w:val="nil"/>
                      <w:between w:val="nil"/>
                    </w:pBdr>
                    <w:spacing w:before="0" w:after="120" w:line="264" w:lineRule="auto"/>
                    <w:ind w:left="0" w:right="0"/>
                    <w:rPr>
                      <w:color w:val="000000"/>
                    </w:rPr>
                  </w:pPr>
                  <w:r w:rsidRPr="00D65121">
                    <w:rPr>
                      <w:color w:val="000000"/>
                    </w:rPr>
                    <w:t xml:space="preserve">Percentage of patients with RR/MDR TB successfully treated.  </w:t>
                  </w:r>
                </w:p>
              </w:tc>
              <w:tc>
                <w:tcPr>
                  <w:tcW w:w="2055" w:type="dxa"/>
                </w:tcPr>
                <w:p w14:paraId="488041E7" w14:textId="77777777" w:rsidR="00155420" w:rsidRPr="00D65121" w:rsidRDefault="00E84F93">
                  <w:pPr>
                    <w:keepNext w:val="0"/>
                    <w:pBdr>
                      <w:top w:val="nil"/>
                      <w:left w:val="nil"/>
                      <w:bottom w:val="nil"/>
                      <w:right w:val="nil"/>
                      <w:between w:val="nil"/>
                    </w:pBdr>
                    <w:spacing w:before="0" w:after="120" w:line="264" w:lineRule="auto"/>
                    <w:ind w:left="0" w:right="0"/>
                    <w:jc w:val="center"/>
                    <w:rPr>
                      <w:color w:val="000000"/>
                    </w:rPr>
                  </w:pPr>
                  <w:r w:rsidRPr="00D65121">
                    <w:rPr>
                      <w:b/>
                      <w:color w:val="000000"/>
                    </w:rPr>
                    <w:t>73.5%</w:t>
                  </w:r>
                  <w:r w:rsidRPr="00D65121">
                    <w:rPr>
                      <w:color w:val="000000"/>
                    </w:rPr>
                    <w:t xml:space="preserve"> in 2021</w:t>
                  </w:r>
                </w:p>
                <w:p w14:paraId="7B6D2623" w14:textId="77777777" w:rsidR="00155420" w:rsidRPr="00D65121" w:rsidRDefault="00E84F93">
                  <w:pPr>
                    <w:keepNext w:val="0"/>
                    <w:pBdr>
                      <w:top w:val="nil"/>
                      <w:left w:val="nil"/>
                      <w:bottom w:val="nil"/>
                      <w:right w:val="nil"/>
                      <w:between w:val="nil"/>
                    </w:pBdr>
                    <w:spacing w:before="0" w:after="120" w:line="264" w:lineRule="auto"/>
                    <w:ind w:left="0" w:right="0"/>
                    <w:jc w:val="center"/>
                    <w:rPr>
                      <w:color w:val="000000"/>
                    </w:rPr>
                  </w:pPr>
                  <w:r w:rsidRPr="00D65121">
                    <w:rPr>
                      <w:color w:val="000000"/>
                    </w:rPr>
                    <w:t xml:space="preserve">(4,146/5,641) </w:t>
                  </w:r>
                </w:p>
              </w:tc>
              <w:tc>
                <w:tcPr>
                  <w:tcW w:w="1935" w:type="dxa"/>
                </w:tcPr>
                <w:p w14:paraId="255D0A26" w14:textId="77777777" w:rsidR="00155420" w:rsidRPr="00D65121" w:rsidRDefault="00E84F93">
                  <w:pPr>
                    <w:keepNext w:val="0"/>
                    <w:pBdr>
                      <w:top w:val="nil"/>
                      <w:left w:val="nil"/>
                      <w:bottom w:val="nil"/>
                      <w:right w:val="nil"/>
                      <w:between w:val="nil"/>
                    </w:pBdr>
                    <w:spacing w:before="0" w:after="120" w:line="264" w:lineRule="auto"/>
                    <w:ind w:left="0" w:right="0"/>
                    <w:jc w:val="center"/>
                    <w:rPr>
                      <w:b/>
                      <w:color w:val="000000"/>
                    </w:rPr>
                  </w:pPr>
                  <w:r w:rsidRPr="00D65121">
                    <w:rPr>
                      <w:b/>
                      <w:color w:val="000000"/>
                    </w:rPr>
                    <w:t>85%</w:t>
                  </w:r>
                </w:p>
                <w:p w14:paraId="7D5B09F9" w14:textId="77777777" w:rsidR="00155420" w:rsidRPr="00D65121" w:rsidRDefault="00E84F93">
                  <w:pPr>
                    <w:keepNext w:val="0"/>
                    <w:pBdr>
                      <w:top w:val="nil"/>
                      <w:left w:val="nil"/>
                      <w:bottom w:val="nil"/>
                      <w:right w:val="nil"/>
                      <w:between w:val="nil"/>
                    </w:pBdr>
                    <w:spacing w:before="0" w:after="120" w:line="264" w:lineRule="auto"/>
                    <w:ind w:left="0" w:right="0"/>
                    <w:jc w:val="center"/>
                    <w:rPr>
                      <w:color w:val="000000"/>
                    </w:rPr>
                  </w:pPr>
                  <w:r w:rsidRPr="00D65121">
                    <w:rPr>
                      <w:color w:val="000000"/>
                    </w:rPr>
                    <w:t>(5,472/6,438)</w:t>
                  </w:r>
                </w:p>
              </w:tc>
              <w:tc>
                <w:tcPr>
                  <w:tcW w:w="2010" w:type="dxa"/>
                </w:tcPr>
                <w:p w14:paraId="289AA22D" w14:textId="77777777" w:rsidR="00155420" w:rsidRPr="00D65121" w:rsidRDefault="00E84F93">
                  <w:pPr>
                    <w:keepNext w:val="0"/>
                    <w:pBdr>
                      <w:top w:val="nil"/>
                      <w:left w:val="nil"/>
                      <w:bottom w:val="nil"/>
                      <w:right w:val="nil"/>
                      <w:between w:val="nil"/>
                    </w:pBdr>
                    <w:spacing w:before="0" w:after="120" w:line="264" w:lineRule="auto"/>
                    <w:ind w:left="0" w:right="0"/>
                    <w:jc w:val="center"/>
                    <w:rPr>
                      <w:b/>
                      <w:color w:val="000000"/>
                    </w:rPr>
                  </w:pPr>
                  <w:r w:rsidRPr="00D65121">
                    <w:rPr>
                      <w:b/>
                      <w:color w:val="000000"/>
                    </w:rPr>
                    <w:t>90%</w:t>
                  </w:r>
                </w:p>
                <w:p w14:paraId="4F4C509E" w14:textId="77777777" w:rsidR="00155420" w:rsidRPr="00D65121" w:rsidRDefault="00E84F93">
                  <w:pPr>
                    <w:keepNext w:val="0"/>
                    <w:pBdr>
                      <w:top w:val="nil"/>
                      <w:left w:val="nil"/>
                      <w:bottom w:val="nil"/>
                      <w:right w:val="nil"/>
                      <w:between w:val="nil"/>
                    </w:pBdr>
                    <w:spacing w:before="0" w:after="120" w:line="264" w:lineRule="auto"/>
                    <w:ind w:left="0" w:right="0"/>
                    <w:jc w:val="center"/>
                    <w:rPr>
                      <w:color w:val="000000"/>
                    </w:rPr>
                  </w:pPr>
                  <w:r w:rsidRPr="00D65121">
                    <w:rPr>
                      <w:color w:val="000000"/>
                    </w:rPr>
                    <w:t>(8,359/9,288)</w:t>
                  </w:r>
                </w:p>
              </w:tc>
              <w:tc>
                <w:tcPr>
                  <w:tcW w:w="1995" w:type="dxa"/>
                </w:tcPr>
                <w:p w14:paraId="3DBDA70C" w14:textId="77777777" w:rsidR="00155420" w:rsidRPr="00D65121" w:rsidRDefault="00E84F93">
                  <w:pPr>
                    <w:keepNext w:val="0"/>
                    <w:pBdr>
                      <w:top w:val="nil"/>
                      <w:left w:val="nil"/>
                      <w:bottom w:val="nil"/>
                      <w:right w:val="nil"/>
                      <w:between w:val="nil"/>
                    </w:pBdr>
                    <w:spacing w:before="0" w:after="120" w:line="264" w:lineRule="auto"/>
                    <w:ind w:left="0" w:right="0"/>
                    <w:jc w:val="center"/>
                    <w:rPr>
                      <w:b/>
                      <w:color w:val="000000"/>
                    </w:rPr>
                  </w:pPr>
                  <w:r w:rsidRPr="00D65121">
                    <w:rPr>
                      <w:b/>
                      <w:color w:val="000000"/>
                    </w:rPr>
                    <w:t>90%</w:t>
                  </w:r>
                </w:p>
                <w:p w14:paraId="2FBE558C" w14:textId="77777777" w:rsidR="00155420" w:rsidRPr="00D65121" w:rsidRDefault="00E84F93">
                  <w:pPr>
                    <w:keepNext w:val="0"/>
                    <w:pBdr>
                      <w:top w:val="nil"/>
                      <w:left w:val="nil"/>
                      <w:bottom w:val="nil"/>
                      <w:right w:val="nil"/>
                      <w:between w:val="nil"/>
                    </w:pBdr>
                    <w:spacing w:before="0" w:after="120" w:line="264" w:lineRule="auto"/>
                    <w:ind w:left="0" w:right="0"/>
                    <w:jc w:val="center"/>
                    <w:rPr>
                      <w:color w:val="000000"/>
                    </w:rPr>
                  </w:pPr>
                  <w:r w:rsidRPr="00D65121">
                    <w:rPr>
                      <w:color w:val="000000"/>
                    </w:rPr>
                    <w:t>(9,589/10,655)</w:t>
                  </w:r>
                </w:p>
              </w:tc>
            </w:tr>
            <w:tr w:rsidR="00155420" w14:paraId="7299151F" w14:textId="77777777" w:rsidTr="00155420">
              <w:trPr>
                <w:cantSplit/>
                <w:trHeight w:val="147"/>
              </w:trPr>
              <w:tc>
                <w:tcPr>
                  <w:tcW w:w="4230" w:type="dxa"/>
                </w:tcPr>
                <w:p w14:paraId="6435F293" w14:textId="77777777" w:rsidR="00155420" w:rsidRPr="00D65121" w:rsidRDefault="00E84F93">
                  <w:pPr>
                    <w:keepNext w:val="0"/>
                    <w:pBdr>
                      <w:top w:val="nil"/>
                      <w:left w:val="nil"/>
                      <w:bottom w:val="nil"/>
                      <w:right w:val="nil"/>
                      <w:between w:val="nil"/>
                    </w:pBdr>
                    <w:spacing w:before="0" w:after="120" w:line="264" w:lineRule="auto"/>
                    <w:ind w:left="0" w:right="0"/>
                    <w:rPr>
                      <w:color w:val="000000"/>
                    </w:rPr>
                  </w:pPr>
                  <w:r w:rsidRPr="00D65121">
                    <w:rPr>
                      <w:color w:val="000000"/>
                    </w:rPr>
                    <w:t xml:space="preserve">Percentage of RR/MDR TB patients </w:t>
                  </w:r>
                  <w:r w:rsidRPr="00D65121">
                    <w:rPr>
                      <w:color w:val="000000"/>
                    </w:rPr>
                    <w:t>with DST results for FLQ among the total number of notified RR/MDR TB</w:t>
                  </w:r>
                </w:p>
              </w:tc>
              <w:tc>
                <w:tcPr>
                  <w:tcW w:w="2055" w:type="dxa"/>
                </w:tcPr>
                <w:p w14:paraId="04A7D55C" w14:textId="77777777" w:rsidR="00155420" w:rsidRPr="00D65121" w:rsidRDefault="00E84F93">
                  <w:pPr>
                    <w:keepNext w:val="0"/>
                    <w:pBdr>
                      <w:top w:val="nil"/>
                      <w:left w:val="nil"/>
                      <w:bottom w:val="nil"/>
                      <w:right w:val="nil"/>
                      <w:between w:val="nil"/>
                    </w:pBdr>
                    <w:spacing w:before="0" w:after="120" w:line="264" w:lineRule="auto"/>
                    <w:ind w:left="0" w:right="0"/>
                    <w:jc w:val="center"/>
                    <w:rPr>
                      <w:b/>
                      <w:color w:val="000000"/>
                    </w:rPr>
                  </w:pPr>
                  <w:r w:rsidRPr="00D65121">
                    <w:rPr>
                      <w:b/>
                      <w:color w:val="000000"/>
                    </w:rPr>
                    <w:t>98.6%</w:t>
                  </w:r>
                </w:p>
                <w:p w14:paraId="35B0E9BD" w14:textId="77777777" w:rsidR="00155420" w:rsidRPr="00D65121" w:rsidRDefault="00E84F93">
                  <w:pPr>
                    <w:keepNext w:val="0"/>
                    <w:pBdr>
                      <w:top w:val="nil"/>
                      <w:left w:val="nil"/>
                      <w:bottom w:val="nil"/>
                      <w:right w:val="nil"/>
                      <w:between w:val="nil"/>
                    </w:pBdr>
                    <w:spacing w:before="0" w:after="120" w:line="264" w:lineRule="auto"/>
                    <w:ind w:left="0" w:right="0"/>
                    <w:jc w:val="center"/>
                    <w:rPr>
                      <w:color w:val="000000"/>
                    </w:rPr>
                  </w:pPr>
                  <w:r w:rsidRPr="00D65121">
                    <w:rPr>
                      <w:color w:val="000000"/>
                    </w:rPr>
                    <w:t>(8,119/8,235)</w:t>
                  </w:r>
                </w:p>
              </w:tc>
              <w:tc>
                <w:tcPr>
                  <w:tcW w:w="1935" w:type="dxa"/>
                </w:tcPr>
                <w:p w14:paraId="5F03BDCB" w14:textId="77777777" w:rsidR="00155420" w:rsidRPr="00D65121" w:rsidRDefault="00E84F93">
                  <w:pPr>
                    <w:keepNext w:val="0"/>
                    <w:pBdr>
                      <w:top w:val="nil"/>
                      <w:left w:val="nil"/>
                      <w:bottom w:val="nil"/>
                      <w:right w:val="nil"/>
                      <w:between w:val="nil"/>
                    </w:pBdr>
                    <w:spacing w:before="0" w:after="120" w:line="264" w:lineRule="auto"/>
                    <w:ind w:left="0" w:right="0"/>
                    <w:jc w:val="center"/>
                    <w:rPr>
                      <w:b/>
                      <w:color w:val="000000"/>
                    </w:rPr>
                  </w:pPr>
                  <w:r w:rsidRPr="00D65121">
                    <w:rPr>
                      <w:b/>
                      <w:color w:val="000000"/>
                    </w:rPr>
                    <w:t>100%</w:t>
                  </w:r>
                </w:p>
                <w:p w14:paraId="2D94EF30" w14:textId="77777777" w:rsidR="00155420" w:rsidRPr="00D65121" w:rsidRDefault="00E84F93">
                  <w:pPr>
                    <w:keepNext w:val="0"/>
                    <w:pBdr>
                      <w:top w:val="nil"/>
                      <w:left w:val="nil"/>
                      <w:bottom w:val="nil"/>
                      <w:right w:val="nil"/>
                      <w:between w:val="nil"/>
                    </w:pBdr>
                    <w:spacing w:before="0" w:after="120" w:line="264" w:lineRule="auto"/>
                    <w:ind w:left="0" w:right="0"/>
                    <w:jc w:val="center"/>
                    <w:rPr>
                      <w:color w:val="000000"/>
                    </w:rPr>
                  </w:pPr>
                  <w:r w:rsidRPr="00D65121">
                    <w:rPr>
                      <w:color w:val="000000"/>
                    </w:rPr>
                    <w:t>(9,873/9,873)</w:t>
                  </w:r>
                </w:p>
              </w:tc>
              <w:tc>
                <w:tcPr>
                  <w:tcW w:w="2010" w:type="dxa"/>
                </w:tcPr>
                <w:p w14:paraId="45A8C121" w14:textId="77777777" w:rsidR="00155420" w:rsidRPr="00D65121" w:rsidRDefault="00E84F93">
                  <w:pPr>
                    <w:keepNext w:val="0"/>
                    <w:pBdr>
                      <w:top w:val="nil"/>
                      <w:left w:val="nil"/>
                      <w:bottom w:val="nil"/>
                      <w:right w:val="nil"/>
                      <w:between w:val="nil"/>
                    </w:pBdr>
                    <w:spacing w:before="0" w:after="120" w:line="264" w:lineRule="auto"/>
                    <w:ind w:left="0" w:right="0"/>
                    <w:jc w:val="center"/>
                    <w:rPr>
                      <w:b/>
                      <w:color w:val="000000"/>
                    </w:rPr>
                  </w:pPr>
                  <w:r w:rsidRPr="00D65121">
                    <w:rPr>
                      <w:b/>
                      <w:color w:val="000000"/>
                    </w:rPr>
                    <w:t>100%</w:t>
                  </w:r>
                </w:p>
                <w:p w14:paraId="7605EDC5" w14:textId="77777777" w:rsidR="00155420" w:rsidRPr="00D65121" w:rsidRDefault="00E84F93">
                  <w:pPr>
                    <w:keepNext w:val="0"/>
                    <w:pBdr>
                      <w:top w:val="nil"/>
                      <w:left w:val="nil"/>
                      <w:bottom w:val="nil"/>
                      <w:right w:val="nil"/>
                      <w:between w:val="nil"/>
                    </w:pBdr>
                    <w:spacing w:before="0" w:after="120" w:line="264" w:lineRule="auto"/>
                    <w:ind w:left="0" w:right="0"/>
                    <w:jc w:val="center"/>
                    <w:rPr>
                      <w:color w:val="000000"/>
                    </w:rPr>
                  </w:pPr>
                  <w:r w:rsidRPr="00D65121">
                    <w:rPr>
                      <w:color w:val="000000"/>
                    </w:rPr>
                    <w:t>(11,582/11,582)</w:t>
                  </w:r>
                </w:p>
              </w:tc>
              <w:tc>
                <w:tcPr>
                  <w:tcW w:w="1995" w:type="dxa"/>
                </w:tcPr>
                <w:p w14:paraId="5C7F9627" w14:textId="77777777" w:rsidR="00155420" w:rsidRPr="00D65121" w:rsidRDefault="00E84F93">
                  <w:pPr>
                    <w:keepNext w:val="0"/>
                    <w:pBdr>
                      <w:top w:val="nil"/>
                      <w:left w:val="nil"/>
                      <w:bottom w:val="nil"/>
                      <w:right w:val="nil"/>
                      <w:between w:val="nil"/>
                    </w:pBdr>
                    <w:spacing w:before="0" w:after="120" w:line="264" w:lineRule="auto"/>
                    <w:ind w:left="0" w:right="0"/>
                    <w:jc w:val="center"/>
                    <w:rPr>
                      <w:b/>
                      <w:color w:val="000000"/>
                    </w:rPr>
                  </w:pPr>
                  <w:r w:rsidRPr="00D65121">
                    <w:rPr>
                      <w:b/>
                      <w:color w:val="000000"/>
                    </w:rPr>
                    <w:t>100%</w:t>
                  </w:r>
                </w:p>
                <w:p w14:paraId="25B02C1D" w14:textId="77777777" w:rsidR="00155420" w:rsidRPr="00D65121" w:rsidRDefault="00E84F93">
                  <w:pPr>
                    <w:keepNext w:val="0"/>
                    <w:pBdr>
                      <w:top w:val="nil"/>
                      <w:left w:val="nil"/>
                      <w:bottom w:val="nil"/>
                      <w:right w:val="nil"/>
                      <w:between w:val="nil"/>
                    </w:pBdr>
                    <w:spacing w:before="0" w:after="120" w:line="264" w:lineRule="auto"/>
                    <w:ind w:left="0" w:right="0"/>
                    <w:jc w:val="center"/>
                    <w:rPr>
                      <w:color w:val="000000"/>
                    </w:rPr>
                  </w:pPr>
                  <w:r w:rsidRPr="00D65121">
                    <w:rPr>
                      <w:color w:val="000000"/>
                    </w:rPr>
                    <w:t>13,468/13468)</w:t>
                  </w:r>
                </w:p>
              </w:tc>
            </w:tr>
            <w:tr w:rsidR="00155420" w14:paraId="207F80FB" w14:textId="77777777" w:rsidTr="00155420">
              <w:trPr>
                <w:cnfStyle w:val="000000100000" w:firstRow="0" w:lastRow="0" w:firstColumn="0" w:lastColumn="0" w:oddVBand="0" w:evenVBand="0" w:oddHBand="1" w:evenHBand="0" w:firstRowFirstColumn="0" w:firstRowLastColumn="0" w:lastRowFirstColumn="0" w:lastRowLastColumn="0"/>
                <w:cantSplit/>
                <w:trHeight w:val="147"/>
              </w:trPr>
              <w:tc>
                <w:tcPr>
                  <w:tcW w:w="4230" w:type="dxa"/>
                </w:tcPr>
                <w:p w14:paraId="75CC3620" w14:textId="77777777" w:rsidR="00155420" w:rsidRPr="00D65121" w:rsidRDefault="00E84F93">
                  <w:pPr>
                    <w:keepNext w:val="0"/>
                    <w:pBdr>
                      <w:top w:val="nil"/>
                      <w:left w:val="nil"/>
                      <w:bottom w:val="nil"/>
                      <w:right w:val="nil"/>
                      <w:between w:val="nil"/>
                    </w:pBdr>
                    <w:spacing w:before="0" w:after="120" w:line="264" w:lineRule="auto"/>
                    <w:ind w:left="0" w:right="0"/>
                    <w:rPr>
                      <w:color w:val="000000"/>
                    </w:rPr>
                  </w:pPr>
                  <w:r w:rsidRPr="00D65121">
                    <w:rPr>
                      <w:color w:val="000000"/>
                    </w:rPr>
                    <w:t xml:space="preserve">Percentage of TB patients with DST result for at least Rifampicin among the total number of notified. </w:t>
                  </w:r>
                </w:p>
              </w:tc>
              <w:tc>
                <w:tcPr>
                  <w:tcW w:w="2055" w:type="dxa"/>
                </w:tcPr>
                <w:p w14:paraId="3645712C" w14:textId="77777777" w:rsidR="00155420" w:rsidRPr="00D65121" w:rsidRDefault="00E84F93">
                  <w:pPr>
                    <w:keepNext w:val="0"/>
                    <w:pBdr>
                      <w:top w:val="nil"/>
                      <w:left w:val="nil"/>
                      <w:bottom w:val="nil"/>
                      <w:right w:val="nil"/>
                      <w:between w:val="nil"/>
                    </w:pBdr>
                    <w:spacing w:before="0" w:after="120" w:line="264" w:lineRule="auto"/>
                    <w:ind w:left="0" w:right="0"/>
                    <w:jc w:val="center"/>
                    <w:rPr>
                      <w:b/>
                      <w:color w:val="000000"/>
                    </w:rPr>
                  </w:pPr>
                  <w:r w:rsidRPr="00D65121">
                    <w:rPr>
                      <w:b/>
                      <w:color w:val="000000"/>
                    </w:rPr>
                    <w:t>71%</w:t>
                  </w:r>
                </w:p>
                <w:p w14:paraId="21136F17" w14:textId="77777777" w:rsidR="00155420" w:rsidRPr="00D65121" w:rsidRDefault="00E84F93">
                  <w:pPr>
                    <w:keepNext w:val="0"/>
                    <w:pBdr>
                      <w:top w:val="nil"/>
                      <w:left w:val="nil"/>
                      <w:bottom w:val="nil"/>
                      <w:right w:val="nil"/>
                      <w:between w:val="nil"/>
                    </w:pBdr>
                    <w:spacing w:before="0" w:after="120" w:line="264" w:lineRule="auto"/>
                    <w:ind w:left="0" w:right="0"/>
                    <w:jc w:val="center"/>
                    <w:rPr>
                      <w:color w:val="000000"/>
                    </w:rPr>
                  </w:pPr>
                  <w:r w:rsidRPr="00D65121">
                    <w:rPr>
                      <w:color w:val="000000"/>
                    </w:rPr>
                    <w:t>(337,262/476,754)</w:t>
                  </w:r>
                </w:p>
              </w:tc>
              <w:tc>
                <w:tcPr>
                  <w:tcW w:w="1935" w:type="dxa"/>
                </w:tcPr>
                <w:p w14:paraId="0199917D" w14:textId="77777777" w:rsidR="00155420" w:rsidRPr="00D65121" w:rsidRDefault="00E84F93">
                  <w:pPr>
                    <w:keepNext w:val="0"/>
                    <w:pBdr>
                      <w:top w:val="nil"/>
                      <w:left w:val="nil"/>
                      <w:bottom w:val="nil"/>
                      <w:right w:val="nil"/>
                      <w:between w:val="nil"/>
                    </w:pBdr>
                    <w:spacing w:before="0" w:after="120" w:line="264" w:lineRule="auto"/>
                    <w:ind w:left="0" w:right="0"/>
                    <w:jc w:val="center"/>
                    <w:rPr>
                      <w:b/>
                      <w:color w:val="000000"/>
                    </w:rPr>
                  </w:pPr>
                  <w:r w:rsidRPr="00D65121">
                    <w:rPr>
                      <w:b/>
                      <w:color w:val="000000"/>
                    </w:rPr>
                    <w:t>75%</w:t>
                  </w:r>
                </w:p>
                <w:p w14:paraId="7B6F0A80" w14:textId="77777777" w:rsidR="00155420" w:rsidRPr="00D65121" w:rsidRDefault="00E84F93">
                  <w:pPr>
                    <w:keepNext w:val="0"/>
                    <w:pBdr>
                      <w:top w:val="nil"/>
                      <w:left w:val="nil"/>
                      <w:bottom w:val="nil"/>
                      <w:right w:val="nil"/>
                      <w:between w:val="nil"/>
                    </w:pBdr>
                    <w:spacing w:before="0" w:after="120" w:line="264" w:lineRule="auto"/>
                    <w:ind w:left="0" w:right="0"/>
                    <w:jc w:val="center"/>
                    <w:rPr>
                      <w:color w:val="000000"/>
                    </w:rPr>
                  </w:pPr>
                  <w:r w:rsidRPr="00D65121">
                    <w:rPr>
                      <w:color w:val="000000"/>
                    </w:rPr>
                    <w:t>(393,027/524,036</w:t>
                  </w:r>
                </w:p>
              </w:tc>
              <w:tc>
                <w:tcPr>
                  <w:tcW w:w="2010" w:type="dxa"/>
                </w:tcPr>
                <w:p w14:paraId="6DF2C324" w14:textId="77777777" w:rsidR="00155420" w:rsidRPr="00D65121" w:rsidRDefault="00E84F93">
                  <w:pPr>
                    <w:keepNext w:val="0"/>
                    <w:pBdr>
                      <w:top w:val="nil"/>
                      <w:left w:val="nil"/>
                      <w:bottom w:val="nil"/>
                      <w:right w:val="nil"/>
                      <w:between w:val="nil"/>
                    </w:pBdr>
                    <w:spacing w:before="0" w:after="120" w:line="264" w:lineRule="auto"/>
                    <w:ind w:left="0" w:right="0"/>
                    <w:jc w:val="center"/>
                    <w:rPr>
                      <w:b/>
                      <w:color w:val="000000"/>
                    </w:rPr>
                  </w:pPr>
                  <w:r w:rsidRPr="00D65121">
                    <w:rPr>
                      <w:b/>
                      <w:color w:val="000000"/>
                    </w:rPr>
                    <w:t>78%</w:t>
                  </w:r>
                </w:p>
                <w:p w14:paraId="15351E03" w14:textId="77777777" w:rsidR="00155420" w:rsidRPr="00D65121" w:rsidRDefault="00E84F93">
                  <w:pPr>
                    <w:keepNext w:val="0"/>
                    <w:pBdr>
                      <w:top w:val="nil"/>
                      <w:left w:val="nil"/>
                      <w:bottom w:val="nil"/>
                      <w:right w:val="nil"/>
                      <w:between w:val="nil"/>
                    </w:pBdr>
                    <w:spacing w:before="0" w:after="120" w:line="264" w:lineRule="auto"/>
                    <w:ind w:left="0" w:right="0"/>
                    <w:jc w:val="center"/>
                    <w:rPr>
                      <w:color w:val="000000"/>
                    </w:rPr>
                  </w:pPr>
                  <w:r w:rsidRPr="00D65121">
                    <w:rPr>
                      <w:color w:val="000000"/>
                    </w:rPr>
                    <w:t>(435,934/558,890)</w:t>
                  </w:r>
                </w:p>
              </w:tc>
              <w:tc>
                <w:tcPr>
                  <w:tcW w:w="1995" w:type="dxa"/>
                </w:tcPr>
                <w:p w14:paraId="31CD1C27" w14:textId="77777777" w:rsidR="00155420" w:rsidRPr="00D65121" w:rsidRDefault="00E84F93">
                  <w:pPr>
                    <w:keepNext w:val="0"/>
                    <w:pBdr>
                      <w:top w:val="nil"/>
                      <w:left w:val="nil"/>
                      <w:bottom w:val="nil"/>
                      <w:right w:val="nil"/>
                      <w:between w:val="nil"/>
                    </w:pBdr>
                    <w:spacing w:before="0" w:after="120" w:line="264" w:lineRule="auto"/>
                    <w:ind w:left="0" w:right="0"/>
                    <w:jc w:val="center"/>
                    <w:rPr>
                      <w:b/>
                      <w:color w:val="000000"/>
                    </w:rPr>
                  </w:pPr>
                  <w:r w:rsidRPr="00D65121">
                    <w:rPr>
                      <w:b/>
                      <w:color w:val="000000"/>
                    </w:rPr>
                    <w:t>80%</w:t>
                  </w:r>
                </w:p>
                <w:p w14:paraId="24BDCD73" w14:textId="77777777" w:rsidR="00155420" w:rsidRPr="00D65121" w:rsidRDefault="00E84F93">
                  <w:pPr>
                    <w:keepNext w:val="0"/>
                    <w:pBdr>
                      <w:top w:val="nil"/>
                      <w:left w:val="nil"/>
                      <w:bottom w:val="nil"/>
                      <w:right w:val="nil"/>
                      <w:between w:val="nil"/>
                    </w:pBdr>
                    <w:spacing w:before="0" w:after="120" w:line="264" w:lineRule="auto"/>
                    <w:ind w:left="0" w:right="0"/>
                    <w:jc w:val="center"/>
                    <w:rPr>
                      <w:color w:val="000000"/>
                    </w:rPr>
                  </w:pPr>
                  <w:r w:rsidRPr="00D65121">
                    <w:rPr>
                      <w:color w:val="000000"/>
                    </w:rPr>
                    <w:t>(476,569/595,711)</w:t>
                  </w:r>
                </w:p>
              </w:tc>
            </w:tr>
          </w:tbl>
          <w:p w14:paraId="5683EC9B" w14:textId="77777777" w:rsidR="00155420" w:rsidRDefault="00E84F93">
            <w:pPr>
              <w:keepNext w:val="0"/>
              <w:numPr>
                <w:ilvl w:val="0"/>
                <w:numId w:val="25"/>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DR-TB treatment coverage increased to 78% in 2026 from 31% in 2021.</w:t>
            </w:r>
          </w:p>
          <w:p w14:paraId="1E18E4D5" w14:textId="77777777" w:rsidR="00155420" w:rsidRDefault="00E84F93">
            <w:pPr>
              <w:keepNext w:val="0"/>
              <w:numPr>
                <w:ilvl w:val="0"/>
                <w:numId w:val="25"/>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Fully integrated DS and DR TB care in primary care facilities (iDOTS).       </w:t>
            </w:r>
          </w:p>
          <w:p w14:paraId="3C0F6FC8" w14:textId="77777777" w:rsidR="00155420" w:rsidRDefault="00E84F93">
            <w:pPr>
              <w:keepNext w:val="0"/>
              <w:numPr>
                <w:ilvl w:val="0"/>
                <w:numId w:val="25"/>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872 RDT sites with 961 </w:t>
            </w:r>
            <w:r>
              <w:rPr>
                <w:color w:val="000000"/>
              </w:rPr>
              <w:t>GeneXpert machines are optimized.</w:t>
            </w:r>
          </w:p>
        </w:tc>
      </w:tr>
      <w:tr w:rsidR="00155420" w14:paraId="2144B25D"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shd w:val="clear" w:color="auto" w:fill="ABB7FC"/>
          </w:tcPr>
          <w:p w14:paraId="34DF744F"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color w:val="000000"/>
                <w:sz w:val="24"/>
                <w:szCs w:val="24"/>
              </w:rPr>
              <w:t>Module #2</w:t>
            </w:r>
          </w:p>
        </w:tc>
        <w:tc>
          <w:tcPr>
            <w:tcW w:w="12465" w:type="dxa"/>
            <w:shd w:val="clear" w:color="auto" w:fill="ABB7FC"/>
          </w:tcPr>
          <w:p w14:paraId="7B7DB990"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b/>
                <w:color w:val="000000"/>
                <w:sz w:val="24"/>
                <w:szCs w:val="24"/>
              </w:rPr>
            </w:pPr>
            <w:r>
              <w:rPr>
                <w:b/>
                <w:color w:val="000000"/>
                <w:sz w:val="24"/>
                <w:szCs w:val="24"/>
              </w:rPr>
              <w:t xml:space="preserve">TB/DR TB Prevention  </w:t>
            </w:r>
          </w:p>
        </w:tc>
      </w:tr>
      <w:tr w:rsidR="00155420" w14:paraId="6330504E"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vMerge w:val="restart"/>
          </w:tcPr>
          <w:p w14:paraId="637B66BC"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Intervention(s)</w:t>
            </w:r>
          </w:p>
        </w:tc>
        <w:tc>
          <w:tcPr>
            <w:tcW w:w="12465" w:type="dxa"/>
          </w:tcPr>
          <w:p w14:paraId="1021290B"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Screening/testing for TB infection  </w:t>
            </w:r>
            <w:r>
              <w:rPr>
                <w:rFonts w:ascii="MS Gothic" w:eastAsia="MS Gothic" w:hAnsi="MS Gothic" w:cs="MS Gothic"/>
                <w:color w:val="000000"/>
              </w:rPr>
              <w:t>☐</w:t>
            </w:r>
            <w:r>
              <w:rPr>
                <w:color w:val="000000"/>
              </w:rPr>
              <w:t xml:space="preserve"> New, </w:t>
            </w:r>
            <w:r>
              <w:rPr>
                <w:rFonts w:ascii="MS Gothic" w:eastAsia="MS Gothic" w:hAnsi="MS Gothic" w:cs="MS Gothic"/>
                <w:color w:val="000000"/>
              </w:rPr>
              <w:t>☒</w:t>
            </w:r>
            <w:r>
              <w:rPr>
                <w:color w:val="000000"/>
              </w:rPr>
              <w:t xml:space="preserve"> Scale-up, </w:t>
            </w:r>
            <w:r>
              <w:rPr>
                <w:rFonts w:ascii="MS Gothic" w:eastAsia="MS Gothic" w:hAnsi="MS Gothic" w:cs="MS Gothic"/>
                <w:color w:val="000000"/>
              </w:rPr>
              <w:t>☐</w:t>
            </w:r>
            <w:r>
              <w:rPr>
                <w:color w:val="000000"/>
              </w:rPr>
              <w:t xml:space="preserve"> Continuation, or </w:t>
            </w:r>
            <w:r>
              <w:rPr>
                <w:rFonts w:ascii="MS Gothic" w:eastAsia="MS Gothic" w:hAnsi="MS Gothic" w:cs="MS Gothic"/>
                <w:color w:val="000000"/>
              </w:rPr>
              <w:t>☐</w:t>
            </w:r>
            <w:r>
              <w:rPr>
                <w:color w:val="000000"/>
              </w:rPr>
              <w:t xml:space="preserve"> Scale-down</w:t>
            </w:r>
          </w:p>
        </w:tc>
      </w:tr>
      <w:tr w:rsidR="00155420" w14:paraId="319A8C39"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vMerge/>
          </w:tcPr>
          <w:p w14:paraId="4F859AD9" w14:textId="77777777" w:rsidR="00155420" w:rsidRDefault="00155420">
            <w:pPr>
              <w:keepNext w:val="0"/>
              <w:widowControl w:val="0"/>
              <w:pBdr>
                <w:top w:val="nil"/>
                <w:left w:val="nil"/>
                <w:bottom w:val="nil"/>
                <w:right w:val="nil"/>
                <w:between w:val="nil"/>
              </w:pBdr>
              <w:spacing w:before="0" w:line="276" w:lineRule="auto"/>
              <w:ind w:left="0" w:right="0"/>
              <w:rPr>
                <w:color w:val="000000"/>
              </w:rPr>
            </w:pPr>
          </w:p>
        </w:tc>
        <w:tc>
          <w:tcPr>
            <w:tcW w:w="12465" w:type="dxa"/>
          </w:tcPr>
          <w:p w14:paraId="539260DB"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Preventive Treatment </w:t>
            </w:r>
            <w:r>
              <w:rPr>
                <w:rFonts w:ascii="MS Gothic" w:eastAsia="MS Gothic" w:hAnsi="MS Gothic" w:cs="MS Gothic"/>
                <w:color w:val="000000"/>
              </w:rPr>
              <w:t>☐</w:t>
            </w:r>
            <w:r>
              <w:rPr>
                <w:color w:val="000000"/>
              </w:rPr>
              <w:t xml:space="preserve"> New, </w:t>
            </w:r>
            <w:r>
              <w:rPr>
                <w:rFonts w:ascii="MS Gothic" w:eastAsia="MS Gothic" w:hAnsi="MS Gothic" w:cs="MS Gothic"/>
                <w:color w:val="000000"/>
              </w:rPr>
              <w:t>☒</w:t>
            </w:r>
            <w:r>
              <w:rPr>
                <w:color w:val="000000"/>
              </w:rPr>
              <w:t xml:space="preserve"> Scale-up, </w:t>
            </w:r>
            <w:r>
              <w:rPr>
                <w:rFonts w:ascii="MS Gothic" w:eastAsia="MS Gothic" w:hAnsi="MS Gothic" w:cs="MS Gothic"/>
                <w:color w:val="000000"/>
              </w:rPr>
              <w:t>☐</w:t>
            </w:r>
            <w:r>
              <w:rPr>
                <w:color w:val="000000"/>
              </w:rPr>
              <w:t xml:space="preserve"> Continuation, or </w:t>
            </w:r>
            <w:r>
              <w:rPr>
                <w:rFonts w:ascii="MS Gothic" w:eastAsia="MS Gothic" w:hAnsi="MS Gothic" w:cs="MS Gothic"/>
                <w:color w:val="000000"/>
              </w:rPr>
              <w:t>☐</w:t>
            </w:r>
            <w:r>
              <w:rPr>
                <w:color w:val="000000"/>
              </w:rPr>
              <w:t xml:space="preserve"> Scale-down</w:t>
            </w:r>
          </w:p>
        </w:tc>
      </w:tr>
      <w:tr w:rsidR="00155420" w14:paraId="0986CA69"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tcPr>
          <w:p w14:paraId="1102384F"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lastRenderedPageBreak/>
              <w:t>Population, geographies, and barriers addressed</w:t>
            </w:r>
          </w:p>
        </w:tc>
        <w:tc>
          <w:tcPr>
            <w:tcW w:w="12465" w:type="dxa"/>
          </w:tcPr>
          <w:p w14:paraId="1D36DAC2"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b/>
                <w:color w:val="000000"/>
              </w:rPr>
              <w:t>Population:</w:t>
            </w:r>
            <w:r>
              <w:rPr>
                <w:color w:val="000000"/>
              </w:rPr>
              <w:t xml:space="preserve"> All TB contacts </w:t>
            </w:r>
          </w:p>
          <w:p w14:paraId="5C7316D2"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b/>
                <w:color w:val="000000"/>
              </w:rPr>
              <w:t>Geography:</w:t>
            </w:r>
            <w:r>
              <w:rPr>
                <w:color w:val="000000"/>
              </w:rPr>
              <w:t xml:space="preserve"> Nationwide </w:t>
            </w:r>
          </w:p>
          <w:p w14:paraId="463F6808"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b/>
                <w:color w:val="000000"/>
              </w:rPr>
              <w:t xml:space="preserve">Barriers: </w:t>
            </w:r>
            <w:r>
              <w:rPr>
                <w:color w:val="000000"/>
              </w:rPr>
              <w:t>Coverage is low with TB contacts, given that TPT in 2022 is only 31,211 out of 47,343 eligible (66%). A shorter TPT regimen has yet to be fully implemented. Misconceptions about the benefit of TPT among HCWs and clients are high and need to be addressed by</w:t>
            </w:r>
            <w:r>
              <w:rPr>
                <w:color w:val="000000"/>
              </w:rPr>
              <w:t xml:space="preserve"> SBCC interventions and interrupted supplies for TST. The use of IGRA is part of the MOP, but no investment for operationalization.  </w:t>
            </w:r>
          </w:p>
        </w:tc>
      </w:tr>
      <w:tr w:rsidR="00155420" w14:paraId="3DB35AB0"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tcPr>
          <w:p w14:paraId="130FC6E9"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List of activities</w:t>
            </w:r>
          </w:p>
        </w:tc>
        <w:tc>
          <w:tcPr>
            <w:tcW w:w="12465" w:type="dxa"/>
          </w:tcPr>
          <w:p w14:paraId="5F4E84ED" w14:textId="77777777" w:rsidR="00155420" w:rsidRDefault="00E84F93">
            <w:pPr>
              <w:keepNext w:val="0"/>
              <w:numPr>
                <w:ilvl w:val="0"/>
                <w:numId w:val="6"/>
              </w:numPr>
              <w:pBdr>
                <w:top w:val="nil"/>
                <w:left w:val="nil"/>
                <w:bottom w:val="nil"/>
                <w:right w:val="nil"/>
                <w:between w:val="nil"/>
              </w:pBdr>
              <w:spacing w:before="0" w:after="120" w:line="264" w:lineRule="auto"/>
              <w:ind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Procurement &amp; dispensing of PPD and 3HP. </w:t>
            </w:r>
          </w:p>
          <w:p w14:paraId="624E5F59" w14:textId="77777777" w:rsidR="00155420" w:rsidRDefault="00E84F93">
            <w:pPr>
              <w:keepNext w:val="0"/>
              <w:numPr>
                <w:ilvl w:val="0"/>
                <w:numId w:val="6"/>
              </w:numPr>
              <w:pBdr>
                <w:top w:val="nil"/>
                <w:left w:val="nil"/>
                <w:bottom w:val="nil"/>
                <w:right w:val="nil"/>
                <w:between w:val="nil"/>
              </w:pBdr>
              <w:spacing w:before="0" w:after="120" w:line="264" w:lineRule="auto"/>
              <w:ind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Enhance and disseminate SBCC materials on TPT for HCWs and target clients.  </w:t>
            </w:r>
          </w:p>
          <w:p w14:paraId="73ACBEB5" w14:textId="77777777" w:rsidR="00155420" w:rsidRDefault="00E84F93">
            <w:pPr>
              <w:keepNext w:val="0"/>
              <w:numPr>
                <w:ilvl w:val="0"/>
                <w:numId w:val="6"/>
              </w:numPr>
              <w:pBdr>
                <w:top w:val="nil"/>
                <w:left w:val="nil"/>
                <w:bottom w:val="nil"/>
                <w:right w:val="nil"/>
                <w:between w:val="nil"/>
              </w:pBdr>
              <w:spacing w:before="0" w:after="120" w:line="264" w:lineRule="auto"/>
              <w:ind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Engaging professional groups to provide TPT orientation for new healthcare workers.</w:t>
            </w:r>
          </w:p>
          <w:p w14:paraId="451D1CBD" w14:textId="77777777" w:rsidR="00155420" w:rsidRDefault="00E84F93">
            <w:pPr>
              <w:keepNext w:val="0"/>
              <w:numPr>
                <w:ilvl w:val="0"/>
                <w:numId w:val="6"/>
              </w:numPr>
              <w:pBdr>
                <w:top w:val="nil"/>
                <w:left w:val="nil"/>
                <w:bottom w:val="nil"/>
                <w:right w:val="nil"/>
                <w:between w:val="nil"/>
              </w:pBdr>
              <w:spacing w:before="0" w:after="120" w:line="264" w:lineRule="auto"/>
              <w:ind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Improving TPT recording and reporting mechanisms in ITIS. </w:t>
            </w:r>
          </w:p>
          <w:p w14:paraId="08E46996" w14:textId="77777777" w:rsidR="00155420" w:rsidRDefault="00E84F93">
            <w:pPr>
              <w:keepNext w:val="0"/>
              <w:numPr>
                <w:ilvl w:val="0"/>
                <w:numId w:val="6"/>
              </w:numPr>
              <w:pBdr>
                <w:top w:val="nil"/>
                <w:left w:val="nil"/>
                <w:bottom w:val="nil"/>
                <w:right w:val="nil"/>
                <w:between w:val="nil"/>
              </w:pBdr>
              <w:spacing w:before="0" w:after="120" w:line="264" w:lineRule="auto"/>
              <w:ind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Continuous deployment of 450 communi</w:t>
            </w:r>
            <w:r>
              <w:rPr>
                <w:color w:val="000000"/>
              </w:rPr>
              <w:t xml:space="preserve">ty volunteers (currently onboard under the GF Grant 2021-2023) for contact investigation and support active case-finding interventions (under the KVP module).    </w:t>
            </w:r>
          </w:p>
        </w:tc>
      </w:tr>
      <w:tr w:rsidR="00155420" w14:paraId="799BDF53"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tcPr>
          <w:p w14:paraId="24AAD872"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Amount requested</w:t>
            </w:r>
          </w:p>
        </w:tc>
        <w:tc>
          <w:tcPr>
            <w:tcW w:w="12465" w:type="dxa"/>
          </w:tcPr>
          <w:p w14:paraId="493E6455" w14:textId="4CACDAE0"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sidRPr="00D65121">
              <w:rPr>
                <w:color w:val="000000"/>
              </w:rPr>
              <w:t>USD 6,</w:t>
            </w:r>
            <w:r w:rsidR="00B57005" w:rsidRPr="00D65121">
              <w:rPr>
                <w:color w:val="000000"/>
              </w:rPr>
              <w:t>463</w:t>
            </w:r>
            <w:r w:rsidRPr="00D65121">
              <w:rPr>
                <w:color w:val="000000"/>
              </w:rPr>
              <w:t>,</w:t>
            </w:r>
            <w:r w:rsidR="00B57005" w:rsidRPr="00D65121">
              <w:rPr>
                <w:color w:val="000000"/>
              </w:rPr>
              <w:t>34</w:t>
            </w:r>
            <w:r w:rsidR="00D65121" w:rsidRPr="00D65121">
              <w:rPr>
                <w:color w:val="000000"/>
              </w:rPr>
              <w:t>5</w:t>
            </w:r>
            <w:r w:rsidR="00D65121">
              <w:rPr>
                <w:color w:val="000000"/>
              </w:rPr>
              <w:t xml:space="preserve"> </w:t>
            </w:r>
            <w:r>
              <w:rPr>
                <w:color w:val="000000"/>
              </w:rPr>
              <w:t>[5% of the total FR]</w:t>
            </w:r>
          </w:p>
        </w:tc>
      </w:tr>
      <w:tr w:rsidR="00155420" w14:paraId="0C7CAAA5"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tcPr>
          <w:p w14:paraId="6BD37A2C"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Expected outcome</w:t>
            </w:r>
          </w:p>
        </w:tc>
        <w:tc>
          <w:tcPr>
            <w:tcW w:w="12465" w:type="dxa"/>
          </w:tcPr>
          <w:p w14:paraId="2B02D01D" w14:textId="77777777" w:rsidR="00155420" w:rsidRDefault="00155420">
            <w:pPr>
              <w:keepNext w:val="0"/>
              <w:widowControl w:val="0"/>
              <w:pBdr>
                <w:top w:val="nil"/>
                <w:left w:val="nil"/>
                <w:bottom w:val="nil"/>
                <w:right w:val="nil"/>
                <w:between w:val="nil"/>
              </w:pBdr>
              <w:spacing w:before="0" w:line="276" w:lineRule="auto"/>
              <w:ind w:left="0" w:right="0"/>
              <w:cnfStyle w:val="000000100000" w:firstRow="0" w:lastRow="0" w:firstColumn="0" w:lastColumn="0" w:oddVBand="0" w:evenVBand="0" w:oddHBand="1" w:evenHBand="0" w:firstRowFirstColumn="0" w:firstRowLastColumn="0" w:lastRowFirstColumn="0" w:lastRowLastColumn="0"/>
              <w:rPr>
                <w:color w:val="000000"/>
                <w:sz w:val="24"/>
                <w:szCs w:val="24"/>
              </w:rPr>
            </w:pPr>
          </w:p>
          <w:tbl>
            <w:tblPr>
              <w:tblStyle w:val="a3"/>
              <w:tblW w:w="12216" w:type="dxa"/>
              <w:tblBorders>
                <w:top w:val="single" w:sz="4" w:space="0" w:color="2E4DF9"/>
                <w:left w:val="single" w:sz="4" w:space="0" w:color="2E4DF9"/>
                <w:bottom w:val="single" w:sz="4" w:space="0" w:color="2E4DF9"/>
                <w:right w:val="single" w:sz="4" w:space="0" w:color="2E4DF9"/>
                <w:insideH w:val="single" w:sz="4" w:space="0" w:color="999999"/>
                <w:insideV w:val="single" w:sz="4" w:space="0" w:color="999999"/>
              </w:tblBorders>
              <w:tblLayout w:type="fixed"/>
              <w:tblLook w:val="0420" w:firstRow="1" w:lastRow="0" w:firstColumn="0" w:lastColumn="0" w:noHBand="0" w:noVBand="1"/>
            </w:tblPr>
            <w:tblGrid>
              <w:gridCol w:w="3716"/>
              <w:gridCol w:w="2263"/>
              <w:gridCol w:w="2126"/>
              <w:gridCol w:w="1985"/>
              <w:gridCol w:w="2126"/>
            </w:tblGrid>
            <w:tr w:rsidR="00155420" w14:paraId="2083F417" w14:textId="77777777" w:rsidTr="00155420">
              <w:trPr>
                <w:cnfStyle w:val="100000000000" w:firstRow="1" w:lastRow="0" w:firstColumn="0" w:lastColumn="0" w:oddVBand="0" w:evenVBand="0" w:oddHBand="0" w:evenHBand="0" w:firstRowFirstColumn="0" w:firstRowLastColumn="0" w:lastRowFirstColumn="0" w:lastRowLastColumn="0"/>
                <w:cantSplit/>
                <w:trHeight w:val="283"/>
              </w:trPr>
              <w:tc>
                <w:tcPr>
                  <w:tcW w:w="3716" w:type="dxa"/>
                </w:tcPr>
                <w:p w14:paraId="25F6B231" w14:textId="77777777" w:rsidR="00155420" w:rsidRDefault="00E84F93">
                  <w:pPr>
                    <w:keepNext w:val="0"/>
                    <w:pBdr>
                      <w:top w:val="nil"/>
                      <w:left w:val="nil"/>
                      <w:bottom w:val="nil"/>
                      <w:right w:val="nil"/>
                      <w:between w:val="nil"/>
                    </w:pBdr>
                    <w:spacing w:before="0" w:after="120" w:line="264" w:lineRule="auto"/>
                    <w:ind w:left="0" w:right="0"/>
                    <w:jc w:val="center"/>
                    <w:rPr>
                      <w:sz w:val="24"/>
                      <w:szCs w:val="24"/>
                    </w:rPr>
                  </w:pPr>
                  <w:r>
                    <w:rPr>
                      <w:sz w:val="24"/>
                      <w:szCs w:val="24"/>
                    </w:rPr>
                    <w:t>Indicator</w:t>
                  </w:r>
                </w:p>
              </w:tc>
              <w:tc>
                <w:tcPr>
                  <w:tcW w:w="2263" w:type="dxa"/>
                </w:tcPr>
                <w:p w14:paraId="041ECA7C" w14:textId="77777777" w:rsidR="00155420" w:rsidRDefault="00E84F93">
                  <w:pPr>
                    <w:keepNext w:val="0"/>
                    <w:pBdr>
                      <w:top w:val="nil"/>
                      <w:left w:val="nil"/>
                      <w:bottom w:val="nil"/>
                      <w:right w:val="nil"/>
                      <w:between w:val="nil"/>
                    </w:pBdr>
                    <w:spacing w:before="0" w:after="120" w:line="264" w:lineRule="auto"/>
                    <w:ind w:left="0" w:right="0"/>
                    <w:jc w:val="center"/>
                    <w:rPr>
                      <w:sz w:val="24"/>
                      <w:szCs w:val="24"/>
                    </w:rPr>
                  </w:pPr>
                  <w:r>
                    <w:rPr>
                      <w:sz w:val="24"/>
                      <w:szCs w:val="24"/>
                    </w:rPr>
                    <w:t xml:space="preserve">Baseline </w:t>
                  </w:r>
                  <w:r>
                    <w:rPr>
                      <w:sz w:val="24"/>
                      <w:szCs w:val="24"/>
                    </w:rPr>
                    <w:t>2022</w:t>
                  </w:r>
                </w:p>
              </w:tc>
              <w:tc>
                <w:tcPr>
                  <w:tcW w:w="2126" w:type="dxa"/>
                </w:tcPr>
                <w:p w14:paraId="2C4AB1DE" w14:textId="77777777" w:rsidR="00155420" w:rsidRDefault="00E84F93">
                  <w:pPr>
                    <w:keepNext w:val="0"/>
                    <w:pBdr>
                      <w:top w:val="nil"/>
                      <w:left w:val="nil"/>
                      <w:bottom w:val="nil"/>
                      <w:right w:val="nil"/>
                      <w:between w:val="nil"/>
                    </w:pBdr>
                    <w:spacing w:before="0" w:after="120" w:line="264" w:lineRule="auto"/>
                    <w:ind w:left="0" w:right="0"/>
                    <w:jc w:val="center"/>
                    <w:rPr>
                      <w:sz w:val="24"/>
                      <w:szCs w:val="24"/>
                    </w:rPr>
                  </w:pPr>
                  <w:r>
                    <w:rPr>
                      <w:sz w:val="24"/>
                      <w:szCs w:val="24"/>
                    </w:rPr>
                    <w:t>2024</w:t>
                  </w:r>
                </w:p>
              </w:tc>
              <w:tc>
                <w:tcPr>
                  <w:tcW w:w="1985" w:type="dxa"/>
                </w:tcPr>
                <w:p w14:paraId="48965BAD" w14:textId="77777777" w:rsidR="00155420" w:rsidRDefault="00E84F93">
                  <w:pPr>
                    <w:keepNext w:val="0"/>
                    <w:pBdr>
                      <w:top w:val="nil"/>
                      <w:left w:val="nil"/>
                      <w:bottom w:val="nil"/>
                      <w:right w:val="nil"/>
                      <w:between w:val="nil"/>
                    </w:pBdr>
                    <w:spacing w:before="0" w:after="120" w:line="264" w:lineRule="auto"/>
                    <w:ind w:left="0" w:right="0"/>
                    <w:jc w:val="center"/>
                    <w:rPr>
                      <w:sz w:val="24"/>
                      <w:szCs w:val="24"/>
                    </w:rPr>
                  </w:pPr>
                  <w:r>
                    <w:rPr>
                      <w:sz w:val="24"/>
                      <w:szCs w:val="24"/>
                    </w:rPr>
                    <w:t>2025</w:t>
                  </w:r>
                </w:p>
              </w:tc>
              <w:tc>
                <w:tcPr>
                  <w:tcW w:w="2126" w:type="dxa"/>
                </w:tcPr>
                <w:p w14:paraId="4B47E75F" w14:textId="77777777" w:rsidR="00155420" w:rsidRDefault="00E84F93">
                  <w:pPr>
                    <w:keepNext w:val="0"/>
                    <w:pBdr>
                      <w:top w:val="nil"/>
                      <w:left w:val="nil"/>
                      <w:bottom w:val="nil"/>
                      <w:right w:val="nil"/>
                      <w:between w:val="nil"/>
                    </w:pBdr>
                    <w:spacing w:before="0" w:after="120" w:line="264" w:lineRule="auto"/>
                    <w:ind w:left="0" w:right="0"/>
                    <w:jc w:val="center"/>
                    <w:rPr>
                      <w:sz w:val="24"/>
                      <w:szCs w:val="24"/>
                    </w:rPr>
                  </w:pPr>
                  <w:r>
                    <w:rPr>
                      <w:sz w:val="24"/>
                      <w:szCs w:val="24"/>
                    </w:rPr>
                    <w:t>2026</w:t>
                  </w:r>
                </w:p>
              </w:tc>
            </w:tr>
            <w:tr w:rsidR="00155420" w14:paraId="544EB81E" w14:textId="77777777" w:rsidTr="00155420">
              <w:trPr>
                <w:cnfStyle w:val="000000100000" w:firstRow="0" w:lastRow="0" w:firstColumn="0" w:lastColumn="0" w:oddVBand="0" w:evenVBand="0" w:oddHBand="1" w:evenHBand="0" w:firstRowFirstColumn="0" w:firstRowLastColumn="0" w:lastRowFirstColumn="0" w:lastRowLastColumn="0"/>
                <w:cantSplit/>
                <w:trHeight w:val="209"/>
              </w:trPr>
              <w:tc>
                <w:tcPr>
                  <w:tcW w:w="3716" w:type="dxa"/>
                </w:tcPr>
                <w:p w14:paraId="0137E243" w14:textId="3FCDA66C"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color w:val="000000"/>
                      <w:sz w:val="24"/>
                      <w:szCs w:val="24"/>
                    </w:rPr>
                    <w:t>Number</w:t>
                  </w:r>
                  <w:r w:rsidR="00C2092B">
                    <w:rPr>
                      <w:color w:val="000000"/>
                      <w:sz w:val="24"/>
                      <w:szCs w:val="24"/>
                    </w:rPr>
                    <w:t>=</w:t>
                  </w:r>
                  <w:r>
                    <w:rPr>
                      <w:color w:val="000000"/>
                      <w:sz w:val="24"/>
                      <w:szCs w:val="24"/>
                    </w:rPr>
                    <w:t xml:space="preserve"> of people in contact with TB patients who began preventive therapy. </w:t>
                  </w:r>
                </w:p>
              </w:tc>
              <w:tc>
                <w:tcPr>
                  <w:tcW w:w="2263" w:type="dxa"/>
                </w:tcPr>
                <w:p w14:paraId="57EFD7E4" w14:textId="77777777" w:rsidR="00155420" w:rsidRDefault="00E84F93">
                  <w:pPr>
                    <w:keepNext w:val="0"/>
                    <w:pBdr>
                      <w:top w:val="nil"/>
                      <w:left w:val="nil"/>
                      <w:bottom w:val="nil"/>
                      <w:right w:val="nil"/>
                      <w:between w:val="nil"/>
                    </w:pBdr>
                    <w:spacing w:before="0" w:after="120" w:line="264" w:lineRule="auto"/>
                    <w:ind w:left="0" w:right="0"/>
                    <w:jc w:val="center"/>
                    <w:rPr>
                      <w:color w:val="000000"/>
                      <w:sz w:val="24"/>
                      <w:szCs w:val="24"/>
                    </w:rPr>
                  </w:pPr>
                  <w:r>
                    <w:rPr>
                      <w:color w:val="000000"/>
                      <w:sz w:val="24"/>
                      <w:szCs w:val="24"/>
                    </w:rPr>
                    <w:t>30,492</w:t>
                  </w:r>
                </w:p>
              </w:tc>
              <w:tc>
                <w:tcPr>
                  <w:tcW w:w="2126" w:type="dxa"/>
                </w:tcPr>
                <w:p w14:paraId="273A1E79" w14:textId="77777777" w:rsidR="00155420" w:rsidRDefault="00E84F93">
                  <w:pPr>
                    <w:keepNext w:val="0"/>
                    <w:pBdr>
                      <w:top w:val="nil"/>
                      <w:left w:val="nil"/>
                      <w:bottom w:val="nil"/>
                      <w:right w:val="nil"/>
                      <w:between w:val="nil"/>
                    </w:pBdr>
                    <w:spacing w:before="0" w:after="120" w:line="264" w:lineRule="auto"/>
                    <w:ind w:left="0" w:right="0"/>
                    <w:jc w:val="center"/>
                    <w:rPr>
                      <w:color w:val="000000"/>
                      <w:sz w:val="24"/>
                      <w:szCs w:val="24"/>
                    </w:rPr>
                  </w:pPr>
                  <w:r>
                    <w:rPr>
                      <w:color w:val="000000"/>
                      <w:sz w:val="24"/>
                      <w:szCs w:val="24"/>
                    </w:rPr>
                    <w:t>77,996</w:t>
                  </w:r>
                </w:p>
              </w:tc>
              <w:tc>
                <w:tcPr>
                  <w:tcW w:w="1985" w:type="dxa"/>
                </w:tcPr>
                <w:p w14:paraId="7BAFC253" w14:textId="77777777" w:rsidR="00155420" w:rsidRDefault="00E84F93">
                  <w:pPr>
                    <w:keepNext w:val="0"/>
                    <w:pBdr>
                      <w:top w:val="nil"/>
                      <w:left w:val="nil"/>
                      <w:bottom w:val="nil"/>
                      <w:right w:val="nil"/>
                      <w:between w:val="nil"/>
                    </w:pBdr>
                    <w:spacing w:before="0" w:after="120" w:line="264" w:lineRule="auto"/>
                    <w:ind w:left="0" w:right="0"/>
                    <w:jc w:val="center"/>
                    <w:rPr>
                      <w:color w:val="000000"/>
                      <w:sz w:val="24"/>
                      <w:szCs w:val="24"/>
                    </w:rPr>
                  </w:pPr>
                  <w:r>
                    <w:rPr>
                      <w:color w:val="000000"/>
                      <w:sz w:val="24"/>
                      <w:szCs w:val="24"/>
                    </w:rPr>
                    <w:t>135,559</w:t>
                  </w:r>
                </w:p>
              </w:tc>
              <w:tc>
                <w:tcPr>
                  <w:tcW w:w="2126" w:type="dxa"/>
                </w:tcPr>
                <w:p w14:paraId="20BED71A" w14:textId="77777777" w:rsidR="00155420" w:rsidRDefault="00E84F93">
                  <w:pPr>
                    <w:keepNext w:val="0"/>
                    <w:pBdr>
                      <w:top w:val="nil"/>
                      <w:left w:val="nil"/>
                      <w:bottom w:val="nil"/>
                      <w:right w:val="nil"/>
                      <w:between w:val="nil"/>
                    </w:pBdr>
                    <w:spacing w:before="0" w:after="120" w:line="264" w:lineRule="auto"/>
                    <w:ind w:left="0" w:right="0"/>
                    <w:jc w:val="center"/>
                    <w:rPr>
                      <w:color w:val="000000"/>
                      <w:sz w:val="24"/>
                      <w:szCs w:val="24"/>
                    </w:rPr>
                  </w:pPr>
                  <w:r>
                    <w:rPr>
                      <w:color w:val="000000"/>
                      <w:sz w:val="24"/>
                      <w:szCs w:val="24"/>
                    </w:rPr>
                    <w:t>216,735</w:t>
                  </w:r>
                </w:p>
              </w:tc>
            </w:tr>
          </w:tbl>
          <w:p w14:paraId="6AFA2F29" w14:textId="77777777" w:rsidR="00155420" w:rsidRDefault="00E84F93">
            <w:pPr>
              <w:keepNext w:val="0"/>
              <w:numPr>
                <w:ilvl w:val="0"/>
                <w:numId w:val="25"/>
              </w:numPr>
              <w:pBdr>
                <w:top w:val="nil"/>
                <w:left w:val="nil"/>
                <w:bottom w:val="nil"/>
                <w:right w:val="nil"/>
                <w:between w:val="nil"/>
              </w:pBdr>
              <w:spacing w:before="0" w:after="120" w:line="264" w:lineRule="auto"/>
              <w:ind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SBCC materials on TPT developed and disseminated to increase TPT acceptance of health care workers and TB contacts.</w:t>
            </w:r>
          </w:p>
          <w:p w14:paraId="1AF0370D" w14:textId="77777777" w:rsidR="00155420" w:rsidRDefault="00E84F93">
            <w:pPr>
              <w:keepNext w:val="0"/>
              <w:numPr>
                <w:ilvl w:val="0"/>
                <w:numId w:val="25"/>
              </w:numPr>
              <w:pBdr>
                <w:top w:val="nil"/>
                <w:left w:val="nil"/>
                <w:bottom w:val="nil"/>
                <w:right w:val="nil"/>
                <w:between w:val="nil"/>
              </w:pBdr>
              <w:spacing w:before="0" w:after="120" w:line="264" w:lineRule="auto"/>
              <w:ind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TPT </w:t>
            </w:r>
            <w:r>
              <w:rPr>
                <w:color w:val="000000"/>
              </w:rPr>
              <w:t>monitoring and evaluation mechanism improved.</w:t>
            </w:r>
          </w:p>
        </w:tc>
      </w:tr>
      <w:tr w:rsidR="00155420" w14:paraId="5324B325"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shd w:val="clear" w:color="auto" w:fill="ABB7FC"/>
          </w:tcPr>
          <w:p w14:paraId="25AB22E8"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color w:val="000000"/>
                <w:sz w:val="24"/>
                <w:szCs w:val="24"/>
              </w:rPr>
              <w:t>Module #3</w:t>
            </w:r>
          </w:p>
        </w:tc>
        <w:tc>
          <w:tcPr>
            <w:tcW w:w="12465" w:type="dxa"/>
            <w:shd w:val="clear" w:color="auto" w:fill="ABB7FC"/>
          </w:tcPr>
          <w:p w14:paraId="3166E324"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b/>
                <w:color w:val="000000"/>
                <w:sz w:val="24"/>
                <w:szCs w:val="24"/>
              </w:rPr>
            </w:pPr>
            <w:r>
              <w:rPr>
                <w:b/>
                <w:color w:val="000000"/>
                <w:sz w:val="24"/>
                <w:szCs w:val="24"/>
              </w:rPr>
              <w:t xml:space="preserve">Collaboration with other providers and sectors  </w:t>
            </w:r>
          </w:p>
        </w:tc>
      </w:tr>
      <w:tr w:rsidR="00155420" w14:paraId="1EADC9B1"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vMerge w:val="restart"/>
          </w:tcPr>
          <w:p w14:paraId="41F96ED4"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Intervention(s)</w:t>
            </w:r>
          </w:p>
        </w:tc>
        <w:tc>
          <w:tcPr>
            <w:tcW w:w="12465" w:type="dxa"/>
          </w:tcPr>
          <w:p w14:paraId="191D936F" w14:textId="5CBD2BF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Private Provider engagement in TB/DR TB care </w:t>
            </w:r>
            <w:r>
              <w:rPr>
                <w:rFonts w:ascii="MS Gothic" w:eastAsia="MS Gothic" w:hAnsi="MS Gothic" w:cs="MS Gothic"/>
                <w:color w:val="000000"/>
              </w:rPr>
              <w:t>☐</w:t>
            </w:r>
            <w:r>
              <w:rPr>
                <w:color w:val="000000"/>
              </w:rPr>
              <w:t xml:space="preserve"> New, </w:t>
            </w:r>
            <w:r w:rsidR="00447C42">
              <w:rPr>
                <w:rFonts w:ascii="MS Gothic" w:eastAsia="MS Gothic" w:hAnsi="MS Gothic" w:cs="MS Gothic"/>
                <w:color w:val="000000"/>
              </w:rPr>
              <w:t>☒</w:t>
            </w:r>
            <w:r>
              <w:rPr>
                <w:color w:val="000000"/>
              </w:rPr>
              <w:t xml:space="preserve"> Scale-up, </w:t>
            </w:r>
            <w:r>
              <w:rPr>
                <w:rFonts w:ascii="MS Gothic" w:eastAsia="MS Gothic" w:hAnsi="MS Gothic" w:cs="MS Gothic"/>
                <w:color w:val="000000"/>
              </w:rPr>
              <w:t>☐</w:t>
            </w:r>
            <w:r>
              <w:rPr>
                <w:color w:val="000000"/>
              </w:rPr>
              <w:t xml:space="preserve"> Continuation, or </w:t>
            </w:r>
            <w:r>
              <w:rPr>
                <w:rFonts w:ascii="MS Gothic" w:eastAsia="MS Gothic" w:hAnsi="MS Gothic" w:cs="MS Gothic"/>
                <w:color w:val="000000"/>
              </w:rPr>
              <w:t>☐</w:t>
            </w:r>
            <w:r>
              <w:rPr>
                <w:color w:val="000000"/>
              </w:rPr>
              <w:t xml:space="preserve"> Scale-down</w:t>
            </w:r>
          </w:p>
        </w:tc>
      </w:tr>
      <w:tr w:rsidR="00155420" w14:paraId="1B4EF67C"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vMerge/>
          </w:tcPr>
          <w:p w14:paraId="0C1F3FE7" w14:textId="77777777" w:rsidR="00155420" w:rsidRDefault="00155420">
            <w:pPr>
              <w:keepNext w:val="0"/>
              <w:widowControl w:val="0"/>
              <w:pBdr>
                <w:top w:val="nil"/>
                <w:left w:val="nil"/>
                <w:bottom w:val="nil"/>
                <w:right w:val="nil"/>
                <w:between w:val="nil"/>
              </w:pBdr>
              <w:spacing w:before="0" w:line="276" w:lineRule="auto"/>
              <w:ind w:left="0" w:right="0"/>
              <w:rPr>
                <w:color w:val="000000"/>
              </w:rPr>
            </w:pPr>
          </w:p>
        </w:tc>
        <w:tc>
          <w:tcPr>
            <w:tcW w:w="12465" w:type="dxa"/>
          </w:tcPr>
          <w:p w14:paraId="25E34807"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Community-based TB/DRTB care </w:t>
            </w:r>
            <w:r>
              <w:rPr>
                <w:rFonts w:ascii="MS Gothic" w:eastAsia="MS Gothic" w:hAnsi="MS Gothic" w:cs="MS Gothic"/>
                <w:color w:val="000000"/>
              </w:rPr>
              <w:t>☐</w:t>
            </w:r>
            <w:r>
              <w:rPr>
                <w:color w:val="000000"/>
              </w:rPr>
              <w:t xml:space="preserve"> New, </w:t>
            </w:r>
            <w:r>
              <w:rPr>
                <w:rFonts w:ascii="MS Gothic" w:eastAsia="MS Gothic" w:hAnsi="MS Gothic" w:cs="MS Gothic"/>
                <w:color w:val="000000"/>
              </w:rPr>
              <w:t>☒</w:t>
            </w:r>
            <w:r>
              <w:rPr>
                <w:color w:val="000000"/>
              </w:rPr>
              <w:t xml:space="preserve"> Scale-up, </w:t>
            </w:r>
            <w:r>
              <w:rPr>
                <w:rFonts w:ascii="MS Gothic" w:eastAsia="MS Gothic" w:hAnsi="MS Gothic" w:cs="MS Gothic"/>
                <w:color w:val="000000"/>
              </w:rPr>
              <w:t>☐</w:t>
            </w:r>
            <w:r>
              <w:rPr>
                <w:color w:val="000000"/>
              </w:rPr>
              <w:t xml:space="preserve"> Continuation, or </w:t>
            </w:r>
            <w:r>
              <w:rPr>
                <w:rFonts w:ascii="MS Gothic" w:eastAsia="MS Gothic" w:hAnsi="MS Gothic" w:cs="MS Gothic"/>
                <w:color w:val="000000"/>
              </w:rPr>
              <w:t>☐</w:t>
            </w:r>
            <w:r>
              <w:rPr>
                <w:color w:val="000000"/>
              </w:rPr>
              <w:t xml:space="preserve"> Scale-down</w:t>
            </w:r>
          </w:p>
        </w:tc>
      </w:tr>
      <w:tr w:rsidR="00155420" w14:paraId="254ADE94"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tcPr>
          <w:p w14:paraId="3F52A087"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lastRenderedPageBreak/>
              <w:t>Population, geographies, and barriers addressed</w:t>
            </w:r>
          </w:p>
        </w:tc>
        <w:tc>
          <w:tcPr>
            <w:tcW w:w="12465" w:type="dxa"/>
          </w:tcPr>
          <w:p w14:paraId="5FE53EB2"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b/>
                <w:color w:val="000000"/>
              </w:rPr>
              <w:t>Population:</w:t>
            </w:r>
            <w:r>
              <w:rPr>
                <w:color w:val="000000"/>
              </w:rPr>
              <w:t xml:space="preserve"> Private healthcare clinics </w:t>
            </w:r>
          </w:p>
          <w:p w14:paraId="78A322D4"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b/>
                <w:color w:val="000000"/>
              </w:rPr>
              <w:t>Geography:</w:t>
            </w:r>
            <w:r>
              <w:rPr>
                <w:color w:val="000000"/>
              </w:rPr>
              <w:t xml:space="preserve"> Highly urbanized cities and provinces with a high density of private providers </w:t>
            </w:r>
          </w:p>
          <w:p w14:paraId="257C1BFF" w14:textId="36EC3DE4"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b/>
                <w:color w:val="000000"/>
              </w:rPr>
              <w:t xml:space="preserve">Barriers: </w:t>
            </w:r>
            <w:r>
              <w:rPr>
                <w:color w:val="000000"/>
              </w:rPr>
              <w:t xml:space="preserve">Mandatory case </w:t>
            </w:r>
            <w:r>
              <w:rPr>
                <w:color w:val="000000"/>
              </w:rPr>
              <w:t>notification (among private providers) is 23% of all cases notified in 2021. Treatment outcome reporting from mandatory case notification is 23% (12,935/56,377) in 2022- a co</w:t>
            </w:r>
            <w:r w:rsidR="00BE4AFD">
              <w:rPr>
                <w:color w:val="000000"/>
              </w:rPr>
              <w:t>ho</w:t>
            </w:r>
            <w:r>
              <w:rPr>
                <w:color w:val="000000"/>
              </w:rPr>
              <w:t>rt of 2021 notified cases, which reduced the TSR for all forms to 76% in the sam</w:t>
            </w:r>
            <w:r>
              <w:rPr>
                <w:color w:val="000000"/>
              </w:rPr>
              <w:t>e year. Private sector compliance with TB MOP is low, with the majority being clinically diagnosed (22%).  Private sector access to RDT remains limited. The provision of TPT by the private sector is still being determined but is perceived to be very low. C</w:t>
            </w:r>
            <w:r>
              <w:rPr>
                <w:color w:val="000000"/>
              </w:rPr>
              <w:t xml:space="preserve">BOs and CSO’ engagement in the primary care </w:t>
            </w:r>
            <w:r w:rsidR="00BC31D3">
              <w:rPr>
                <w:color w:val="000000"/>
              </w:rPr>
              <w:t xml:space="preserve">network </w:t>
            </w:r>
            <w:r w:rsidR="006550D6">
              <w:rPr>
                <w:color w:val="000000"/>
              </w:rPr>
              <w:t>are</w:t>
            </w:r>
            <w:r>
              <w:rPr>
                <w:color w:val="000000"/>
              </w:rPr>
              <w:t xml:space="preserve"> very limited. There are very few TB advocates to represent KAP’s voice in the TB program. The Uptake of </w:t>
            </w:r>
            <w:proofErr w:type="spellStart"/>
            <w:r>
              <w:rPr>
                <w:color w:val="000000"/>
              </w:rPr>
              <w:t>RxPASS</w:t>
            </w:r>
            <w:proofErr w:type="spellEnd"/>
            <w:r>
              <w:rPr>
                <w:color w:val="000000"/>
              </w:rPr>
              <w:t xml:space="preserve"> is slowly increasing.  </w:t>
            </w:r>
          </w:p>
        </w:tc>
      </w:tr>
      <w:tr w:rsidR="00155420" w14:paraId="12DB9DB8"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tcPr>
          <w:p w14:paraId="44499E8B"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lastRenderedPageBreak/>
              <w:t>List of activities</w:t>
            </w:r>
          </w:p>
        </w:tc>
        <w:tc>
          <w:tcPr>
            <w:tcW w:w="12465" w:type="dxa"/>
          </w:tcPr>
          <w:p w14:paraId="57541EF9"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u w:val="single"/>
              </w:rPr>
            </w:pPr>
            <w:r>
              <w:rPr>
                <w:color w:val="000000"/>
                <w:u w:val="single"/>
              </w:rPr>
              <w:t xml:space="preserve">Private Provider engagement in TB/DR TB care: </w:t>
            </w:r>
          </w:p>
          <w:p w14:paraId="5135268D"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The ongoing GFTB grant 2021-2023 implemented the Prescription for patients’ access to screening services for TB (</w:t>
            </w:r>
            <w:proofErr w:type="spellStart"/>
            <w:r>
              <w:rPr>
                <w:color w:val="000000"/>
              </w:rPr>
              <w:t>RxPASS</w:t>
            </w:r>
            <w:proofErr w:type="spellEnd"/>
            <w:r>
              <w:rPr>
                <w:color w:val="000000"/>
              </w:rPr>
              <w:t xml:space="preserve">) to support mandatory case notification. </w:t>
            </w:r>
          </w:p>
          <w:p w14:paraId="7F14BEDE"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This FR will scale up private sector engagement</w:t>
            </w:r>
            <w:r>
              <w:rPr>
                <w:color w:val="000000"/>
              </w:rPr>
              <w:t xml:space="preserve"> by adopting recommendations to include: (1) facilitating accreditation as primary care facilities of LGUs, (2) improving access to free Xray and RDTs for TB screening and diagnosis, (3) improving access to free DS and DR TB drugs from government, (4) init</w:t>
            </w:r>
            <w:r>
              <w:rPr>
                <w:color w:val="000000"/>
              </w:rPr>
              <w:t xml:space="preserve">iating non-financial incentives, and (5) further enhancing ITIS lite for case notification and treatment outcome reporting. </w:t>
            </w:r>
          </w:p>
          <w:p w14:paraId="59EB4E12" w14:textId="77777777" w:rsidR="00155420" w:rsidRDefault="00E84F93">
            <w:pPr>
              <w:keepNext w:val="0"/>
              <w:numPr>
                <w:ilvl w:val="0"/>
                <w:numId w:val="29"/>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i/>
                <w:color w:val="000000"/>
              </w:rPr>
            </w:pPr>
            <w:r>
              <w:rPr>
                <w:i/>
                <w:color w:val="000000"/>
              </w:rPr>
              <w:t>Training for private care providers on mandatory case notification and outcome reporting.</w:t>
            </w:r>
          </w:p>
          <w:p w14:paraId="331EF975" w14:textId="77777777" w:rsidR="00155420" w:rsidRDefault="00E84F93">
            <w:pPr>
              <w:keepNext w:val="0"/>
              <w:numPr>
                <w:ilvl w:val="0"/>
                <w:numId w:val="26"/>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i/>
                <w:color w:val="000000"/>
              </w:rPr>
              <w:t xml:space="preserve">Training for private care providers to become primary care facilities that will provide access to free DS/DR TB drugs and appropriate outpatient benefit packages (provider incentives/ reimbursements from PhilHealth). </w:t>
            </w:r>
          </w:p>
          <w:p w14:paraId="4654CD14" w14:textId="77777777" w:rsidR="00155420" w:rsidRDefault="00E84F93">
            <w:pPr>
              <w:keepNext w:val="0"/>
              <w:numPr>
                <w:ilvl w:val="0"/>
                <w:numId w:val="26"/>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i/>
                <w:color w:val="000000"/>
              </w:rPr>
              <w:t>Enhancing ease of use and mainstreamin</w:t>
            </w:r>
            <w:r>
              <w:rPr>
                <w:i/>
                <w:color w:val="000000"/>
              </w:rPr>
              <w:t>g ITIS lite for mandatory case notification and treatment outcome reporting.</w:t>
            </w:r>
          </w:p>
          <w:p w14:paraId="3E4C4E5C" w14:textId="77777777" w:rsidR="00155420" w:rsidRDefault="00E84F93">
            <w:pPr>
              <w:keepNext w:val="0"/>
              <w:numPr>
                <w:ilvl w:val="0"/>
                <w:numId w:val="26"/>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i/>
                <w:color w:val="000000"/>
              </w:rPr>
              <w:t xml:space="preserve">Provision of financial incentives for mandatory case notification, bacteriological confirmation of notified cases, treatment outcomes reporting, and non-financial incentives such </w:t>
            </w:r>
            <w:r>
              <w:rPr>
                <w:i/>
                <w:color w:val="000000"/>
              </w:rPr>
              <w:t xml:space="preserve">as recognition events and accreditation of TB courses for Continuing Professional Development units necessary for professional license renewal.  </w:t>
            </w:r>
          </w:p>
          <w:p w14:paraId="1066EDF3" w14:textId="77777777" w:rsidR="00155420" w:rsidRDefault="00E84F93">
            <w:pPr>
              <w:keepNext w:val="0"/>
              <w:numPr>
                <w:ilvl w:val="0"/>
                <w:numId w:val="26"/>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i/>
                <w:color w:val="000000"/>
              </w:rPr>
              <w:t>Upskill and deployment of 210 TB case notification officers to support private providers.</w:t>
            </w:r>
          </w:p>
          <w:p w14:paraId="57C3448A" w14:textId="77777777" w:rsidR="00155420" w:rsidRDefault="00E84F93">
            <w:pPr>
              <w:keepNext w:val="0"/>
              <w:numPr>
                <w:ilvl w:val="0"/>
                <w:numId w:val="26"/>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i/>
                <w:color w:val="000000"/>
              </w:rPr>
              <w:t>Increase access to R</w:t>
            </w:r>
            <w:r>
              <w:rPr>
                <w:i/>
                <w:color w:val="000000"/>
              </w:rPr>
              <w:t>DT sites for TB diagnosis through scale-up of the specimen and commodity transport riders to increase access to RDTs (budgeted in RSSH module)</w:t>
            </w:r>
          </w:p>
          <w:p w14:paraId="792943FC" w14:textId="77777777" w:rsidR="00155420" w:rsidRDefault="00E84F93">
            <w:pPr>
              <w:keepNext w:val="0"/>
              <w:numPr>
                <w:ilvl w:val="0"/>
                <w:numId w:val="26"/>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i/>
                <w:color w:val="000000"/>
              </w:rPr>
              <w:t>Increase access to free TB medicines and commodities for DS and DR TB patients.</w:t>
            </w:r>
          </w:p>
          <w:p w14:paraId="3F22234B" w14:textId="3B9CB81D" w:rsidR="00155420" w:rsidRPr="00C2092B" w:rsidRDefault="00E84F93">
            <w:pPr>
              <w:keepNext w:val="0"/>
              <w:numPr>
                <w:ilvl w:val="0"/>
                <w:numId w:val="26"/>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i/>
                <w:color w:val="000000"/>
              </w:rPr>
              <w:t>Increase access to free X-rays fo</w:t>
            </w:r>
            <w:r>
              <w:rPr>
                <w:i/>
                <w:color w:val="000000"/>
              </w:rPr>
              <w:t xml:space="preserve">r indigent patients (Xray Voucher system).  </w:t>
            </w:r>
          </w:p>
          <w:p w14:paraId="06500B6D" w14:textId="664ED4DE" w:rsidR="00C2092B" w:rsidRPr="003C28E8" w:rsidRDefault="003C28E8" w:rsidP="00C2092B">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b/>
                <w:bCs/>
                <w:i/>
                <w:iCs/>
                <w:color w:val="4F81BD" w:themeColor="accent1"/>
              </w:rPr>
            </w:pPr>
            <w:r>
              <w:rPr>
                <w:b/>
                <w:bCs/>
                <w:i/>
                <w:iCs/>
                <w:color w:val="4F81BD" w:themeColor="accent1"/>
              </w:rPr>
              <w:t>Geographical l</w:t>
            </w:r>
            <w:r w:rsidR="00C2092B" w:rsidRPr="003C28E8">
              <w:rPr>
                <w:b/>
                <w:bCs/>
                <w:i/>
                <w:iCs/>
                <w:color w:val="4F81BD" w:themeColor="accent1"/>
              </w:rPr>
              <w:t xml:space="preserve">ocations covered by notification officers </w:t>
            </w:r>
            <w:r w:rsidRPr="003C28E8">
              <w:rPr>
                <w:b/>
                <w:bCs/>
                <w:i/>
                <w:iCs/>
                <w:color w:val="4F81BD" w:themeColor="accent1"/>
              </w:rPr>
              <w:t xml:space="preserve">and the full mechanism of </w:t>
            </w:r>
            <w:proofErr w:type="spellStart"/>
            <w:r w:rsidRPr="003C28E8">
              <w:rPr>
                <w:b/>
                <w:bCs/>
                <w:i/>
                <w:iCs/>
                <w:color w:val="4F81BD" w:themeColor="accent1"/>
              </w:rPr>
              <w:t>RxPASS</w:t>
            </w:r>
            <w:proofErr w:type="spellEnd"/>
            <w:r w:rsidRPr="003C28E8">
              <w:rPr>
                <w:b/>
                <w:bCs/>
                <w:i/>
                <w:iCs/>
                <w:color w:val="4F81BD" w:themeColor="accent1"/>
              </w:rPr>
              <w:t xml:space="preserve"> </w:t>
            </w:r>
            <w:r w:rsidR="00C2092B" w:rsidRPr="003C28E8">
              <w:rPr>
                <w:b/>
                <w:bCs/>
                <w:i/>
                <w:iCs/>
                <w:color w:val="4F81BD" w:themeColor="accent1"/>
              </w:rPr>
              <w:t xml:space="preserve">are </w:t>
            </w:r>
            <w:r w:rsidRPr="003C28E8">
              <w:rPr>
                <w:b/>
                <w:bCs/>
                <w:i/>
                <w:iCs/>
                <w:color w:val="4F81BD" w:themeColor="accent1"/>
              </w:rPr>
              <w:t xml:space="preserve">attached as </w:t>
            </w:r>
            <w:r w:rsidR="00C2092B" w:rsidRPr="003C28E8">
              <w:rPr>
                <w:b/>
                <w:bCs/>
                <w:i/>
                <w:iCs/>
                <w:color w:val="4F81BD" w:themeColor="accent1"/>
              </w:rPr>
              <w:t xml:space="preserve">Annex </w:t>
            </w:r>
            <w:r w:rsidRPr="003C28E8">
              <w:rPr>
                <w:b/>
                <w:bCs/>
                <w:i/>
                <w:iCs/>
                <w:color w:val="4F81BD" w:themeColor="accent1"/>
              </w:rPr>
              <w:t>23</w:t>
            </w:r>
            <w:r w:rsidR="00C2092B" w:rsidRPr="003C28E8">
              <w:rPr>
                <w:b/>
                <w:bCs/>
                <w:i/>
                <w:iCs/>
                <w:color w:val="4F81BD" w:themeColor="accent1"/>
              </w:rPr>
              <w:t xml:space="preserve">.   </w:t>
            </w:r>
          </w:p>
          <w:p w14:paraId="1BB0BAC2"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u w:val="single"/>
              </w:rPr>
            </w:pPr>
            <w:r>
              <w:rPr>
                <w:color w:val="000000"/>
                <w:u w:val="single"/>
              </w:rPr>
              <w:t>Community-based TB/DRTB care:</w:t>
            </w:r>
          </w:p>
          <w:p w14:paraId="65F95507"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u w:val="single"/>
              </w:rPr>
            </w:pPr>
            <w:r>
              <w:rPr>
                <w:color w:val="000000"/>
              </w:rPr>
              <w:t xml:space="preserve">The CSO and CBO engagement in TB care has always been in the spirit of volunteerism. Both the JPR 2022 and the KAP consultations in preparing this FR highlighted the strong desire of CSOs and CBOs to be professionally engaged in TB care. Adopting this key </w:t>
            </w:r>
            <w:r>
              <w:rPr>
                <w:color w:val="000000"/>
              </w:rPr>
              <w:t xml:space="preserve">recommendation, this FR will support the capacity strengthening of CSOs and CBOs to become part of the primary care network and be paid by local government units for their services.   </w:t>
            </w:r>
          </w:p>
          <w:p w14:paraId="293FE25C" w14:textId="77777777" w:rsidR="00155420" w:rsidRDefault="00E84F93">
            <w:pPr>
              <w:keepNext w:val="0"/>
              <w:numPr>
                <w:ilvl w:val="0"/>
                <w:numId w:val="26"/>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i/>
                <w:color w:val="000000"/>
              </w:rPr>
              <w:lastRenderedPageBreak/>
              <w:t>Capacity building of CSOs and CBOs as part of the TB-HIV primary care p</w:t>
            </w:r>
            <w:r>
              <w:rPr>
                <w:i/>
                <w:color w:val="000000"/>
              </w:rPr>
              <w:t>rovider network. This will include upskilling CSOs, CBOs &amp; KAP members in TB-HIV care cascade delivery, supporting their accreditation as primary care providers as applicable, supporting their inclusion in the primary care network, and training them to mar</w:t>
            </w:r>
            <w:r>
              <w:rPr>
                <w:i/>
                <w:color w:val="000000"/>
              </w:rPr>
              <w:t xml:space="preserve">ket their services to LGUs. </w:t>
            </w:r>
          </w:p>
        </w:tc>
      </w:tr>
      <w:tr w:rsidR="00155420" w14:paraId="160D608C"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tcPr>
          <w:p w14:paraId="0E3E5B76"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lastRenderedPageBreak/>
              <w:t>Amount requested</w:t>
            </w:r>
          </w:p>
        </w:tc>
        <w:tc>
          <w:tcPr>
            <w:tcW w:w="12465" w:type="dxa"/>
          </w:tcPr>
          <w:p w14:paraId="09477984" w14:textId="467934E4"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FF0000"/>
                <w:highlight w:val="yellow"/>
              </w:rPr>
            </w:pPr>
            <w:r w:rsidRPr="00D65121">
              <w:rPr>
                <w:color w:val="000000"/>
              </w:rPr>
              <w:t>USD 14,154,96</w:t>
            </w:r>
            <w:r w:rsidR="00D65121" w:rsidRPr="00D65121">
              <w:rPr>
                <w:color w:val="000000"/>
              </w:rPr>
              <w:t>8</w:t>
            </w:r>
            <w:r>
              <w:rPr>
                <w:color w:val="000000"/>
              </w:rPr>
              <w:t xml:space="preserve"> [10% of the total FR]</w:t>
            </w:r>
          </w:p>
        </w:tc>
      </w:tr>
      <w:tr w:rsidR="00155420" w14:paraId="37BD04D9"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tcPr>
          <w:p w14:paraId="1A3D990D"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Expected outcome</w:t>
            </w:r>
          </w:p>
        </w:tc>
        <w:tc>
          <w:tcPr>
            <w:tcW w:w="12465" w:type="dxa"/>
          </w:tcPr>
          <w:p w14:paraId="4825586C" w14:textId="77777777" w:rsidR="00155420" w:rsidRDefault="00155420">
            <w:pPr>
              <w:keepNext w:val="0"/>
              <w:widowControl w:val="0"/>
              <w:pBdr>
                <w:top w:val="nil"/>
                <w:left w:val="nil"/>
                <w:bottom w:val="nil"/>
                <w:right w:val="nil"/>
                <w:between w:val="nil"/>
              </w:pBdr>
              <w:spacing w:before="0" w:line="276" w:lineRule="auto"/>
              <w:ind w:left="0" w:right="0"/>
              <w:cnfStyle w:val="000000000000" w:firstRow="0" w:lastRow="0" w:firstColumn="0" w:lastColumn="0" w:oddVBand="0" w:evenVBand="0" w:oddHBand="0" w:evenHBand="0" w:firstRowFirstColumn="0" w:firstRowLastColumn="0" w:lastRowFirstColumn="0" w:lastRowLastColumn="0"/>
              <w:rPr>
                <w:color w:val="000000"/>
                <w:sz w:val="24"/>
                <w:szCs w:val="24"/>
              </w:rPr>
            </w:pPr>
          </w:p>
          <w:tbl>
            <w:tblPr>
              <w:tblStyle w:val="a4"/>
              <w:tblW w:w="12216" w:type="dxa"/>
              <w:tblBorders>
                <w:top w:val="single" w:sz="4" w:space="0" w:color="2E4DF9"/>
                <w:left w:val="single" w:sz="4" w:space="0" w:color="2E4DF9"/>
                <w:bottom w:val="single" w:sz="4" w:space="0" w:color="2E4DF9"/>
                <w:right w:val="single" w:sz="4" w:space="0" w:color="2E4DF9"/>
                <w:insideH w:val="single" w:sz="4" w:space="0" w:color="999999"/>
                <w:insideV w:val="single" w:sz="4" w:space="0" w:color="999999"/>
              </w:tblBorders>
              <w:tblLayout w:type="fixed"/>
              <w:tblLook w:val="0420" w:firstRow="1" w:lastRow="0" w:firstColumn="0" w:lastColumn="0" w:noHBand="0" w:noVBand="1"/>
            </w:tblPr>
            <w:tblGrid>
              <w:gridCol w:w="3787"/>
              <w:gridCol w:w="2083"/>
              <w:gridCol w:w="2123"/>
              <w:gridCol w:w="2045"/>
              <w:gridCol w:w="2178"/>
            </w:tblGrid>
            <w:tr w:rsidR="00155420" w14:paraId="5EAAFC76" w14:textId="77777777" w:rsidTr="00155420">
              <w:trPr>
                <w:cnfStyle w:val="100000000000" w:firstRow="1" w:lastRow="0" w:firstColumn="0" w:lastColumn="0" w:oddVBand="0" w:evenVBand="0" w:oddHBand="0" w:evenHBand="0" w:firstRowFirstColumn="0" w:firstRowLastColumn="0" w:lastRowFirstColumn="0" w:lastRowLastColumn="0"/>
                <w:cantSplit/>
                <w:trHeight w:val="283"/>
              </w:trPr>
              <w:tc>
                <w:tcPr>
                  <w:tcW w:w="3787" w:type="dxa"/>
                </w:tcPr>
                <w:p w14:paraId="5BBDF2C3" w14:textId="77777777" w:rsidR="00155420" w:rsidRDefault="00E84F93">
                  <w:pPr>
                    <w:keepNext w:val="0"/>
                    <w:pBdr>
                      <w:top w:val="nil"/>
                      <w:left w:val="nil"/>
                      <w:bottom w:val="nil"/>
                      <w:right w:val="nil"/>
                      <w:between w:val="nil"/>
                    </w:pBdr>
                    <w:spacing w:before="0" w:after="120" w:line="264" w:lineRule="auto"/>
                    <w:ind w:left="0" w:right="0"/>
                    <w:jc w:val="center"/>
                    <w:rPr>
                      <w:color w:val="F2F2F2"/>
                      <w:sz w:val="24"/>
                      <w:szCs w:val="24"/>
                    </w:rPr>
                  </w:pPr>
                  <w:r>
                    <w:rPr>
                      <w:color w:val="F2F2F2"/>
                      <w:sz w:val="24"/>
                      <w:szCs w:val="24"/>
                    </w:rPr>
                    <w:t>Indicator</w:t>
                  </w:r>
                </w:p>
              </w:tc>
              <w:tc>
                <w:tcPr>
                  <w:tcW w:w="2083" w:type="dxa"/>
                </w:tcPr>
                <w:p w14:paraId="21170047" w14:textId="77777777" w:rsidR="00155420" w:rsidRDefault="00E84F93">
                  <w:pPr>
                    <w:keepNext w:val="0"/>
                    <w:pBdr>
                      <w:top w:val="nil"/>
                      <w:left w:val="nil"/>
                      <w:bottom w:val="nil"/>
                      <w:right w:val="nil"/>
                      <w:between w:val="nil"/>
                    </w:pBdr>
                    <w:spacing w:before="0" w:after="120" w:line="264" w:lineRule="auto"/>
                    <w:ind w:left="0" w:right="0"/>
                    <w:jc w:val="center"/>
                    <w:rPr>
                      <w:color w:val="F2F2F2"/>
                      <w:sz w:val="24"/>
                      <w:szCs w:val="24"/>
                    </w:rPr>
                  </w:pPr>
                  <w:r>
                    <w:rPr>
                      <w:color w:val="F2F2F2"/>
                      <w:sz w:val="24"/>
                      <w:szCs w:val="24"/>
                    </w:rPr>
                    <w:t>Baseline 2022</w:t>
                  </w:r>
                </w:p>
              </w:tc>
              <w:tc>
                <w:tcPr>
                  <w:tcW w:w="2123" w:type="dxa"/>
                </w:tcPr>
                <w:p w14:paraId="0A726AAE" w14:textId="77777777" w:rsidR="00155420" w:rsidRDefault="00E84F93">
                  <w:pPr>
                    <w:keepNext w:val="0"/>
                    <w:pBdr>
                      <w:top w:val="nil"/>
                      <w:left w:val="nil"/>
                      <w:bottom w:val="nil"/>
                      <w:right w:val="nil"/>
                      <w:between w:val="nil"/>
                    </w:pBdr>
                    <w:spacing w:before="0" w:after="120" w:line="264" w:lineRule="auto"/>
                    <w:ind w:left="0" w:right="0"/>
                    <w:jc w:val="center"/>
                    <w:rPr>
                      <w:color w:val="F2F2F2"/>
                      <w:sz w:val="24"/>
                      <w:szCs w:val="24"/>
                    </w:rPr>
                  </w:pPr>
                  <w:r>
                    <w:rPr>
                      <w:color w:val="F2F2F2"/>
                      <w:sz w:val="24"/>
                      <w:szCs w:val="24"/>
                    </w:rPr>
                    <w:t>2024</w:t>
                  </w:r>
                </w:p>
              </w:tc>
              <w:tc>
                <w:tcPr>
                  <w:tcW w:w="2045" w:type="dxa"/>
                </w:tcPr>
                <w:p w14:paraId="6273423E" w14:textId="77777777" w:rsidR="00155420" w:rsidRDefault="00E84F93">
                  <w:pPr>
                    <w:keepNext w:val="0"/>
                    <w:pBdr>
                      <w:top w:val="nil"/>
                      <w:left w:val="nil"/>
                      <w:bottom w:val="nil"/>
                      <w:right w:val="nil"/>
                      <w:between w:val="nil"/>
                    </w:pBdr>
                    <w:spacing w:before="0" w:after="120" w:line="264" w:lineRule="auto"/>
                    <w:ind w:left="0" w:right="0"/>
                    <w:jc w:val="center"/>
                    <w:rPr>
                      <w:color w:val="F2F2F2"/>
                      <w:sz w:val="24"/>
                      <w:szCs w:val="24"/>
                    </w:rPr>
                  </w:pPr>
                  <w:r>
                    <w:rPr>
                      <w:color w:val="F2F2F2"/>
                      <w:sz w:val="24"/>
                      <w:szCs w:val="24"/>
                    </w:rPr>
                    <w:t>2025</w:t>
                  </w:r>
                </w:p>
              </w:tc>
              <w:tc>
                <w:tcPr>
                  <w:tcW w:w="2178" w:type="dxa"/>
                </w:tcPr>
                <w:p w14:paraId="7AC124BA" w14:textId="77777777" w:rsidR="00155420" w:rsidRDefault="00E84F93">
                  <w:pPr>
                    <w:keepNext w:val="0"/>
                    <w:pBdr>
                      <w:top w:val="nil"/>
                      <w:left w:val="nil"/>
                      <w:bottom w:val="nil"/>
                      <w:right w:val="nil"/>
                      <w:between w:val="nil"/>
                    </w:pBdr>
                    <w:spacing w:before="0" w:after="120" w:line="264" w:lineRule="auto"/>
                    <w:ind w:left="0" w:right="0"/>
                    <w:jc w:val="center"/>
                    <w:rPr>
                      <w:color w:val="F2F2F2"/>
                      <w:sz w:val="24"/>
                      <w:szCs w:val="24"/>
                    </w:rPr>
                  </w:pPr>
                  <w:r>
                    <w:rPr>
                      <w:color w:val="F2F2F2"/>
                      <w:sz w:val="24"/>
                      <w:szCs w:val="24"/>
                    </w:rPr>
                    <w:t>2026</w:t>
                  </w:r>
                </w:p>
              </w:tc>
            </w:tr>
            <w:tr w:rsidR="00155420" w14:paraId="24D65A3D" w14:textId="77777777" w:rsidTr="00155420">
              <w:trPr>
                <w:cnfStyle w:val="000000100000" w:firstRow="0" w:lastRow="0" w:firstColumn="0" w:lastColumn="0" w:oddVBand="0" w:evenVBand="0" w:oddHBand="1" w:evenHBand="0" w:firstRowFirstColumn="0" w:firstRowLastColumn="0" w:lastRowFirstColumn="0" w:lastRowLastColumn="0"/>
                <w:cantSplit/>
                <w:trHeight w:val="209"/>
              </w:trPr>
              <w:tc>
                <w:tcPr>
                  <w:tcW w:w="3787" w:type="dxa"/>
                </w:tcPr>
                <w:p w14:paraId="60A435AC" w14:textId="5FE9D3AA"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color w:val="000000"/>
                      <w:sz w:val="24"/>
                      <w:szCs w:val="24"/>
                    </w:rPr>
                    <w:t>Percentage of notified patients with all forms of TB contributed by non-NTP providers/ non-government facilities</w:t>
                  </w:r>
                  <w:r w:rsidR="00436E24">
                    <w:rPr>
                      <w:color w:val="000000"/>
                      <w:sz w:val="24"/>
                      <w:szCs w:val="24"/>
                    </w:rPr>
                    <w:t>.</w:t>
                  </w:r>
                </w:p>
              </w:tc>
              <w:tc>
                <w:tcPr>
                  <w:tcW w:w="2083" w:type="dxa"/>
                </w:tcPr>
                <w:p w14:paraId="16ABFC86" w14:textId="77777777" w:rsidR="00155420" w:rsidRDefault="00E84F93">
                  <w:pPr>
                    <w:keepNext w:val="0"/>
                    <w:pBdr>
                      <w:top w:val="nil"/>
                      <w:left w:val="nil"/>
                      <w:bottom w:val="nil"/>
                      <w:right w:val="nil"/>
                      <w:between w:val="nil"/>
                    </w:pBdr>
                    <w:spacing w:before="0" w:after="120" w:line="264" w:lineRule="auto"/>
                    <w:ind w:left="0" w:right="0"/>
                    <w:jc w:val="center"/>
                    <w:rPr>
                      <w:b/>
                      <w:color w:val="000000"/>
                      <w:sz w:val="24"/>
                      <w:szCs w:val="24"/>
                    </w:rPr>
                  </w:pPr>
                  <w:r>
                    <w:rPr>
                      <w:b/>
                      <w:color w:val="000000"/>
                      <w:sz w:val="24"/>
                      <w:szCs w:val="24"/>
                    </w:rPr>
                    <w:t>21%</w:t>
                  </w:r>
                </w:p>
                <w:p w14:paraId="5F036FE1" w14:textId="77777777" w:rsidR="00155420" w:rsidRDefault="00E84F93">
                  <w:pPr>
                    <w:keepNext w:val="0"/>
                    <w:pBdr>
                      <w:top w:val="nil"/>
                      <w:left w:val="nil"/>
                      <w:bottom w:val="nil"/>
                      <w:right w:val="nil"/>
                      <w:between w:val="nil"/>
                    </w:pBdr>
                    <w:spacing w:before="0" w:after="120" w:line="264" w:lineRule="auto"/>
                    <w:ind w:left="0" w:right="0"/>
                    <w:jc w:val="center"/>
                    <w:rPr>
                      <w:color w:val="000000"/>
                      <w:sz w:val="24"/>
                      <w:szCs w:val="24"/>
                    </w:rPr>
                  </w:pPr>
                  <w:r>
                    <w:rPr>
                      <w:color w:val="000000"/>
                      <w:sz w:val="24"/>
                      <w:szCs w:val="24"/>
                    </w:rPr>
                    <w:t>(99,240/476,754)</w:t>
                  </w:r>
                </w:p>
              </w:tc>
              <w:tc>
                <w:tcPr>
                  <w:tcW w:w="2123" w:type="dxa"/>
                </w:tcPr>
                <w:p w14:paraId="21E7E45B" w14:textId="77777777" w:rsidR="00155420" w:rsidRDefault="00E84F93">
                  <w:pPr>
                    <w:keepNext w:val="0"/>
                    <w:pBdr>
                      <w:top w:val="nil"/>
                      <w:left w:val="nil"/>
                      <w:bottom w:val="nil"/>
                      <w:right w:val="nil"/>
                      <w:between w:val="nil"/>
                    </w:pBdr>
                    <w:spacing w:before="0" w:after="120" w:line="264" w:lineRule="auto"/>
                    <w:ind w:left="0" w:right="0"/>
                    <w:jc w:val="center"/>
                    <w:rPr>
                      <w:b/>
                      <w:color w:val="000000"/>
                      <w:sz w:val="24"/>
                      <w:szCs w:val="24"/>
                    </w:rPr>
                  </w:pPr>
                  <w:r>
                    <w:rPr>
                      <w:b/>
                      <w:color w:val="000000"/>
                      <w:sz w:val="24"/>
                      <w:szCs w:val="24"/>
                    </w:rPr>
                    <w:t>25%</w:t>
                  </w:r>
                </w:p>
                <w:p w14:paraId="583033D3" w14:textId="77777777" w:rsidR="00155420" w:rsidRDefault="00E84F93">
                  <w:pPr>
                    <w:keepNext w:val="0"/>
                    <w:pBdr>
                      <w:top w:val="nil"/>
                      <w:left w:val="nil"/>
                      <w:bottom w:val="nil"/>
                      <w:right w:val="nil"/>
                      <w:between w:val="nil"/>
                    </w:pBdr>
                    <w:spacing w:before="0" w:after="120" w:line="264" w:lineRule="auto"/>
                    <w:ind w:left="0" w:right="0"/>
                    <w:jc w:val="center"/>
                    <w:rPr>
                      <w:color w:val="000000"/>
                      <w:sz w:val="24"/>
                      <w:szCs w:val="24"/>
                    </w:rPr>
                  </w:pPr>
                  <w:r>
                    <w:rPr>
                      <w:color w:val="000000"/>
                      <w:sz w:val="24"/>
                      <w:szCs w:val="24"/>
                    </w:rPr>
                    <w:t>(131,009/524,036)</w:t>
                  </w:r>
                </w:p>
              </w:tc>
              <w:tc>
                <w:tcPr>
                  <w:tcW w:w="2045" w:type="dxa"/>
                </w:tcPr>
                <w:p w14:paraId="4C410B68" w14:textId="77777777" w:rsidR="00155420" w:rsidRDefault="00E84F93">
                  <w:pPr>
                    <w:keepNext w:val="0"/>
                    <w:pBdr>
                      <w:top w:val="nil"/>
                      <w:left w:val="nil"/>
                      <w:bottom w:val="nil"/>
                      <w:right w:val="nil"/>
                      <w:between w:val="nil"/>
                    </w:pBdr>
                    <w:spacing w:before="0" w:after="120" w:line="264" w:lineRule="auto"/>
                    <w:ind w:left="0" w:right="0"/>
                    <w:jc w:val="center"/>
                    <w:rPr>
                      <w:b/>
                      <w:color w:val="000000"/>
                      <w:sz w:val="24"/>
                      <w:szCs w:val="24"/>
                    </w:rPr>
                  </w:pPr>
                  <w:r>
                    <w:rPr>
                      <w:b/>
                      <w:color w:val="000000"/>
                      <w:sz w:val="24"/>
                      <w:szCs w:val="24"/>
                    </w:rPr>
                    <w:t>25%</w:t>
                  </w:r>
                </w:p>
                <w:p w14:paraId="765F61E1" w14:textId="77777777" w:rsidR="00155420" w:rsidRDefault="00E84F93">
                  <w:pPr>
                    <w:keepNext w:val="0"/>
                    <w:pBdr>
                      <w:top w:val="nil"/>
                      <w:left w:val="nil"/>
                      <w:bottom w:val="nil"/>
                      <w:right w:val="nil"/>
                      <w:between w:val="nil"/>
                    </w:pBdr>
                    <w:spacing w:before="0" w:after="120" w:line="264" w:lineRule="auto"/>
                    <w:ind w:left="0" w:right="0"/>
                    <w:jc w:val="center"/>
                    <w:rPr>
                      <w:color w:val="000000"/>
                      <w:sz w:val="24"/>
                      <w:szCs w:val="24"/>
                    </w:rPr>
                  </w:pPr>
                  <w:r>
                    <w:rPr>
                      <w:color w:val="000000"/>
                      <w:sz w:val="24"/>
                      <w:szCs w:val="24"/>
                    </w:rPr>
                    <w:t>(139,723/558,890)</w:t>
                  </w:r>
                </w:p>
              </w:tc>
              <w:tc>
                <w:tcPr>
                  <w:tcW w:w="2178" w:type="dxa"/>
                </w:tcPr>
                <w:p w14:paraId="443AF16B" w14:textId="77777777" w:rsidR="00155420" w:rsidRDefault="00E84F93">
                  <w:pPr>
                    <w:keepNext w:val="0"/>
                    <w:pBdr>
                      <w:top w:val="nil"/>
                      <w:left w:val="nil"/>
                      <w:bottom w:val="nil"/>
                      <w:right w:val="nil"/>
                      <w:between w:val="nil"/>
                    </w:pBdr>
                    <w:spacing w:before="0" w:after="120" w:line="264" w:lineRule="auto"/>
                    <w:ind w:left="0" w:right="0"/>
                    <w:jc w:val="center"/>
                    <w:rPr>
                      <w:b/>
                      <w:color w:val="000000"/>
                      <w:sz w:val="24"/>
                      <w:szCs w:val="24"/>
                    </w:rPr>
                  </w:pPr>
                  <w:r>
                    <w:rPr>
                      <w:b/>
                      <w:color w:val="000000"/>
                      <w:sz w:val="24"/>
                      <w:szCs w:val="24"/>
                    </w:rPr>
                    <w:t>25%</w:t>
                  </w:r>
                </w:p>
                <w:p w14:paraId="244C794E" w14:textId="77777777" w:rsidR="00155420" w:rsidRDefault="00E84F93">
                  <w:pPr>
                    <w:keepNext w:val="0"/>
                    <w:pBdr>
                      <w:top w:val="nil"/>
                      <w:left w:val="nil"/>
                      <w:bottom w:val="nil"/>
                      <w:right w:val="nil"/>
                      <w:between w:val="nil"/>
                    </w:pBdr>
                    <w:spacing w:before="0" w:after="120" w:line="264" w:lineRule="auto"/>
                    <w:ind w:left="0" w:right="0"/>
                    <w:jc w:val="center"/>
                    <w:rPr>
                      <w:color w:val="000000"/>
                      <w:sz w:val="24"/>
                      <w:szCs w:val="24"/>
                    </w:rPr>
                  </w:pPr>
                  <w:r>
                    <w:rPr>
                      <w:color w:val="000000"/>
                      <w:sz w:val="24"/>
                      <w:szCs w:val="24"/>
                    </w:rPr>
                    <w:t>(148,928/595,711)</w:t>
                  </w:r>
                </w:p>
              </w:tc>
            </w:tr>
            <w:tr w:rsidR="00155420" w14:paraId="73C4BC0B" w14:textId="77777777" w:rsidTr="00155420">
              <w:trPr>
                <w:cantSplit/>
                <w:trHeight w:val="209"/>
              </w:trPr>
              <w:tc>
                <w:tcPr>
                  <w:tcW w:w="3787" w:type="dxa"/>
                </w:tcPr>
                <w:p w14:paraId="4E5092C7"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color w:val="000000"/>
                      <w:sz w:val="24"/>
                      <w:szCs w:val="24"/>
                    </w:rPr>
                    <w:t xml:space="preserve">Percentage of TB patients (all forms) bacteriologically confirmed plus clinically diagnosed, successfully treated in the private sector. </w:t>
                  </w:r>
                </w:p>
              </w:tc>
              <w:tc>
                <w:tcPr>
                  <w:tcW w:w="2083" w:type="dxa"/>
                </w:tcPr>
                <w:p w14:paraId="041BB41D" w14:textId="77777777" w:rsidR="00155420" w:rsidRDefault="00155420">
                  <w:pPr>
                    <w:keepNext w:val="0"/>
                    <w:pBdr>
                      <w:top w:val="nil"/>
                      <w:left w:val="nil"/>
                      <w:bottom w:val="nil"/>
                      <w:right w:val="nil"/>
                      <w:between w:val="nil"/>
                    </w:pBdr>
                    <w:spacing w:before="0" w:after="120" w:line="264" w:lineRule="auto"/>
                    <w:ind w:left="0" w:right="0"/>
                    <w:jc w:val="center"/>
                    <w:rPr>
                      <w:color w:val="000000"/>
                      <w:sz w:val="24"/>
                      <w:szCs w:val="24"/>
                    </w:rPr>
                  </w:pPr>
                </w:p>
                <w:p w14:paraId="35D96B84" w14:textId="77777777" w:rsidR="00155420" w:rsidRDefault="00E84F93">
                  <w:pPr>
                    <w:keepNext w:val="0"/>
                    <w:pBdr>
                      <w:top w:val="nil"/>
                      <w:left w:val="nil"/>
                      <w:bottom w:val="nil"/>
                      <w:right w:val="nil"/>
                      <w:between w:val="nil"/>
                    </w:pBdr>
                    <w:spacing w:before="0" w:after="120" w:line="264" w:lineRule="auto"/>
                    <w:ind w:left="0" w:right="0"/>
                    <w:jc w:val="center"/>
                    <w:rPr>
                      <w:b/>
                      <w:color w:val="000000"/>
                      <w:sz w:val="24"/>
                      <w:szCs w:val="24"/>
                    </w:rPr>
                  </w:pPr>
                  <w:r>
                    <w:rPr>
                      <w:b/>
                      <w:color w:val="000000"/>
                      <w:sz w:val="24"/>
                      <w:szCs w:val="24"/>
                    </w:rPr>
                    <w:t>22.94%</w:t>
                  </w:r>
                </w:p>
                <w:p w14:paraId="70FE7C85" w14:textId="77777777" w:rsidR="00155420" w:rsidRDefault="00E84F93">
                  <w:pPr>
                    <w:keepNext w:val="0"/>
                    <w:pBdr>
                      <w:top w:val="nil"/>
                      <w:left w:val="nil"/>
                      <w:bottom w:val="nil"/>
                      <w:right w:val="nil"/>
                      <w:between w:val="nil"/>
                    </w:pBdr>
                    <w:spacing w:before="0" w:after="120" w:line="264" w:lineRule="auto"/>
                    <w:ind w:left="0" w:right="0"/>
                    <w:jc w:val="center"/>
                    <w:rPr>
                      <w:color w:val="000000"/>
                      <w:sz w:val="24"/>
                      <w:szCs w:val="24"/>
                    </w:rPr>
                  </w:pPr>
                  <w:r>
                    <w:rPr>
                      <w:color w:val="000000"/>
                      <w:sz w:val="24"/>
                      <w:szCs w:val="24"/>
                    </w:rPr>
                    <w:t>(12,935/56,377)</w:t>
                  </w:r>
                </w:p>
                <w:p w14:paraId="6DFBE4C9" w14:textId="77777777" w:rsidR="00155420" w:rsidRDefault="00155420">
                  <w:pPr>
                    <w:keepNext w:val="0"/>
                    <w:pBdr>
                      <w:top w:val="nil"/>
                      <w:left w:val="nil"/>
                      <w:bottom w:val="nil"/>
                      <w:right w:val="nil"/>
                      <w:between w:val="nil"/>
                    </w:pBdr>
                    <w:spacing w:before="0" w:after="120" w:line="264" w:lineRule="auto"/>
                    <w:ind w:left="0" w:right="0"/>
                    <w:jc w:val="center"/>
                    <w:rPr>
                      <w:color w:val="000000"/>
                      <w:sz w:val="24"/>
                      <w:szCs w:val="24"/>
                    </w:rPr>
                  </w:pPr>
                </w:p>
              </w:tc>
              <w:tc>
                <w:tcPr>
                  <w:tcW w:w="2123" w:type="dxa"/>
                </w:tcPr>
                <w:p w14:paraId="7384F791" w14:textId="77777777" w:rsidR="00155420" w:rsidRDefault="00E84F93">
                  <w:pPr>
                    <w:keepNext w:val="0"/>
                    <w:pBdr>
                      <w:top w:val="nil"/>
                      <w:left w:val="nil"/>
                      <w:bottom w:val="nil"/>
                      <w:right w:val="nil"/>
                      <w:between w:val="nil"/>
                    </w:pBdr>
                    <w:spacing w:before="0" w:after="120" w:line="264" w:lineRule="auto"/>
                    <w:ind w:left="0" w:right="0"/>
                    <w:jc w:val="center"/>
                    <w:rPr>
                      <w:color w:val="000000"/>
                      <w:sz w:val="24"/>
                      <w:szCs w:val="24"/>
                    </w:rPr>
                  </w:pPr>
                  <w:r>
                    <w:rPr>
                      <w:b/>
                      <w:color w:val="000000"/>
                      <w:sz w:val="24"/>
                      <w:szCs w:val="24"/>
                    </w:rPr>
                    <w:t>55%</w:t>
                  </w:r>
                  <w:r>
                    <w:rPr>
                      <w:color w:val="000000"/>
                      <w:sz w:val="24"/>
                      <w:szCs w:val="24"/>
                    </w:rPr>
                    <w:t xml:space="preserve"> </w:t>
                  </w:r>
                </w:p>
                <w:p w14:paraId="4F1A5BF4" w14:textId="77777777" w:rsidR="00155420" w:rsidRDefault="00E84F93">
                  <w:pPr>
                    <w:keepNext w:val="0"/>
                    <w:pBdr>
                      <w:top w:val="nil"/>
                      <w:left w:val="nil"/>
                      <w:bottom w:val="nil"/>
                      <w:right w:val="nil"/>
                      <w:between w:val="nil"/>
                    </w:pBdr>
                    <w:spacing w:before="0" w:after="120" w:line="264" w:lineRule="auto"/>
                    <w:ind w:left="0" w:right="0"/>
                    <w:jc w:val="center"/>
                    <w:rPr>
                      <w:color w:val="000000"/>
                      <w:sz w:val="24"/>
                      <w:szCs w:val="24"/>
                    </w:rPr>
                  </w:pPr>
                  <w:r>
                    <w:rPr>
                      <w:color w:val="000000"/>
                      <w:sz w:val="24"/>
                      <w:szCs w:val="24"/>
                    </w:rPr>
                    <w:t>(66,273/120,497)</w:t>
                  </w:r>
                </w:p>
              </w:tc>
              <w:tc>
                <w:tcPr>
                  <w:tcW w:w="2045" w:type="dxa"/>
                </w:tcPr>
                <w:p w14:paraId="4146773B" w14:textId="77777777" w:rsidR="00155420" w:rsidRDefault="00E84F93">
                  <w:pPr>
                    <w:keepNext w:val="0"/>
                    <w:pBdr>
                      <w:top w:val="nil"/>
                      <w:left w:val="nil"/>
                      <w:bottom w:val="nil"/>
                      <w:right w:val="nil"/>
                      <w:between w:val="nil"/>
                    </w:pBdr>
                    <w:spacing w:before="0" w:after="120" w:line="264" w:lineRule="auto"/>
                    <w:ind w:left="0" w:right="0"/>
                    <w:jc w:val="center"/>
                    <w:rPr>
                      <w:b/>
                      <w:color w:val="000000"/>
                      <w:sz w:val="24"/>
                      <w:szCs w:val="24"/>
                    </w:rPr>
                  </w:pPr>
                  <w:r>
                    <w:rPr>
                      <w:b/>
                      <w:color w:val="000000"/>
                      <w:sz w:val="24"/>
                      <w:szCs w:val="24"/>
                    </w:rPr>
                    <w:t>65%</w:t>
                  </w:r>
                </w:p>
                <w:p w14:paraId="4758F93C" w14:textId="77777777" w:rsidR="00155420" w:rsidRDefault="00E84F93">
                  <w:pPr>
                    <w:keepNext w:val="0"/>
                    <w:pBdr>
                      <w:top w:val="nil"/>
                      <w:left w:val="nil"/>
                      <w:bottom w:val="nil"/>
                      <w:right w:val="nil"/>
                      <w:between w:val="nil"/>
                    </w:pBdr>
                    <w:spacing w:before="0" w:after="120" w:line="264" w:lineRule="auto"/>
                    <w:ind w:left="0" w:right="0"/>
                    <w:jc w:val="center"/>
                    <w:rPr>
                      <w:color w:val="000000"/>
                      <w:sz w:val="24"/>
                      <w:szCs w:val="24"/>
                    </w:rPr>
                  </w:pPr>
                  <w:r>
                    <w:rPr>
                      <w:color w:val="000000"/>
                      <w:sz w:val="24"/>
                      <w:szCs w:val="24"/>
                    </w:rPr>
                    <w:t>(85,156/131,009)</w:t>
                  </w:r>
                </w:p>
              </w:tc>
              <w:tc>
                <w:tcPr>
                  <w:tcW w:w="2178" w:type="dxa"/>
                </w:tcPr>
                <w:p w14:paraId="3B5E54BB" w14:textId="77777777" w:rsidR="00155420" w:rsidRDefault="00E84F93">
                  <w:pPr>
                    <w:keepNext w:val="0"/>
                    <w:pBdr>
                      <w:top w:val="nil"/>
                      <w:left w:val="nil"/>
                      <w:bottom w:val="nil"/>
                      <w:right w:val="nil"/>
                      <w:between w:val="nil"/>
                    </w:pBdr>
                    <w:spacing w:before="0" w:after="120" w:line="264" w:lineRule="auto"/>
                    <w:ind w:left="0" w:right="0"/>
                    <w:jc w:val="center"/>
                    <w:rPr>
                      <w:b/>
                      <w:color w:val="000000"/>
                      <w:sz w:val="24"/>
                      <w:szCs w:val="24"/>
                    </w:rPr>
                  </w:pPr>
                  <w:r>
                    <w:rPr>
                      <w:b/>
                      <w:color w:val="000000"/>
                      <w:sz w:val="24"/>
                      <w:szCs w:val="24"/>
                    </w:rPr>
                    <w:t>75%</w:t>
                  </w:r>
                </w:p>
                <w:p w14:paraId="2CE54CEC" w14:textId="77777777" w:rsidR="00155420" w:rsidRDefault="00E84F93">
                  <w:pPr>
                    <w:keepNext w:val="0"/>
                    <w:pBdr>
                      <w:top w:val="nil"/>
                      <w:left w:val="nil"/>
                      <w:bottom w:val="nil"/>
                      <w:right w:val="nil"/>
                      <w:between w:val="nil"/>
                    </w:pBdr>
                    <w:spacing w:before="0" w:after="120" w:line="264" w:lineRule="auto"/>
                    <w:ind w:left="0" w:right="0"/>
                    <w:jc w:val="center"/>
                    <w:rPr>
                      <w:color w:val="000000"/>
                      <w:sz w:val="24"/>
                      <w:szCs w:val="24"/>
                    </w:rPr>
                  </w:pPr>
                  <w:r>
                    <w:rPr>
                      <w:color w:val="000000"/>
                      <w:sz w:val="24"/>
                      <w:szCs w:val="24"/>
                    </w:rPr>
                    <w:t>(104,792/139,723)</w:t>
                  </w:r>
                </w:p>
              </w:tc>
            </w:tr>
          </w:tbl>
          <w:p w14:paraId="5D6EE8AE" w14:textId="77777777" w:rsidR="00155420" w:rsidRDefault="00E84F93">
            <w:pPr>
              <w:keepNext w:val="0"/>
              <w:numPr>
                <w:ilvl w:val="0"/>
                <w:numId w:val="2"/>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Increase private notification of bacteriologically confirmed TB patients. </w:t>
            </w:r>
          </w:p>
          <w:p w14:paraId="02E150A1" w14:textId="77777777" w:rsidR="00155420" w:rsidRDefault="00E84F93">
            <w:pPr>
              <w:keepNext w:val="0"/>
              <w:numPr>
                <w:ilvl w:val="0"/>
                <w:numId w:val="2"/>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Train 30 CBOs/CSOs included in the primary care provider network.</w:t>
            </w:r>
          </w:p>
          <w:p w14:paraId="18DED5CE" w14:textId="77777777" w:rsidR="00155420" w:rsidRDefault="00E84F93">
            <w:pPr>
              <w:keepNext w:val="0"/>
              <w:numPr>
                <w:ilvl w:val="0"/>
                <w:numId w:val="2"/>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Train and engage 120 KAP members nationwide as part of the TB service delivery care network. </w:t>
            </w:r>
          </w:p>
        </w:tc>
      </w:tr>
      <w:tr w:rsidR="00155420" w14:paraId="1816C80C"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shd w:val="clear" w:color="auto" w:fill="ABB7FC"/>
          </w:tcPr>
          <w:p w14:paraId="696FCE79"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color w:val="000000"/>
                <w:sz w:val="24"/>
                <w:szCs w:val="24"/>
              </w:rPr>
              <w:t>Module #4</w:t>
            </w:r>
          </w:p>
        </w:tc>
        <w:tc>
          <w:tcPr>
            <w:tcW w:w="12465" w:type="dxa"/>
            <w:shd w:val="clear" w:color="auto" w:fill="ABB7FC"/>
          </w:tcPr>
          <w:p w14:paraId="0150E967"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b/>
                <w:color w:val="000000"/>
                <w:sz w:val="24"/>
                <w:szCs w:val="24"/>
              </w:rPr>
            </w:pPr>
            <w:r>
              <w:rPr>
                <w:b/>
                <w:color w:val="000000"/>
                <w:sz w:val="24"/>
                <w:szCs w:val="24"/>
              </w:rPr>
              <w:t xml:space="preserve">Key and vulnerable populations (KVP)-TB/DRTB  </w:t>
            </w:r>
          </w:p>
        </w:tc>
      </w:tr>
      <w:tr w:rsidR="00155420" w14:paraId="20DAE7AB"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vMerge w:val="restart"/>
          </w:tcPr>
          <w:p w14:paraId="3D052D9B"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Intervention(s)</w:t>
            </w:r>
          </w:p>
        </w:tc>
        <w:tc>
          <w:tcPr>
            <w:tcW w:w="12465" w:type="dxa"/>
          </w:tcPr>
          <w:p w14:paraId="0AB36FF6"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KVP-People in prisons/jails/detention centers </w:t>
            </w:r>
            <w:r>
              <w:rPr>
                <w:rFonts w:ascii="MS Gothic" w:eastAsia="MS Gothic" w:hAnsi="MS Gothic" w:cs="MS Gothic"/>
                <w:color w:val="000000"/>
              </w:rPr>
              <w:t>☐</w:t>
            </w:r>
            <w:r>
              <w:rPr>
                <w:color w:val="000000"/>
              </w:rPr>
              <w:t xml:space="preserve"> New, </w:t>
            </w:r>
            <w:r>
              <w:rPr>
                <w:rFonts w:ascii="MS Gothic" w:eastAsia="MS Gothic" w:hAnsi="MS Gothic" w:cs="MS Gothic"/>
                <w:color w:val="000000"/>
              </w:rPr>
              <w:t>☐</w:t>
            </w:r>
            <w:r>
              <w:rPr>
                <w:color w:val="000000"/>
              </w:rPr>
              <w:t xml:space="preserve"> Scale-up, </w:t>
            </w:r>
            <w:r>
              <w:rPr>
                <w:rFonts w:ascii="MS Gothic" w:eastAsia="MS Gothic" w:hAnsi="MS Gothic" w:cs="MS Gothic"/>
                <w:color w:val="000000"/>
              </w:rPr>
              <w:t>☒</w:t>
            </w:r>
            <w:r>
              <w:rPr>
                <w:color w:val="000000"/>
              </w:rPr>
              <w:t xml:space="preserve"> Continuation, or </w:t>
            </w:r>
            <w:r>
              <w:rPr>
                <w:rFonts w:ascii="MS Gothic" w:eastAsia="MS Gothic" w:hAnsi="MS Gothic" w:cs="MS Gothic"/>
                <w:color w:val="000000"/>
              </w:rPr>
              <w:t>☐</w:t>
            </w:r>
            <w:r>
              <w:rPr>
                <w:color w:val="000000"/>
              </w:rPr>
              <w:t xml:space="preserve"> Scale-down</w:t>
            </w:r>
          </w:p>
        </w:tc>
      </w:tr>
      <w:tr w:rsidR="00155420" w14:paraId="0FB0692A"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vMerge/>
          </w:tcPr>
          <w:p w14:paraId="08F6408C" w14:textId="77777777" w:rsidR="00155420" w:rsidRDefault="00155420">
            <w:pPr>
              <w:keepNext w:val="0"/>
              <w:widowControl w:val="0"/>
              <w:pBdr>
                <w:top w:val="nil"/>
                <w:left w:val="nil"/>
                <w:bottom w:val="nil"/>
                <w:right w:val="nil"/>
                <w:between w:val="nil"/>
              </w:pBdr>
              <w:spacing w:before="0" w:line="276" w:lineRule="auto"/>
              <w:ind w:left="0" w:right="0"/>
              <w:rPr>
                <w:color w:val="000000"/>
              </w:rPr>
            </w:pPr>
          </w:p>
        </w:tc>
        <w:tc>
          <w:tcPr>
            <w:tcW w:w="12465" w:type="dxa"/>
          </w:tcPr>
          <w:p w14:paraId="6A1701E4"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KVP-Urban poor/Slum Dwellers </w:t>
            </w:r>
            <w:r>
              <w:rPr>
                <w:rFonts w:ascii="MS Gothic" w:eastAsia="MS Gothic" w:hAnsi="MS Gothic" w:cs="MS Gothic"/>
                <w:color w:val="000000"/>
              </w:rPr>
              <w:t>☐</w:t>
            </w:r>
            <w:r>
              <w:rPr>
                <w:color w:val="000000"/>
              </w:rPr>
              <w:t xml:space="preserve"> New, </w:t>
            </w:r>
            <w:r>
              <w:rPr>
                <w:rFonts w:ascii="MS Gothic" w:eastAsia="MS Gothic" w:hAnsi="MS Gothic" w:cs="MS Gothic"/>
                <w:color w:val="000000"/>
              </w:rPr>
              <w:t>☐</w:t>
            </w:r>
            <w:r>
              <w:rPr>
                <w:color w:val="000000"/>
              </w:rPr>
              <w:t xml:space="preserve"> Scale-up, </w:t>
            </w:r>
            <w:r>
              <w:rPr>
                <w:rFonts w:ascii="MS Gothic" w:eastAsia="MS Gothic" w:hAnsi="MS Gothic" w:cs="MS Gothic"/>
                <w:color w:val="000000"/>
              </w:rPr>
              <w:t>☒</w:t>
            </w:r>
            <w:r>
              <w:rPr>
                <w:color w:val="000000"/>
              </w:rPr>
              <w:t xml:space="preserve"> Continuation, or </w:t>
            </w:r>
            <w:r>
              <w:rPr>
                <w:rFonts w:ascii="MS Gothic" w:eastAsia="MS Gothic" w:hAnsi="MS Gothic" w:cs="MS Gothic"/>
                <w:color w:val="000000"/>
              </w:rPr>
              <w:t>☐</w:t>
            </w:r>
            <w:r>
              <w:rPr>
                <w:color w:val="000000"/>
              </w:rPr>
              <w:t xml:space="preserve"> Scale-down</w:t>
            </w:r>
          </w:p>
        </w:tc>
      </w:tr>
      <w:tr w:rsidR="00155420" w14:paraId="3EAD104B"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vMerge/>
          </w:tcPr>
          <w:p w14:paraId="7DBF21DB" w14:textId="77777777" w:rsidR="00155420" w:rsidRDefault="00155420">
            <w:pPr>
              <w:keepNext w:val="0"/>
              <w:widowControl w:val="0"/>
              <w:pBdr>
                <w:top w:val="nil"/>
                <w:left w:val="nil"/>
                <w:bottom w:val="nil"/>
                <w:right w:val="nil"/>
                <w:between w:val="nil"/>
              </w:pBdr>
              <w:spacing w:before="0" w:line="276" w:lineRule="auto"/>
              <w:ind w:left="0" w:right="0"/>
              <w:rPr>
                <w:color w:val="000000"/>
              </w:rPr>
            </w:pPr>
          </w:p>
        </w:tc>
        <w:tc>
          <w:tcPr>
            <w:tcW w:w="12465" w:type="dxa"/>
          </w:tcPr>
          <w:p w14:paraId="2882D834"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KVP-Others </w:t>
            </w:r>
            <w:r>
              <w:rPr>
                <w:rFonts w:ascii="MS Gothic" w:eastAsia="MS Gothic" w:hAnsi="MS Gothic" w:cs="MS Gothic"/>
                <w:color w:val="000000"/>
              </w:rPr>
              <w:t>☐</w:t>
            </w:r>
            <w:r>
              <w:rPr>
                <w:color w:val="000000"/>
              </w:rPr>
              <w:t xml:space="preserve"> New, </w:t>
            </w:r>
            <w:r>
              <w:rPr>
                <w:rFonts w:ascii="MS Gothic" w:eastAsia="MS Gothic" w:hAnsi="MS Gothic" w:cs="MS Gothic"/>
                <w:color w:val="000000"/>
              </w:rPr>
              <w:t>☐</w:t>
            </w:r>
            <w:r>
              <w:rPr>
                <w:color w:val="000000"/>
              </w:rPr>
              <w:t xml:space="preserve"> Scale-up, </w:t>
            </w:r>
            <w:r>
              <w:rPr>
                <w:rFonts w:ascii="MS Gothic" w:eastAsia="MS Gothic" w:hAnsi="MS Gothic" w:cs="MS Gothic"/>
                <w:color w:val="000000"/>
              </w:rPr>
              <w:t>☒</w:t>
            </w:r>
            <w:r>
              <w:rPr>
                <w:color w:val="000000"/>
              </w:rPr>
              <w:t xml:space="preserve"> Continuation, or </w:t>
            </w:r>
            <w:r>
              <w:rPr>
                <w:rFonts w:ascii="MS Gothic" w:eastAsia="MS Gothic" w:hAnsi="MS Gothic" w:cs="MS Gothic"/>
                <w:color w:val="000000"/>
              </w:rPr>
              <w:t>☐</w:t>
            </w:r>
            <w:r>
              <w:rPr>
                <w:color w:val="000000"/>
              </w:rPr>
              <w:t xml:space="preserve"> Scale-down</w:t>
            </w:r>
          </w:p>
        </w:tc>
      </w:tr>
      <w:tr w:rsidR="00155420" w14:paraId="14893F67"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tcPr>
          <w:p w14:paraId="1056D914"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lastRenderedPageBreak/>
              <w:t>Population, geographies, and barriers addressed</w:t>
            </w:r>
          </w:p>
        </w:tc>
        <w:tc>
          <w:tcPr>
            <w:tcW w:w="12465" w:type="dxa"/>
          </w:tcPr>
          <w:p w14:paraId="6ED280D8"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b/>
                <w:color w:val="000000"/>
              </w:rPr>
              <w:t>Population:</w:t>
            </w:r>
            <w:r>
              <w:rPr>
                <w:color w:val="000000"/>
              </w:rPr>
              <w:t xml:space="preserve"> TB contacts, urban and rural poor, elderly, children, people with comorbidities (smokers, diabetes), and people deprived of liberty. </w:t>
            </w:r>
          </w:p>
          <w:p w14:paraId="1CA5E199"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b/>
                <w:color w:val="000000"/>
              </w:rPr>
              <w:t>Geography:</w:t>
            </w:r>
            <w:r>
              <w:rPr>
                <w:color w:val="000000"/>
              </w:rPr>
              <w:t xml:space="preserve"> Nationwide </w:t>
            </w:r>
          </w:p>
          <w:p w14:paraId="22CC5944" w14:textId="4D66D83F"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b/>
                <w:color w:val="000000"/>
              </w:rPr>
              <w:t>Barriers:</w:t>
            </w:r>
            <w:r>
              <w:rPr>
                <w:color w:val="000000"/>
              </w:rPr>
              <w:t xml:space="preserve"> PDL access to TB care remains limited. Access to TB care among urban and rural poor, whi</w:t>
            </w:r>
            <w:r>
              <w:rPr>
                <w:color w:val="000000"/>
              </w:rPr>
              <w:t xml:space="preserve">ch are primarily in </w:t>
            </w:r>
            <w:r w:rsidR="005C6956">
              <w:rPr>
                <w:color w:val="000000"/>
              </w:rPr>
              <w:t>geographically &amp;</w:t>
            </w:r>
            <w:r>
              <w:rPr>
                <w:color w:val="000000"/>
              </w:rPr>
              <w:t xml:space="preserve"> depressed areas, remains limited.   </w:t>
            </w:r>
          </w:p>
        </w:tc>
      </w:tr>
      <w:tr w:rsidR="00155420" w14:paraId="79B30BA5"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tcPr>
          <w:p w14:paraId="705200A5"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List of activities</w:t>
            </w:r>
          </w:p>
        </w:tc>
        <w:tc>
          <w:tcPr>
            <w:tcW w:w="12465" w:type="dxa"/>
          </w:tcPr>
          <w:p w14:paraId="14EFBCEB"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In the ongoing GFTB grant 2021-2023, reaching KVPs is done through LGU-led systematic screening events using 12 </w:t>
            </w:r>
            <w:proofErr w:type="spellStart"/>
            <w:r>
              <w:rPr>
                <w:color w:val="000000"/>
              </w:rPr>
              <w:t>Konsutayo</w:t>
            </w:r>
            <w:proofErr w:type="spellEnd"/>
            <w:r>
              <w:rPr>
                <w:color w:val="000000"/>
              </w:rPr>
              <w:t xml:space="preserve"> Vans, X-ray vans with AI CAD, provision of free Xray through an Xray voucher system, and implementation of TB program in jails. Five private service contractors are also engaged to supplement the </w:t>
            </w:r>
            <w:proofErr w:type="spellStart"/>
            <w:r>
              <w:rPr>
                <w:color w:val="000000"/>
              </w:rPr>
              <w:t>Konsultayo</w:t>
            </w:r>
            <w:proofErr w:type="spellEnd"/>
            <w:r>
              <w:rPr>
                <w:color w:val="000000"/>
              </w:rPr>
              <w:t xml:space="preserve"> Vans nationwide. Additional nine </w:t>
            </w:r>
            <w:proofErr w:type="spellStart"/>
            <w:r>
              <w:rPr>
                <w:color w:val="000000"/>
              </w:rPr>
              <w:t>Konsultayo</w:t>
            </w:r>
            <w:proofErr w:type="spellEnd"/>
            <w:r>
              <w:rPr>
                <w:color w:val="000000"/>
              </w:rPr>
              <w:t xml:space="preserve"> vans</w:t>
            </w:r>
            <w:r>
              <w:rPr>
                <w:color w:val="000000"/>
              </w:rPr>
              <w:t xml:space="preserve"> are currently being procured. Five mobile vans will be added for the same purpose under the HIV FR.  </w:t>
            </w:r>
          </w:p>
          <w:p w14:paraId="4C2F4A54"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In this FR, interventions will be scaled up with the full operationalization of 21 mobile vans beginning January 2024 and five service contractors. This </w:t>
            </w:r>
            <w:r>
              <w:rPr>
                <w:color w:val="000000"/>
              </w:rPr>
              <w:t xml:space="preserve">will increase coverage in all regions nationwide. </w:t>
            </w:r>
          </w:p>
          <w:p w14:paraId="4D4352E1" w14:textId="77777777" w:rsidR="00155420" w:rsidRDefault="00E84F93">
            <w:pPr>
              <w:keepNext w:val="0"/>
              <w:numPr>
                <w:ilvl w:val="0"/>
                <w:numId w:val="4"/>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Active/Intensive/Enhanced case finding </w:t>
            </w:r>
            <w:proofErr w:type="spellStart"/>
            <w:r>
              <w:rPr>
                <w:color w:val="000000"/>
              </w:rPr>
              <w:t>Konsultayo</w:t>
            </w:r>
            <w:proofErr w:type="spellEnd"/>
            <w:r>
              <w:rPr>
                <w:color w:val="000000"/>
              </w:rPr>
              <w:t xml:space="preserve"> vans and free x-ray vouchers for TB screening and diagnosis targeting key populations nationwide. </w:t>
            </w:r>
          </w:p>
          <w:p w14:paraId="2ACF5DD4" w14:textId="77777777" w:rsidR="00155420" w:rsidRDefault="00E84F93">
            <w:pPr>
              <w:keepNext w:val="0"/>
              <w:numPr>
                <w:ilvl w:val="0"/>
                <w:numId w:val="4"/>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Payment for AI CAD </w:t>
            </w:r>
          </w:p>
          <w:p w14:paraId="704F4A8E" w14:textId="77777777" w:rsidR="00155420" w:rsidRDefault="00E84F93">
            <w:pPr>
              <w:keepNext w:val="0"/>
              <w:numPr>
                <w:ilvl w:val="0"/>
                <w:numId w:val="4"/>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Private service contractors will </w:t>
            </w:r>
            <w:r>
              <w:rPr>
                <w:color w:val="000000"/>
              </w:rPr>
              <w:t>still be engaged to reach other areas.</w:t>
            </w:r>
          </w:p>
          <w:p w14:paraId="2CEC20CC" w14:textId="77777777" w:rsidR="00155420" w:rsidRDefault="00E84F93">
            <w:pPr>
              <w:keepNext w:val="0"/>
              <w:numPr>
                <w:ilvl w:val="0"/>
                <w:numId w:val="4"/>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Maintain nationwide implementation of the TB program in all jails and prisons (USD 4,320,432). </w:t>
            </w:r>
          </w:p>
        </w:tc>
      </w:tr>
      <w:tr w:rsidR="00155420" w14:paraId="481FCE47"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tcPr>
          <w:p w14:paraId="64D2BB77"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Amount requested</w:t>
            </w:r>
          </w:p>
        </w:tc>
        <w:tc>
          <w:tcPr>
            <w:tcW w:w="12465" w:type="dxa"/>
          </w:tcPr>
          <w:p w14:paraId="036EAE42" w14:textId="101EF3CA"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sidRPr="00D65121">
              <w:rPr>
                <w:color w:val="000000"/>
              </w:rPr>
              <w:t>USD 31,</w:t>
            </w:r>
            <w:r w:rsidR="00B57005" w:rsidRPr="00D65121">
              <w:rPr>
                <w:color w:val="000000"/>
              </w:rPr>
              <w:t>663</w:t>
            </w:r>
            <w:r w:rsidRPr="00D65121">
              <w:rPr>
                <w:color w:val="000000"/>
              </w:rPr>
              <w:t>,</w:t>
            </w:r>
            <w:r w:rsidR="00B57005" w:rsidRPr="00D65121">
              <w:rPr>
                <w:color w:val="000000"/>
              </w:rPr>
              <w:t>53</w:t>
            </w:r>
            <w:r w:rsidR="00D65121" w:rsidRPr="00D65121">
              <w:rPr>
                <w:color w:val="000000"/>
              </w:rPr>
              <w:t>5</w:t>
            </w:r>
            <w:r>
              <w:rPr>
                <w:color w:val="000000"/>
              </w:rPr>
              <w:t xml:space="preserve"> [22% of the total FR]</w:t>
            </w:r>
          </w:p>
        </w:tc>
      </w:tr>
      <w:tr w:rsidR="00155420" w14:paraId="11F9C4F8"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tcPr>
          <w:p w14:paraId="07394B65"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lastRenderedPageBreak/>
              <w:t>Expected outcome</w:t>
            </w:r>
          </w:p>
        </w:tc>
        <w:tc>
          <w:tcPr>
            <w:tcW w:w="12465" w:type="dxa"/>
          </w:tcPr>
          <w:p w14:paraId="3C0E0DC0" w14:textId="77777777" w:rsidR="00155420" w:rsidRDefault="00155420">
            <w:pPr>
              <w:keepNext w:val="0"/>
              <w:widowControl w:val="0"/>
              <w:pBdr>
                <w:top w:val="nil"/>
                <w:left w:val="nil"/>
                <w:bottom w:val="nil"/>
                <w:right w:val="nil"/>
                <w:between w:val="nil"/>
              </w:pBdr>
              <w:spacing w:before="0" w:line="276" w:lineRule="auto"/>
              <w:ind w:left="0" w:right="0"/>
              <w:cnfStyle w:val="000000000000" w:firstRow="0" w:lastRow="0" w:firstColumn="0" w:lastColumn="0" w:oddVBand="0" w:evenVBand="0" w:oddHBand="0" w:evenHBand="0" w:firstRowFirstColumn="0" w:firstRowLastColumn="0" w:lastRowFirstColumn="0" w:lastRowLastColumn="0"/>
              <w:rPr>
                <w:color w:val="000000"/>
                <w:sz w:val="24"/>
                <w:szCs w:val="24"/>
              </w:rPr>
            </w:pPr>
          </w:p>
          <w:tbl>
            <w:tblPr>
              <w:tblStyle w:val="a5"/>
              <w:tblW w:w="12225" w:type="dxa"/>
              <w:tblBorders>
                <w:top w:val="single" w:sz="4" w:space="0" w:color="2E4DF9"/>
                <w:left w:val="single" w:sz="4" w:space="0" w:color="2E4DF9"/>
                <w:bottom w:val="single" w:sz="4" w:space="0" w:color="2E4DF9"/>
                <w:right w:val="single" w:sz="4" w:space="0" w:color="2E4DF9"/>
                <w:insideH w:val="single" w:sz="4" w:space="0" w:color="999999"/>
                <w:insideV w:val="single" w:sz="4" w:space="0" w:color="999999"/>
              </w:tblBorders>
              <w:tblLayout w:type="fixed"/>
              <w:tblLook w:val="0420" w:firstRow="1" w:lastRow="0" w:firstColumn="0" w:lastColumn="0" w:noHBand="0" w:noVBand="1"/>
            </w:tblPr>
            <w:tblGrid>
              <w:gridCol w:w="4215"/>
              <w:gridCol w:w="2160"/>
              <w:gridCol w:w="1965"/>
              <w:gridCol w:w="1935"/>
              <w:gridCol w:w="1950"/>
            </w:tblGrid>
            <w:tr w:rsidR="00155420" w14:paraId="6327B696" w14:textId="77777777" w:rsidTr="00155420">
              <w:trPr>
                <w:cnfStyle w:val="100000000000" w:firstRow="1" w:lastRow="0" w:firstColumn="0" w:lastColumn="0" w:oddVBand="0" w:evenVBand="0" w:oddHBand="0" w:evenHBand="0" w:firstRowFirstColumn="0" w:firstRowLastColumn="0" w:lastRowFirstColumn="0" w:lastRowLastColumn="0"/>
                <w:cantSplit/>
                <w:trHeight w:val="299"/>
              </w:trPr>
              <w:tc>
                <w:tcPr>
                  <w:tcW w:w="4215" w:type="dxa"/>
                </w:tcPr>
                <w:p w14:paraId="0232511A" w14:textId="77777777" w:rsidR="00155420" w:rsidRDefault="00E84F93">
                  <w:pPr>
                    <w:keepNext w:val="0"/>
                    <w:pBdr>
                      <w:top w:val="nil"/>
                      <w:left w:val="nil"/>
                      <w:bottom w:val="nil"/>
                      <w:right w:val="nil"/>
                      <w:between w:val="nil"/>
                    </w:pBdr>
                    <w:spacing w:before="0" w:after="120" w:line="264" w:lineRule="auto"/>
                    <w:ind w:left="0" w:right="0"/>
                    <w:jc w:val="center"/>
                    <w:rPr>
                      <w:color w:val="F2F2F2"/>
                      <w:sz w:val="24"/>
                      <w:szCs w:val="24"/>
                    </w:rPr>
                  </w:pPr>
                  <w:r>
                    <w:rPr>
                      <w:color w:val="F2F2F2"/>
                      <w:sz w:val="24"/>
                      <w:szCs w:val="24"/>
                    </w:rPr>
                    <w:t>Indicators</w:t>
                  </w:r>
                </w:p>
              </w:tc>
              <w:tc>
                <w:tcPr>
                  <w:tcW w:w="2160" w:type="dxa"/>
                </w:tcPr>
                <w:p w14:paraId="5F5DF775" w14:textId="77777777" w:rsidR="00155420" w:rsidRDefault="00E84F93">
                  <w:pPr>
                    <w:keepNext w:val="0"/>
                    <w:pBdr>
                      <w:top w:val="nil"/>
                      <w:left w:val="nil"/>
                      <w:bottom w:val="nil"/>
                      <w:right w:val="nil"/>
                      <w:between w:val="nil"/>
                    </w:pBdr>
                    <w:spacing w:before="0" w:after="120" w:line="264" w:lineRule="auto"/>
                    <w:ind w:left="0" w:right="0"/>
                    <w:jc w:val="center"/>
                    <w:rPr>
                      <w:color w:val="F2F2F2"/>
                      <w:sz w:val="24"/>
                      <w:szCs w:val="24"/>
                    </w:rPr>
                  </w:pPr>
                  <w:r>
                    <w:rPr>
                      <w:color w:val="F2F2F2"/>
                      <w:sz w:val="24"/>
                      <w:szCs w:val="24"/>
                    </w:rPr>
                    <w:t>Baseline 2022</w:t>
                  </w:r>
                </w:p>
              </w:tc>
              <w:tc>
                <w:tcPr>
                  <w:tcW w:w="1965" w:type="dxa"/>
                </w:tcPr>
                <w:p w14:paraId="32EB395F" w14:textId="77777777" w:rsidR="00155420" w:rsidRDefault="00E84F93">
                  <w:pPr>
                    <w:keepNext w:val="0"/>
                    <w:pBdr>
                      <w:top w:val="nil"/>
                      <w:left w:val="nil"/>
                      <w:bottom w:val="nil"/>
                      <w:right w:val="nil"/>
                      <w:between w:val="nil"/>
                    </w:pBdr>
                    <w:spacing w:before="0" w:after="120" w:line="264" w:lineRule="auto"/>
                    <w:ind w:left="0" w:right="0"/>
                    <w:jc w:val="center"/>
                    <w:rPr>
                      <w:color w:val="F2F2F2"/>
                      <w:sz w:val="24"/>
                      <w:szCs w:val="24"/>
                    </w:rPr>
                  </w:pPr>
                  <w:r>
                    <w:rPr>
                      <w:color w:val="F2F2F2"/>
                      <w:sz w:val="24"/>
                      <w:szCs w:val="24"/>
                    </w:rPr>
                    <w:t>2024</w:t>
                  </w:r>
                </w:p>
              </w:tc>
              <w:tc>
                <w:tcPr>
                  <w:tcW w:w="1935" w:type="dxa"/>
                </w:tcPr>
                <w:p w14:paraId="0504B148" w14:textId="77777777" w:rsidR="00155420" w:rsidRDefault="00E84F93">
                  <w:pPr>
                    <w:keepNext w:val="0"/>
                    <w:pBdr>
                      <w:top w:val="nil"/>
                      <w:left w:val="nil"/>
                      <w:bottom w:val="nil"/>
                      <w:right w:val="nil"/>
                      <w:between w:val="nil"/>
                    </w:pBdr>
                    <w:spacing w:before="0" w:after="120" w:line="264" w:lineRule="auto"/>
                    <w:ind w:left="0" w:right="0"/>
                    <w:jc w:val="center"/>
                    <w:rPr>
                      <w:color w:val="F2F2F2"/>
                      <w:sz w:val="24"/>
                      <w:szCs w:val="24"/>
                    </w:rPr>
                  </w:pPr>
                  <w:r>
                    <w:rPr>
                      <w:color w:val="F2F2F2"/>
                      <w:sz w:val="24"/>
                      <w:szCs w:val="24"/>
                    </w:rPr>
                    <w:t>2025</w:t>
                  </w:r>
                </w:p>
              </w:tc>
              <w:tc>
                <w:tcPr>
                  <w:tcW w:w="1950" w:type="dxa"/>
                </w:tcPr>
                <w:p w14:paraId="2011BA60" w14:textId="77777777" w:rsidR="00155420" w:rsidRDefault="00E84F93">
                  <w:pPr>
                    <w:keepNext w:val="0"/>
                    <w:pBdr>
                      <w:top w:val="nil"/>
                      <w:left w:val="nil"/>
                      <w:bottom w:val="nil"/>
                      <w:right w:val="nil"/>
                      <w:between w:val="nil"/>
                    </w:pBdr>
                    <w:spacing w:before="0" w:after="120" w:line="264" w:lineRule="auto"/>
                    <w:ind w:left="0" w:right="0"/>
                    <w:jc w:val="center"/>
                    <w:rPr>
                      <w:color w:val="F2F2F2"/>
                      <w:sz w:val="24"/>
                      <w:szCs w:val="24"/>
                    </w:rPr>
                  </w:pPr>
                  <w:r>
                    <w:rPr>
                      <w:color w:val="F2F2F2"/>
                      <w:sz w:val="24"/>
                      <w:szCs w:val="24"/>
                    </w:rPr>
                    <w:t>2026</w:t>
                  </w:r>
                </w:p>
              </w:tc>
            </w:tr>
            <w:tr w:rsidR="00155420" w14:paraId="1BA43662" w14:textId="77777777" w:rsidTr="00155420">
              <w:trPr>
                <w:cnfStyle w:val="000000100000" w:firstRow="0" w:lastRow="0" w:firstColumn="0" w:lastColumn="0" w:oddVBand="0" w:evenVBand="0" w:oddHBand="1" w:evenHBand="0" w:firstRowFirstColumn="0" w:firstRowLastColumn="0" w:lastRowFirstColumn="0" w:lastRowLastColumn="0"/>
                <w:cantSplit/>
                <w:trHeight w:val="301"/>
              </w:trPr>
              <w:tc>
                <w:tcPr>
                  <w:tcW w:w="4215" w:type="dxa"/>
                </w:tcPr>
                <w:p w14:paraId="05947DCD"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proofErr w:type="spellStart"/>
                  <w:r>
                    <w:rPr>
                      <w:color w:val="000000"/>
                      <w:sz w:val="24"/>
                      <w:szCs w:val="24"/>
                    </w:rPr>
                    <w:t>VulPoP</w:t>
                  </w:r>
                  <w:proofErr w:type="spellEnd"/>
                </w:p>
              </w:tc>
              <w:tc>
                <w:tcPr>
                  <w:tcW w:w="2160" w:type="dxa"/>
                </w:tcPr>
                <w:p w14:paraId="2CAAC4C4" w14:textId="77777777" w:rsidR="00155420" w:rsidRDefault="00E84F93">
                  <w:pPr>
                    <w:keepNext w:val="0"/>
                    <w:pBdr>
                      <w:top w:val="nil"/>
                      <w:left w:val="nil"/>
                      <w:bottom w:val="nil"/>
                      <w:right w:val="nil"/>
                      <w:between w:val="nil"/>
                    </w:pBdr>
                    <w:spacing w:before="0" w:after="120" w:line="264" w:lineRule="auto"/>
                    <w:ind w:left="0" w:right="0"/>
                    <w:jc w:val="center"/>
                    <w:rPr>
                      <w:color w:val="000000"/>
                      <w:sz w:val="24"/>
                      <w:szCs w:val="24"/>
                    </w:rPr>
                  </w:pPr>
                  <w:r>
                    <w:rPr>
                      <w:color w:val="000000"/>
                      <w:sz w:val="24"/>
                      <w:szCs w:val="24"/>
                    </w:rPr>
                    <w:t>31,689</w:t>
                  </w:r>
                </w:p>
              </w:tc>
              <w:tc>
                <w:tcPr>
                  <w:tcW w:w="1965" w:type="dxa"/>
                </w:tcPr>
                <w:p w14:paraId="2E4B5BE3" w14:textId="77777777" w:rsidR="00155420" w:rsidRDefault="00E84F93">
                  <w:pPr>
                    <w:keepNext w:val="0"/>
                    <w:pBdr>
                      <w:top w:val="nil"/>
                      <w:left w:val="nil"/>
                      <w:bottom w:val="nil"/>
                      <w:right w:val="nil"/>
                      <w:between w:val="nil"/>
                    </w:pBdr>
                    <w:spacing w:before="0" w:after="120" w:line="264" w:lineRule="auto"/>
                    <w:ind w:left="0" w:right="0"/>
                    <w:jc w:val="center"/>
                    <w:rPr>
                      <w:color w:val="000000"/>
                      <w:sz w:val="24"/>
                      <w:szCs w:val="24"/>
                    </w:rPr>
                  </w:pPr>
                  <w:r>
                    <w:rPr>
                      <w:color w:val="000000"/>
                      <w:sz w:val="24"/>
                      <w:szCs w:val="24"/>
                    </w:rPr>
                    <w:t>32,880</w:t>
                  </w:r>
                </w:p>
              </w:tc>
              <w:tc>
                <w:tcPr>
                  <w:tcW w:w="1935" w:type="dxa"/>
                </w:tcPr>
                <w:p w14:paraId="1C10CE49" w14:textId="77777777" w:rsidR="00155420" w:rsidRDefault="00E84F93">
                  <w:pPr>
                    <w:keepNext w:val="0"/>
                    <w:pBdr>
                      <w:top w:val="nil"/>
                      <w:left w:val="nil"/>
                      <w:bottom w:val="nil"/>
                      <w:right w:val="nil"/>
                      <w:between w:val="nil"/>
                    </w:pBdr>
                    <w:spacing w:before="0" w:after="120" w:line="264" w:lineRule="auto"/>
                    <w:ind w:left="0" w:right="0"/>
                    <w:jc w:val="center"/>
                    <w:rPr>
                      <w:color w:val="000000"/>
                      <w:sz w:val="24"/>
                      <w:szCs w:val="24"/>
                    </w:rPr>
                  </w:pPr>
                  <w:r>
                    <w:rPr>
                      <w:color w:val="000000"/>
                      <w:sz w:val="24"/>
                      <w:szCs w:val="24"/>
                    </w:rPr>
                    <w:t>34,380</w:t>
                  </w:r>
                </w:p>
              </w:tc>
              <w:tc>
                <w:tcPr>
                  <w:tcW w:w="1950" w:type="dxa"/>
                </w:tcPr>
                <w:p w14:paraId="4BC6908C" w14:textId="77777777" w:rsidR="00155420" w:rsidRDefault="00E84F93">
                  <w:pPr>
                    <w:keepNext w:val="0"/>
                    <w:pBdr>
                      <w:top w:val="nil"/>
                      <w:left w:val="nil"/>
                      <w:bottom w:val="nil"/>
                      <w:right w:val="nil"/>
                      <w:between w:val="nil"/>
                    </w:pBdr>
                    <w:spacing w:before="0" w:after="120" w:line="264" w:lineRule="auto"/>
                    <w:ind w:left="0" w:right="0"/>
                    <w:jc w:val="center"/>
                    <w:rPr>
                      <w:color w:val="000000"/>
                      <w:sz w:val="24"/>
                      <w:szCs w:val="24"/>
                    </w:rPr>
                  </w:pPr>
                  <w:r>
                    <w:rPr>
                      <w:color w:val="000000"/>
                      <w:sz w:val="24"/>
                      <w:szCs w:val="24"/>
                    </w:rPr>
                    <w:t>35,880</w:t>
                  </w:r>
                </w:p>
              </w:tc>
            </w:tr>
            <w:tr w:rsidR="00155420" w14:paraId="68CC322D" w14:textId="77777777" w:rsidTr="00155420">
              <w:trPr>
                <w:cantSplit/>
                <w:trHeight w:val="345"/>
              </w:trPr>
              <w:tc>
                <w:tcPr>
                  <w:tcW w:w="4215" w:type="dxa"/>
                </w:tcPr>
                <w:p w14:paraId="05C71A2F"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color w:val="000000"/>
                      <w:sz w:val="24"/>
                      <w:szCs w:val="24"/>
                    </w:rPr>
                    <w:t>Inmates</w:t>
                  </w:r>
                </w:p>
              </w:tc>
              <w:tc>
                <w:tcPr>
                  <w:tcW w:w="2160" w:type="dxa"/>
                </w:tcPr>
                <w:p w14:paraId="4244229D" w14:textId="77777777" w:rsidR="00155420" w:rsidRDefault="00E84F93">
                  <w:pPr>
                    <w:keepNext w:val="0"/>
                    <w:pBdr>
                      <w:top w:val="nil"/>
                      <w:left w:val="nil"/>
                      <w:bottom w:val="nil"/>
                      <w:right w:val="nil"/>
                      <w:between w:val="nil"/>
                    </w:pBdr>
                    <w:spacing w:before="0" w:after="120" w:line="264" w:lineRule="auto"/>
                    <w:ind w:left="0" w:right="0"/>
                    <w:jc w:val="center"/>
                    <w:rPr>
                      <w:color w:val="000000"/>
                      <w:sz w:val="24"/>
                      <w:szCs w:val="24"/>
                    </w:rPr>
                  </w:pPr>
                  <w:r>
                    <w:rPr>
                      <w:color w:val="000000"/>
                      <w:sz w:val="24"/>
                      <w:szCs w:val="24"/>
                    </w:rPr>
                    <w:t>4,186</w:t>
                  </w:r>
                </w:p>
              </w:tc>
              <w:tc>
                <w:tcPr>
                  <w:tcW w:w="1965" w:type="dxa"/>
                </w:tcPr>
                <w:p w14:paraId="4AF0BAF3" w14:textId="77777777" w:rsidR="00155420" w:rsidRDefault="00E84F93">
                  <w:pPr>
                    <w:keepNext w:val="0"/>
                    <w:pBdr>
                      <w:top w:val="nil"/>
                      <w:left w:val="nil"/>
                      <w:bottom w:val="nil"/>
                      <w:right w:val="nil"/>
                      <w:between w:val="nil"/>
                    </w:pBdr>
                    <w:spacing w:before="0" w:after="120" w:line="264" w:lineRule="auto"/>
                    <w:ind w:left="0" w:right="0"/>
                    <w:jc w:val="center"/>
                    <w:rPr>
                      <w:color w:val="000000"/>
                      <w:sz w:val="24"/>
                      <w:szCs w:val="24"/>
                    </w:rPr>
                  </w:pPr>
                  <w:r>
                    <w:rPr>
                      <w:color w:val="000000"/>
                      <w:sz w:val="24"/>
                      <w:szCs w:val="24"/>
                    </w:rPr>
                    <w:t>5,000</w:t>
                  </w:r>
                </w:p>
              </w:tc>
              <w:tc>
                <w:tcPr>
                  <w:tcW w:w="1935" w:type="dxa"/>
                </w:tcPr>
                <w:p w14:paraId="1040D4EC" w14:textId="77777777" w:rsidR="00155420" w:rsidRDefault="00E84F93">
                  <w:pPr>
                    <w:keepNext w:val="0"/>
                    <w:pBdr>
                      <w:top w:val="nil"/>
                      <w:left w:val="nil"/>
                      <w:bottom w:val="nil"/>
                      <w:right w:val="nil"/>
                      <w:between w:val="nil"/>
                    </w:pBdr>
                    <w:spacing w:before="0" w:after="120" w:line="264" w:lineRule="auto"/>
                    <w:ind w:left="0" w:right="0"/>
                    <w:jc w:val="center"/>
                    <w:rPr>
                      <w:color w:val="000000"/>
                      <w:sz w:val="24"/>
                      <w:szCs w:val="24"/>
                    </w:rPr>
                  </w:pPr>
                  <w:r>
                    <w:rPr>
                      <w:color w:val="000000"/>
                      <w:sz w:val="24"/>
                      <w:szCs w:val="24"/>
                    </w:rPr>
                    <w:t>4,600</w:t>
                  </w:r>
                </w:p>
              </w:tc>
              <w:tc>
                <w:tcPr>
                  <w:tcW w:w="1950" w:type="dxa"/>
                </w:tcPr>
                <w:p w14:paraId="223510A4" w14:textId="77777777" w:rsidR="00155420" w:rsidRDefault="00E84F93">
                  <w:pPr>
                    <w:keepNext w:val="0"/>
                    <w:pBdr>
                      <w:top w:val="nil"/>
                      <w:left w:val="nil"/>
                      <w:bottom w:val="nil"/>
                      <w:right w:val="nil"/>
                      <w:between w:val="nil"/>
                    </w:pBdr>
                    <w:spacing w:before="0" w:after="120" w:line="264" w:lineRule="auto"/>
                    <w:ind w:left="0" w:right="0"/>
                    <w:jc w:val="center"/>
                    <w:rPr>
                      <w:color w:val="000000"/>
                      <w:sz w:val="24"/>
                      <w:szCs w:val="24"/>
                    </w:rPr>
                  </w:pPr>
                  <w:r>
                    <w:rPr>
                      <w:color w:val="000000"/>
                      <w:sz w:val="24"/>
                      <w:szCs w:val="24"/>
                    </w:rPr>
                    <w:t>4,000</w:t>
                  </w:r>
                </w:p>
              </w:tc>
            </w:tr>
            <w:tr w:rsidR="00155420" w14:paraId="6B66B0BA" w14:textId="77777777" w:rsidTr="00155420">
              <w:trPr>
                <w:cnfStyle w:val="000000100000" w:firstRow="0" w:lastRow="0" w:firstColumn="0" w:lastColumn="0" w:oddVBand="0" w:evenVBand="0" w:oddHBand="1" w:evenHBand="0" w:firstRowFirstColumn="0" w:firstRowLastColumn="0" w:lastRowFirstColumn="0" w:lastRowLastColumn="0"/>
                <w:cantSplit/>
                <w:trHeight w:val="338"/>
              </w:trPr>
              <w:tc>
                <w:tcPr>
                  <w:tcW w:w="4215" w:type="dxa"/>
                </w:tcPr>
                <w:p w14:paraId="7CADD6F0"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color w:val="000000"/>
                      <w:sz w:val="24"/>
                      <w:szCs w:val="24"/>
                    </w:rPr>
                    <w:t>TSR all forms DSTB (exclude private)</w:t>
                  </w:r>
                </w:p>
              </w:tc>
              <w:tc>
                <w:tcPr>
                  <w:tcW w:w="2160" w:type="dxa"/>
                </w:tcPr>
                <w:p w14:paraId="341BB94A" w14:textId="77777777" w:rsidR="00155420" w:rsidRDefault="00E84F93">
                  <w:pPr>
                    <w:keepNext w:val="0"/>
                    <w:pBdr>
                      <w:top w:val="nil"/>
                      <w:left w:val="nil"/>
                      <w:bottom w:val="nil"/>
                      <w:right w:val="nil"/>
                      <w:between w:val="nil"/>
                    </w:pBdr>
                    <w:spacing w:before="0" w:after="120" w:line="264" w:lineRule="auto"/>
                    <w:ind w:left="0" w:right="0"/>
                    <w:jc w:val="center"/>
                    <w:rPr>
                      <w:color w:val="000000"/>
                      <w:sz w:val="24"/>
                      <w:szCs w:val="24"/>
                    </w:rPr>
                  </w:pPr>
                  <w:r>
                    <w:rPr>
                      <w:color w:val="000000"/>
                      <w:sz w:val="24"/>
                      <w:szCs w:val="24"/>
                    </w:rPr>
                    <w:t>76% (2021)</w:t>
                  </w:r>
                </w:p>
              </w:tc>
              <w:tc>
                <w:tcPr>
                  <w:tcW w:w="1965" w:type="dxa"/>
                </w:tcPr>
                <w:p w14:paraId="26A0085A" w14:textId="77777777" w:rsidR="00155420" w:rsidRDefault="00E84F93">
                  <w:pPr>
                    <w:keepNext w:val="0"/>
                    <w:pBdr>
                      <w:top w:val="nil"/>
                      <w:left w:val="nil"/>
                      <w:bottom w:val="nil"/>
                      <w:right w:val="nil"/>
                      <w:between w:val="nil"/>
                    </w:pBdr>
                    <w:spacing w:before="0" w:after="120" w:line="264" w:lineRule="auto"/>
                    <w:ind w:left="0" w:right="0"/>
                    <w:jc w:val="center"/>
                    <w:rPr>
                      <w:color w:val="000000"/>
                      <w:sz w:val="24"/>
                      <w:szCs w:val="24"/>
                    </w:rPr>
                  </w:pPr>
                  <w:r>
                    <w:rPr>
                      <w:color w:val="000000"/>
                      <w:sz w:val="24"/>
                      <w:szCs w:val="24"/>
                    </w:rPr>
                    <w:t>90%</w:t>
                  </w:r>
                </w:p>
              </w:tc>
              <w:tc>
                <w:tcPr>
                  <w:tcW w:w="1935" w:type="dxa"/>
                </w:tcPr>
                <w:p w14:paraId="646D2E93" w14:textId="77777777" w:rsidR="00155420" w:rsidRDefault="00E84F93">
                  <w:pPr>
                    <w:keepNext w:val="0"/>
                    <w:pBdr>
                      <w:top w:val="nil"/>
                      <w:left w:val="nil"/>
                      <w:bottom w:val="nil"/>
                      <w:right w:val="nil"/>
                      <w:between w:val="nil"/>
                    </w:pBdr>
                    <w:spacing w:before="0" w:after="120" w:line="264" w:lineRule="auto"/>
                    <w:ind w:left="0" w:right="0"/>
                    <w:jc w:val="center"/>
                    <w:rPr>
                      <w:color w:val="000000"/>
                      <w:sz w:val="24"/>
                      <w:szCs w:val="24"/>
                    </w:rPr>
                  </w:pPr>
                  <w:r>
                    <w:rPr>
                      <w:color w:val="000000"/>
                      <w:sz w:val="24"/>
                      <w:szCs w:val="24"/>
                    </w:rPr>
                    <w:t>90%</w:t>
                  </w:r>
                </w:p>
              </w:tc>
              <w:tc>
                <w:tcPr>
                  <w:tcW w:w="1950" w:type="dxa"/>
                </w:tcPr>
                <w:p w14:paraId="4BA09AFD" w14:textId="77777777" w:rsidR="00155420" w:rsidRDefault="00E84F93">
                  <w:pPr>
                    <w:keepNext w:val="0"/>
                    <w:pBdr>
                      <w:top w:val="nil"/>
                      <w:left w:val="nil"/>
                      <w:bottom w:val="nil"/>
                      <w:right w:val="nil"/>
                      <w:between w:val="nil"/>
                    </w:pBdr>
                    <w:spacing w:before="0" w:after="120" w:line="264" w:lineRule="auto"/>
                    <w:ind w:left="0" w:right="0"/>
                    <w:jc w:val="center"/>
                    <w:rPr>
                      <w:color w:val="000000"/>
                      <w:sz w:val="24"/>
                      <w:szCs w:val="24"/>
                    </w:rPr>
                  </w:pPr>
                  <w:r>
                    <w:rPr>
                      <w:color w:val="000000"/>
                      <w:sz w:val="24"/>
                      <w:szCs w:val="24"/>
                    </w:rPr>
                    <w:t>90%</w:t>
                  </w:r>
                </w:p>
              </w:tc>
            </w:tr>
          </w:tbl>
          <w:p w14:paraId="5D96C116"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Note that screening in jails/prisons is 200,000 PDLs per year. With a 2.5% positivity rate targeted in 2024, 2.3% in 2025, and 2% in 2026. </w:t>
            </w:r>
          </w:p>
          <w:p w14:paraId="7B7A4A05" w14:textId="77777777" w:rsidR="00155420" w:rsidRDefault="00E84F93">
            <w:pPr>
              <w:keepNext w:val="0"/>
              <w:numPr>
                <w:ilvl w:val="0"/>
                <w:numId w:val="2"/>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Optimization of 21 </w:t>
            </w:r>
            <w:proofErr w:type="spellStart"/>
            <w:r>
              <w:rPr>
                <w:color w:val="000000"/>
              </w:rPr>
              <w:t>Konsultayo</w:t>
            </w:r>
            <w:proofErr w:type="spellEnd"/>
            <w:r>
              <w:rPr>
                <w:color w:val="000000"/>
              </w:rPr>
              <w:t xml:space="preserve"> Vans for active case finding</w:t>
            </w:r>
          </w:p>
          <w:p w14:paraId="1D76AAA3" w14:textId="77777777" w:rsidR="00155420" w:rsidRDefault="00E84F93">
            <w:pPr>
              <w:keepNext w:val="0"/>
              <w:numPr>
                <w:ilvl w:val="0"/>
                <w:numId w:val="2"/>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Reduce out-of-pocket expenses for X-rays using the vouche</w:t>
            </w:r>
            <w:r>
              <w:rPr>
                <w:color w:val="000000"/>
              </w:rPr>
              <w:t>r system.</w:t>
            </w:r>
          </w:p>
          <w:p w14:paraId="6C7CFCC3" w14:textId="77777777" w:rsidR="00155420" w:rsidRDefault="00E84F93">
            <w:pPr>
              <w:keepNext w:val="0"/>
              <w:numPr>
                <w:ilvl w:val="0"/>
                <w:numId w:val="2"/>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Prevent TB transmission and strengthen TB programs in jails and prisons.</w:t>
            </w:r>
          </w:p>
        </w:tc>
      </w:tr>
      <w:tr w:rsidR="00155420" w14:paraId="17503065"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shd w:val="clear" w:color="auto" w:fill="ABB7FC"/>
          </w:tcPr>
          <w:p w14:paraId="360628F3"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color w:val="000000"/>
                <w:sz w:val="24"/>
                <w:szCs w:val="24"/>
              </w:rPr>
              <w:t>Module #5</w:t>
            </w:r>
          </w:p>
        </w:tc>
        <w:tc>
          <w:tcPr>
            <w:tcW w:w="12465" w:type="dxa"/>
            <w:shd w:val="clear" w:color="auto" w:fill="ABB7FC"/>
          </w:tcPr>
          <w:p w14:paraId="255DB75D"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b/>
                <w:color w:val="000000"/>
                <w:sz w:val="24"/>
                <w:szCs w:val="24"/>
              </w:rPr>
            </w:pPr>
            <w:r>
              <w:rPr>
                <w:b/>
                <w:color w:val="000000"/>
                <w:sz w:val="24"/>
                <w:szCs w:val="24"/>
              </w:rPr>
              <w:t xml:space="preserve">TB/HIV  </w:t>
            </w:r>
          </w:p>
        </w:tc>
      </w:tr>
      <w:tr w:rsidR="00155420" w14:paraId="15BEFC0E"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vMerge w:val="restart"/>
          </w:tcPr>
          <w:p w14:paraId="7A5D62B6"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Intervention(s)</w:t>
            </w:r>
          </w:p>
        </w:tc>
        <w:tc>
          <w:tcPr>
            <w:tcW w:w="12465" w:type="dxa"/>
          </w:tcPr>
          <w:p w14:paraId="6BA0E004"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TB/HIV-Screening testing, and diagnosis </w:t>
            </w:r>
            <w:r>
              <w:rPr>
                <w:rFonts w:ascii="MS Gothic" w:eastAsia="MS Gothic" w:hAnsi="MS Gothic" w:cs="MS Gothic"/>
                <w:color w:val="000000"/>
              </w:rPr>
              <w:t>☐</w:t>
            </w:r>
            <w:r>
              <w:rPr>
                <w:color w:val="000000"/>
              </w:rPr>
              <w:t xml:space="preserve"> New, </w:t>
            </w:r>
            <w:r>
              <w:rPr>
                <w:rFonts w:ascii="MS Gothic" w:eastAsia="MS Gothic" w:hAnsi="MS Gothic" w:cs="MS Gothic"/>
                <w:color w:val="000000"/>
              </w:rPr>
              <w:t>☐</w:t>
            </w:r>
            <w:r>
              <w:rPr>
                <w:color w:val="000000"/>
              </w:rPr>
              <w:t xml:space="preserve"> Scale-up, </w:t>
            </w:r>
            <w:r>
              <w:rPr>
                <w:rFonts w:ascii="MS Gothic" w:eastAsia="MS Gothic" w:hAnsi="MS Gothic" w:cs="MS Gothic"/>
                <w:color w:val="000000"/>
              </w:rPr>
              <w:t>☒</w:t>
            </w:r>
            <w:r>
              <w:rPr>
                <w:color w:val="000000"/>
              </w:rPr>
              <w:t xml:space="preserve"> Continuation, or </w:t>
            </w:r>
            <w:r>
              <w:rPr>
                <w:rFonts w:ascii="MS Gothic" w:eastAsia="MS Gothic" w:hAnsi="MS Gothic" w:cs="MS Gothic"/>
                <w:color w:val="000000"/>
              </w:rPr>
              <w:t>☐</w:t>
            </w:r>
            <w:r>
              <w:rPr>
                <w:color w:val="000000"/>
              </w:rPr>
              <w:t xml:space="preserve"> Scale-down</w:t>
            </w:r>
          </w:p>
        </w:tc>
      </w:tr>
      <w:tr w:rsidR="00155420" w14:paraId="733BCC42"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vMerge/>
          </w:tcPr>
          <w:p w14:paraId="5AD86FA3" w14:textId="77777777" w:rsidR="00155420" w:rsidRDefault="00155420">
            <w:pPr>
              <w:keepNext w:val="0"/>
              <w:widowControl w:val="0"/>
              <w:pBdr>
                <w:top w:val="nil"/>
                <w:left w:val="nil"/>
                <w:bottom w:val="nil"/>
                <w:right w:val="nil"/>
                <w:between w:val="nil"/>
              </w:pBdr>
              <w:spacing w:before="0" w:line="276" w:lineRule="auto"/>
              <w:ind w:left="0" w:right="0"/>
              <w:rPr>
                <w:color w:val="000000"/>
              </w:rPr>
            </w:pPr>
          </w:p>
        </w:tc>
        <w:tc>
          <w:tcPr>
            <w:tcW w:w="12465" w:type="dxa"/>
          </w:tcPr>
          <w:p w14:paraId="3C3FB627"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TB/HIV-Treatment and Care </w:t>
            </w:r>
            <w:r>
              <w:rPr>
                <w:rFonts w:ascii="MS Gothic" w:eastAsia="MS Gothic" w:hAnsi="MS Gothic" w:cs="MS Gothic"/>
                <w:color w:val="000000"/>
              </w:rPr>
              <w:t>☐</w:t>
            </w:r>
            <w:r>
              <w:rPr>
                <w:color w:val="000000"/>
              </w:rPr>
              <w:t xml:space="preserve"> New, </w:t>
            </w:r>
            <w:r>
              <w:rPr>
                <w:rFonts w:ascii="MS Gothic" w:eastAsia="MS Gothic" w:hAnsi="MS Gothic" w:cs="MS Gothic"/>
                <w:color w:val="000000"/>
              </w:rPr>
              <w:t>☐</w:t>
            </w:r>
            <w:r>
              <w:rPr>
                <w:color w:val="000000"/>
              </w:rPr>
              <w:t xml:space="preserve"> Scale-up, </w:t>
            </w:r>
            <w:r>
              <w:rPr>
                <w:rFonts w:ascii="MS Gothic" w:eastAsia="MS Gothic" w:hAnsi="MS Gothic" w:cs="MS Gothic"/>
                <w:color w:val="000000"/>
              </w:rPr>
              <w:t>☒</w:t>
            </w:r>
            <w:r>
              <w:rPr>
                <w:color w:val="000000"/>
              </w:rPr>
              <w:t xml:space="preserve"> Continuation, or </w:t>
            </w:r>
            <w:r>
              <w:rPr>
                <w:rFonts w:ascii="MS Gothic" w:eastAsia="MS Gothic" w:hAnsi="MS Gothic" w:cs="MS Gothic"/>
                <w:color w:val="000000"/>
              </w:rPr>
              <w:t>☐</w:t>
            </w:r>
            <w:r>
              <w:rPr>
                <w:color w:val="000000"/>
              </w:rPr>
              <w:t xml:space="preserve"> Scale-down</w:t>
            </w:r>
          </w:p>
        </w:tc>
      </w:tr>
      <w:tr w:rsidR="00155420" w14:paraId="35983180"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vMerge/>
          </w:tcPr>
          <w:p w14:paraId="5817F4DD" w14:textId="77777777" w:rsidR="00155420" w:rsidRDefault="00155420">
            <w:pPr>
              <w:keepNext w:val="0"/>
              <w:widowControl w:val="0"/>
              <w:pBdr>
                <w:top w:val="nil"/>
                <w:left w:val="nil"/>
                <w:bottom w:val="nil"/>
                <w:right w:val="nil"/>
                <w:between w:val="nil"/>
              </w:pBdr>
              <w:spacing w:before="0" w:line="276" w:lineRule="auto"/>
              <w:ind w:left="0" w:right="0"/>
              <w:rPr>
                <w:color w:val="000000"/>
              </w:rPr>
            </w:pPr>
          </w:p>
        </w:tc>
        <w:tc>
          <w:tcPr>
            <w:tcW w:w="12465" w:type="dxa"/>
          </w:tcPr>
          <w:p w14:paraId="2A19A9EA"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TB/HIV-Prevention </w:t>
            </w:r>
            <w:r>
              <w:rPr>
                <w:rFonts w:ascii="MS Gothic" w:eastAsia="MS Gothic" w:hAnsi="MS Gothic" w:cs="MS Gothic"/>
                <w:color w:val="000000"/>
              </w:rPr>
              <w:t>☐</w:t>
            </w:r>
            <w:r>
              <w:rPr>
                <w:color w:val="000000"/>
              </w:rPr>
              <w:t xml:space="preserve"> New, </w:t>
            </w:r>
            <w:r>
              <w:rPr>
                <w:rFonts w:ascii="MS Gothic" w:eastAsia="MS Gothic" w:hAnsi="MS Gothic" w:cs="MS Gothic"/>
                <w:color w:val="000000"/>
              </w:rPr>
              <w:t>☐</w:t>
            </w:r>
            <w:r>
              <w:rPr>
                <w:color w:val="000000"/>
              </w:rPr>
              <w:t xml:space="preserve"> Scale-up, </w:t>
            </w:r>
            <w:r>
              <w:rPr>
                <w:rFonts w:ascii="MS Gothic" w:eastAsia="MS Gothic" w:hAnsi="MS Gothic" w:cs="MS Gothic"/>
                <w:color w:val="000000"/>
              </w:rPr>
              <w:t>☒</w:t>
            </w:r>
            <w:r>
              <w:rPr>
                <w:color w:val="000000"/>
              </w:rPr>
              <w:t xml:space="preserve"> Continuation, or </w:t>
            </w:r>
            <w:r>
              <w:rPr>
                <w:rFonts w:ascii="MS Gothic" w:eastAsia="MS Gothic" w:hAnsi="MS Gothic" w:cs="MS Gothic"/>
                <w:color w:val="000000"/>
              </w:rPr>
              <w:t>☐</w:t>
            </w:r>
            <w:r>
              <w:rPr>
                <w:color w:val="000000"/>
              </w:rPr>
              <w:t xml:space="preserve"> Scale-down</w:t>
            </w:r>
          </w:p>
        </w:tc>
      </w:tr>
      <w:tr w:rsidR="00155420" w14:paraId="2AB763CB"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tcPr>
          <w:p w14:paraId="2AAFDDE2"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Population, geographies, and barriers addressed</w:t>
            </w:r>
          </w:p>
        </w:tc>
        <w:tc>
          <w:tcPr>
            <w:tcW w:w="12465" w:type="dxa"/>
          </w:tcPr>
          <w:p w14:paraId="37DFED89"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b/>
                <w:color w:val="000000"/>
              </w:rPr>
              <w:t xml:space="preserve">Population: </w:t>
            </w:r>
            <w:r>
              <w:rPr>
                <w:color w:val="000000"/>
              </w:rPr>
              <w:t xml:space="preserve">People with TB, PLHIV, and people with TB-HIV </w:t>
            </w:r>
          </w:p>
          <w:p w14:paraId="24A870B8"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b/>
                <w:color w:val="000000"/>
              </w:rPr>
              <w:t>Geographies:</w:t>
            </w:r>
            <w:r>
              <w:rPr>
                <w:color w:val="000000"/>
              </w:rPr>
              <w:t xml:space="preserve"> Nationwide </w:t>
            </w:r>
          </w:p>
          <w:p w14:paraId="6CF9156A" w14:textId="61724521"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b/>
                <w:color w:val="000000"/>
              </w:rPr>
              <w:t xml:space="preserve">Barriers: </w:t>
            </w:r>
            <w:r>
              <w:rPr>
                <w:color w:val="000000"/>
              </w:rPr>
              <w:t xml:space="preserve">Confidentiality makes PLHIVs uncomfortable accessing TB services in TB facilities. Programs use </w:t>
            </w:r>
            <w:r w:rsidR="00EA148D">
              <w:rPr>
                <w:color w:val="000000"/>
              </w:rPr>
              <w:t>Gene</w:t>
            </w:r>
            <w:r>
              <w:rPr>
                <w:color w:val="000000"/>
              </w:rPr>
              <w:t>Xpert machines exclusively, i.e., not shared for TB diagnosis and HIV VL testing. High turnaround of HRH, which needs regular offering for PICT tr</w:t>
            </w:r>
            <w:r>
              <w:rPr>
                <w:color w:val="000000"/>
              </w:rPr>
              <w:t xml:space="preserve">aining. Lack of HRH for RDT (TB diagnosis and VL testing)  </w:t>
            </w:r>
          </w:p>
        </w:tc>
      </w:tr>
      <w:tr w:rsidR="00155420" w14:paraId="09978682" w14:textId="77777777" w:rsidTr="00155420">
        <w:trPr>
          <w:cantSplit/>
          <w:trHeight w:val="4948"/>
        </w:trPr>
        <w:tc>
          <w:tcPr>
            <w:cnfStyle w:val="001000000000" w:firstRow="0" w:lastRow="0" w:firstColumn="1" w:lastColumn="0" w:oddVBand="0" w:evenVBand="0" w:oddHBand="0" w:evenHBand="0" w:firstRowFirstColumn="0" w:firstRowLastColumn="0" w:lastRowFirstColumn="0" w:lastRowLastColumn="0"/>
            <w:tcW w:w="2565" w:type="dxa"/>
          </w:tcPr>
          <w:p w14:paraId="587C25F5"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lastRenderedPageBreak/>
              <w:t>List of activities</w:t>
            </w:r>
          </w:p>
        </w:tc>
        <w:tc>
          <w:tcPr>
            <w:tcW w:w="12465" w:type="dxa"/>
          </w:tcPr>
          <w:p w14:paraId="2DC8FF39" w14:textId="77D2F52D"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In the ongoing GF</w:t>
            </w:r>
            <w:r w:rsidR="00EA148D">
              <w:rPr>
                <w:color w:val="000000"/>
              </w:rPr>
              <w:t xml:space="preserve"> </w:t>
            </w:r>
            <w:r>
              <w:rPr>
                <w:color w:val="000000"/>
              </w:rPr>
              <w:t xml:space="preserve">TB grant 2021-2023, support is on the nationwide expansion of PICT, facility-based HIV testing, and cross-referral between TB facilities and HIV hubs nationwide. </w:t>
            </w:r>
          </w:p>
          <w:p w14:paraId="12F3F1AC" w14:textId="074E988A"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Based on the TB-HIV co-financing plan 2024-2026, the TB-HIV integration points include: (1) Enhancing selected HIV Treatment hubs to provide a complete TB care cascade among PLHIVs, (2) optimizing all DOH </w:t>
            </w:r>
            <w:r w:rsidR="00EA148D">
              <w:rPr>
                <w:color w:val="000000"/>
              </w:rPr>
              <w:t>Gene</w:t>
            </w:r>
            <w:r>
              <w:rPr>
                <w:color w:val="000000"/>
              </w:rPr>
              <w:t>Xpert machines for multi-disease use, including</w:t>
            </w:r>
            <w:r>
              <w:rPr>
                <w:color w:val="000000"/>
              </w:rPr>
              <w:t xml:space="preserve"> TB diagnosis and VL testing, (3) expanding role of TB specimen and commodity transport riders for HIV specimens and ARV transport, (4) Joint ACF activities, (5) TB-HIV proficiency training, and (6) TB-HIV Program in jails.  </w:t>
            </w:r>
          </w:p>
          <w:p w14:paraId="338AFD4C"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For this FR, the focus will be</w:t>
            </w:r>
            <w:r>
              <w:rPr>
                <w:color w:val="000000"/>
              </w:rPr>
              <w:t xml:space="preserve">: </w:t>
            </w:r>
          </w:p>
          <w:p w14:paraId="76240DB8" w14:textId="77777777" w:rsidR="00155420" w:rsidRDefault="00E84F93">
            <w:pPr>
              <w:keepNext w:val="0"/>
              <w:numPr>
                <w:ilvl w:val="0"/>
                <w:numId w:val="9"/>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Provision of PICT and TB-HIV proficiency training and coaching to new staff.  </w:t>
            </w:r>
          </w:p>
          <w:p w14:paraId="602F4620" w14:textId="77777777" w:rsidR="00155420" w:rsidRDefault="00E84F93">
            <w:pPr>
              <w:keepNext w:val="0"/>
              <w:numPr>
                <w:ilvl w:val="0"/>
                <w:numId w:val="9"/>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Conduct of annual external quality assurance survey for clinic-based HIV testing. </w:t>
            </w:r>
          </w:p>
          <w:p w14:paraId="10A22440" w14:textId="77777777" w:rsidR="00155420" w:rsidRDefault="00E84F93">
            <w:pPr>
              <w:keepNext w:val="0"/>
              <w:numPr>
                <w:ilvl w:val="0"/>
                <w:numId w:val="9"/>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TPT orientation among treatment hubs. </w:t>
            </w:r>
          </w:p>
          <w:p w14:paraId="375570EF" w14:textId="77777777" w:rsidR="00155420" w:rsidRDefault="00E84F93">
            <w:pPr>
              <w:keepNext w:val="0"/>
              <w:numPr>
                <w:ilvl w:val="0"/>
                <w:numId w:val="9"/>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Deployment of 35 medical technologists (PICT &amp; ART) and ten nurses (TB screening and TPT) </w:t>
            </w:r>
          </w:p>
          <w:p w14:paraId="63DA57D0" w14:textId="77777777" w:rsidR="00155420" w:rsidRDefault="00E84F93">
            <w:pPr>
              <w:keepNext w:val="0"/>
              <w:numPr>
                <w:ilvl w:val="0"/>
                <w:numId w:val="9"/>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Introduction of Urine LAM for TB screening among PLHIV.</w:t>
            </w:r>
          </w:p>
          <w:p w14:paraId="4A67C258"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To address confidentiality concerns making PLHIVs uncomfortable accessing TB services in TB facilities, high-</w:t>
            </w:r>
            <w:r>
              <w:rPr>
                <w:color w:val="000000"/>
              </w:rPr>
              <w:t xml:space="preserve">volume HIV hubs will be capacitated to be a one-stop shop for TB care services.  </w:t>
            </w:r>
          </w:p>
        </w:tc>
      </w:tr>
      <w:tr w:rsidR="00155420" w14:paraId="3374CDF2"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tcPr>
          <w:p w14:paraId="150FE938"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Amount requested</w:t>
            </w:r>
          </w:p>
        </w:tc>
        <w:tc>
          <w:tcPr>
            <w:tcW w:w="12465" w:type="dxa"/>
          </w:tcPr>
          <w:p w14:paraId="1E72C178" w14:textId="1393F623"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sidRPr="00D65121">
              <w:rPr>
                <w:color w:val="000000"/>
              </w:rPr>
              <w:t>USD 5,2</w:t>
            </w:r>
            <w:r w:rsidR="00B57005" w:rsidRPr="00D65121">
              <w:rPr>
                <w:color w:val="000000"/>
              </w:rPr>
              <w:t>47</w:t>
            </w:r>
            <w:r w:rsidRPr="00D65121">
              <w:rPr>
                <w:color w:val="000000"/>
              </w:rPr>
              <w:t>,</w:t>
            </w:r>
            <w:r w:rsidR="00B57005" w:rsidRPr="00D65121">
              <w:rPr>
                <w:color w:val="000000"/>
              </w:rPr>
              <w:t>24</w:t>
            </w:r>
            <w:r w:rsidR="00D65121" w:rsidRPr="00D65121">
              <w:rPr>
                <w:color w:val="000000"/>
              </w:rPr>
              <w:t>6</w:t>
            </w:r>
            <w:r w:rsidR="00D65121">
              <w:rPr>
                <w:color w:val="000000"/>
              </w:rPr>
              <w:t xml:space="preserve"> </w:t>
            </w:r>
            <w:r>
              <w:rPr>
                <w:color w:val="000000"/>
              </w:rPr>
              <w:t>[4% of the total FR]</w:t>
            </w:r>
          </w:p>
        </w:tc>
      </w:tr>
      <w:tr w:rsidR="00155420" w14:paraId="1EA6FD70"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tcPr>
          <w:p w14:paraId="230D7CFB"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lastRenderedPageBreak/>
              <w:t>Expected outcome</w:t>
            </w:r>
          </w:p>
        </w:tc>
        <w:tc>
          <w:tcPr>
            <w:tcW w:w="12465" w:type="dxa"/>
          </w:tcPr>
          <w:p w14:paraId="57806846" w14:textId="77777777" w:rsidR="00155420" w:rsidRDefault="00155420">
            <w:pPr>
              <w:keepNext w:val="0"/>
              <w:widowControl w:val="0"/>
              <w:pBdr>
                <w:top w:val="nil"/>
                <w:left w:val="nil"/>
                <w:bottom w:val="nil"/>
                <w:right w:val="nil"/>
                <w:between w:val="nil"/>
              </w:pBdr>
              <w:spacing w:before="0" w:line="276" w:lineRule="auto"/>
              <w:ind w:left="0" w:right="0"/>
              <w:cnfStyle w:val="000000000000" w:firstRow="0" w:lastRow="0" w:firstColumn="0" w:lastColumn="0" w:oddVBand="0" w:evenVBand="0" w:oddHBand="0" w:evenHBand="0" w:firstRowFirstColumn="0" w:firstRowLastColumn="0" w:lastRowFirstColumn="0" w:lastRowLastColumn="0"/>
              <w:rPr>
                <w:color w:val="000000"/>
                <w:sz w:val="24"/>
                <w:szCs w:val="24"/>
              </w:rPr>
            </w:pPr>
          </w:p>
          <w:tbl>
            <w:tblPr>
              <w:tblStyle w:val="a6"/>
              <w:tblW w:w="12075" w:type="dxa"/>
              <w:tblBorders>
                <w:top w:val="single" w:sz="4" w:space="0" w:color="2E4DF9"/>
                <w:left w:val="single" w:sz="4" w:space="0" w:color="2E4DF9"/>
                <w:bottom w:val="single" w:sz="4" w:space="0" w:color="2E4DF9"/>
                <w:right w:val="single" w:sz="4" w:space="0" w:color="2E4DF9"/>
                <w:insideH w:val="single" w:sz="4" w:space="0" w:color="999999"/>
                <w:insideV w:val="single" w:sz="4" w:space="0" w:color="999999"/>
              </w:tblBorders>
              <w:tblLayout w:type="fixed"/>
              <w:tblLook w:val="0420" w:firstRow="1" w:lastRow="0" w:firstColumn="0" w:lastColumn="0" w:noHBand="0" w:noVBand="1"/>
            </w:tblPr>
            <w:tblGrid>
              <w:gridCol w:w="3465"/>
              <w:gridCol w:w="2190"/>
              <w:gridCol w:w="2025"/>
              <w:gridCol w:w="2130"/>
              <w:gridCol w:w="2265"/>
            </w:tblGrid>
            <w:tr w:rsidR="00155420" w14:paraId="5B7534FC" w14:textId="77777777" w:rsidTr="00155420">
              <w:trPr>
                <w:cnfStyle w:val="100000000000" w:firstRow="1" w:lastRow="0" w:firstColumn="0" w:lastColumn="0" w:oddVBand="0" w:evenVBand="0" w:oddHBand="0" w:evenHBand="0" w:firstRowFirstColumn="0" w:firstRowLastColumn="0" w:lastRowFirstColumn="0" w:lastRowLastColumn="0"/>
                <w:cantSplit/>
                <w:trHeight w:val="253"/>
              </w:trPr>
              <w:tc>
                <w:tcPr>
                  <w:tcW w:w="3465" w:type="dxa"/>
                </w:tcPr>
                <w:p w14:paraId="742D1D05" w14:textId="77777777" w:rsidR="00155420" w:rsidRPr="005C6956" w:rsidRDefault="00E84F93">
                  <w:pPr>
                    <w:keepNext w:val="0"/>
                    <w:pBdr>
                      <w:top w:val="nil"/>
                      <w:left w:val="nil"/>
                      <w:bottom w:val="nil"/>
                      <w:right w:val="nil"/>
                      <w:between w:val="nil"/>
                    </w:pBdr>
                    <w:spacing w:before="0" w:after="120" w:line="264" w:lineRule="auto"/>
                    <w:ind w:left="0" w:right="0"/>
                    <w:jc w:val="center"/>
                    <w:rPr>
                      <w:color w:val="F2F2F2"/>
                    </w:rPr>
                  </w:pPr>
                  <w:r w:rsidRPr="005C6956">
                    <w:rPr>
                      <w:color w:val="F2F2F2"/>
                    </w:rPr>
                    <w:t>Indicators</w:t>
                  </w:r>
                </w:p>
              </w:tc>
              <w:tc>
                <w:tcPr>
                  <w:tcW w:w="2190" w:type="dxa"/>
                </w:tcPr>
                <w:p w14:paraId="01BF2F9F" w14:textId="77777777" w:rsidR="00155420" w:rsidRPr="005C6956" w:rsidRDefault="00E84F93">
                  <w:pPr>
                    <w:keepNext w:val="0"/>
                    <w:pBdr>
                      <w:top w:val="nil"/>
                      <w:left w:val="nil"/>
                      <w:bottom w:val="nil"/>
                      <w:right w:val="nil"/>
                      <w:between w:val="nil"/>
                    </w:pBdr>
                    <w:spacing w:before="0" w:after="120" w:line="264" w:lineRule="auto"/>
                    <w:ind w:left="0" w:right="0"/>
                    <w:jc w:val="center"/>
                    <w:rPr>
                      <w:color w:val="F2F2F2"/>
                    </w:rPr>
                  </w:pPr>
                  <w:r w:rsidRPr="005C6956">
                    <w:rPr>
                      <w:color w:val="F2F2F2"/>
                    </w:rPr>
                    <w:t>Baseline 2022</w:t>
                  </w:r>
                </w:p>
              </w:tc>
              <w:tc>
                <w:tcPr>
                  <w:tcW w:w="2025" w:type="dxa"/>
                </w:tcPr>
                <w:p w14:paraId="1E92A255" w14:textId="77777777" w:rsidR="00155420" w:rsidRPr="005C6956" w:rsidRDefault="00E84F93">
                  <w:pPr>
                    <w:keepNext w:val="0"/>
                    <w:pBdr>
                      <w:top w:val="nil"/>
                      <w:left w:val="nil"/>
                      <w:bottom w:val="nil"/>
                      <w:right w:val="nil"/>
                      <w:between w:val="nil"/>
                    </w:pBdr>
                    <w:spacing w:before="0" w:after="120" w:line="264" w:lineRule="auto"/>
                    <w:ind w:left="0" w:right="0"/>
                    <w:jc w:val="center"/>
                    <w:rPr>
                      <w:color w:val="F2F2F2"/>
                    </w:rPr>
                  </w:pPr>
                  <w:r w:rsidRPr="005C6956">
                    <w:rPr>
                      <w:color w:val="F2F2F2"/>
                    </w:rPr>
                    <w:t>2024</w:t>
                  </w:r>
                </w:p>
              </w:tc>
              <w:tc>
                <w:tcPr>
                  <w:tcW w:w="2130" w:type="dxa"/>
                </w:tcPr>
                <w:p w14:paraId="7A6A59DD" w14:textId="77777777" w:rsidR="00155420" w:rsidRPr="005C6956" w:rsidRDefault="00E84F93">
                  <w:pPr>
                    <w:keepNext w:val="0"/>
                    <w:pBdr>
                      <w:top w:val="nil"/>
                      <w:left w:val="nil"/>
                      <w:bottom w:val="nil"/>
                      <w:right w:val="nil"/>
                      <w:between w:val="nil"/>
                    </w:pBdr>
                    <w:spacing w:before="0" w:after="120" w:line="264" w:lineRule="auto"/>
                    <w:ind w:left="0" w:right="0"/>
                    <w:jc w:val="center"/>
                    <w:rPr>
                      <w:color w:val="F2F2F2"/>
                    </w:rPr>
                  </w:pPr>
                  <w:r w:rsidRPr="005C6956">
                    <w:rPr>
                      <w:color w:val="F2F2F2"/>
                    </w:rPr>
                    <w:t>2025</w:t>
                  </w:r>
                </w:p>
              </w:tc>
              <w:tc>
                <w:tcPr>
                  <w:tcW w:w="2265" w:type="dxa"/>
                </w:tcPr>
                <w:p w14:paraId="5D0672F6" w14:textId="77777777" w:rsidR="00155420" w:rsidRPr="005C6956" w:rsidRDefault="00E84F93">
                  <w:pPr>
                    <w:keepNext w:val="0"/>
                    <w:pBdr>
                      <w:top w:val="nil"/>
                      <w:left w:val="nil"/>
                      <w:bottom w:val="nil"/>
                      <w:right w:val="nil"/>
                      <w:between w:val="nil"/>
                    </w:pBdr>
                    <w:spacing w:before="0" w:after="120" w:line="264" w:lineRule="auto"/>
                    <w:ind w:left="0" w:right="0"/>
                    <w:jc w:val="center"/>
                    <w:rPr>
                      <w:color w:val="F2F2F2"/>
                    </w:rPr>
                  </w:pPr>
                  <w:r w:rsidRPr="005C6956">
                    <w:rPr>
                      <w:color w:val="F2F2F2"/>
                    </w:rPr>
                    <w:t>2026</w:t>
                  </w:r>
                </w:p>
              </w:tc>
            </w:tr>
            <w:tr w:rsidR="00155420" w14:paraId="22E390CF" w14:textId="77777777" w:rsidTr="00155420">
              <w:trPr>
                <w:cnfStyle w:val="000000100000" w:firstRow="0" w:lastRow="0" w:firstColumn="0" w:lastColumn="0" w:oddVBand="0" w:evenVBand="0" w:oddHBand="1" w:evenHBand="0" w:firstRowFirstColumn="0" w:firstRowLastColumn="0" w:lastRowFirstColumn="0" w:lastRowLastColumn="0"/>
                <w:cantSplit/>
                <w:trHeight w:val="335"/>
              </w:trPr>
              <w:tc>
                <w:tcPr>
                  <w:tcW w:w="3465" w:type="dxa"/>
                </w:tcPr>
                <w:p w14:paraId="3A7E9DC9" w14:textId="77777777" w:rsidR="00155420" w:rsidRPr="005C6956" w:rsidRDefault="00E84F93">
                  <w:pPr>
                    <w:keepNext w:val="0"/>
                    <w:pBdr>
                      <w:top w:val="nil"/>
                      <w:left w:val="nil"/>
                      <w:bottom w:val="nil"/>
                      <w:right w:val="nil"/>
                      <w:between w:val="nil"/>
                    </w:pBdr>
                    <w:spacing w:before="0" w:after="120" w:line="264" w:lineRule="auto"/>
                    <w:ind w:left="0" w:right="0"/>
                    <w:rPr>
                      <w:color w:val="000000"/>
                    </w:rPr>
                  </w:pPr>
                  <w:r w:rsidRPr="005C6956">
                    <w:rPr>
                      <w:color w:val="000000"/>
                    </w:rPr>
                    <w:t xml:space="preserve">Percentage of registered new and relapse TB patients with </w:t>
                  </w:r>
                  <w:r w:rsidRPr="005C6956">
                    <w:rPr>
                      <w:color w:val="000000"/>
                    </w:rPr>
                    <w:t>documented HIV status</w:t>
                  </w:r>
                </w:p>
              </w:tc>
              <w:tc>
                <w:tcPr>
                  <w:tcW w:w="2190" w:type="dxa"/>
                </w:tcPr>
                <w:p w14:paraId="2677F3A0" w14:textId="77777777" w:rsidR="00155420" w:rsidRPr="005C6956" w:rsidRDefault="00E84F93">
                  <w:pPr>
                    <w:keepNext w:val="0"/>
                    <w:pBdr>
                      <w:top w:val="nil"/>
                      <w:left w:val="nil"/>
                      <w:bottom w:val="nil"/>
                      <w:right w:val="nil"/>
                      <w:between w:val="nil"/>
                    </w:pBdr>
                    <w:spacing w:before="0" w:after="120" w:line="264" w:lineRule="auto"/>
                    <w:ind w:left="0" w:right="0"/>
                    <w:jc w:val="center"/>
                    <w:rPr>
                      <w:b/>
                      <w:color w:val="000000"/>
                    </w:rPr>
                  </w:pPr>
                  <w:r w:rsidRPr="005C6956">
                    <w:rPr>
                      <w:b/>
                      <w:color w:val="000000"/>
                    </w:rPr>
                    <w:t>72%</w:t>
                  </w:r>
                </w:p>
                <w:p w14:paraId="62C9FF2A" w14:textId="77777777" w:rsidR="00155420" w:rsidRPr="005C6956" w:rsidRDefault="00E84F93">
                  <w:pPr>
                    <w:keepNext w:val="0"/>
                    <w:pBdr>
                      <w:top w:val="nil"/>
                      <w:left w:val="nil"/>
                      <w:bottom w:val="nil"/>
                      <w:right w:val="nil"/>
                      <w:between w:val="nil"/>
                    </w:pBdr>
                    <w:spacing w:before="0" w:after="120" w:line="264" w:lineRule="auto"/>
                    <w:ind w:left="0" w:right="0"/>
                    <w:jc w:val="center"/>
                    <w:rPr>
                      <w:color w:val="000000"/>
                    </w:rPr>
                  </w:pPr>
                  <w:r w:rsidRPr="005C6956">
                    <w:rPr>
                      <w:color w:val="000000"/>
                    </w:rPr>
                    <w:t>(236,152/328,201)</w:t>
                  </w:r>
                </w:p>
              </w:tc>
              <w:tc>
                <w:tcPr>
                  <w:tcW w:w="2025" w:type="dxa"/>
                </w:tcPr>
                <w:p w14:paraId="7A4ED761" w14:textId="77777777" w:rsidR="00155420" w:rsidRPr="005C6956" w:rsidRDefault="00E84F93">
                  <w:pPr>
                    <w:keepNext w:val="0"/>
                    <w:pBdr>
                      <w:top w:val="nil"/>
                      <w:left w:val="nil"/>
                      <w:bottom w:val="nil"/>
                      <w:right w:val="nil"/>
                      <w:between w:val="nil"/>
                    </w:pBdr>
                    <w:spacing w:before="0" w:after="120" w:line="264" w:lineRule="auto"/>
                    <w:ind w:left="0" w:right="0"/>
                    <w:jc w:val="center"/>
                    <w:rPr>
                      <w:b/>
                      <w:color w:val="000000"/>
                    </w:rPr>
                  </w:pPr>
                  <w:r w:rsidRPr="005C6956">
                    <w:rPr>
                      <w:b/>
                      <w:color w:val="000000"/>
                    </w:rPr>
                    <w:t>80%</w:t>
                  </w:r>
                </w:p>
                <w:p w14:paraId="3DA99E5F" w14:textId="77777777" w:rsidR="00155420" w:rsidRPr="005C6956" w:rsidRDefault="00E84F93">
                  <w:pPr>
                    <w:keepNext w:val="0"/>
                    <w:pBdr>
                      <w:top w:val="nil"/>
                      <w:left w:val="nil"/>
                      <w:bottom w:val="nil"/>
                      <w:right w:val="nil"/>
                      <w:between w:val="nil"/>
                    </w:pBdr>
                    <w:spacing w:before="0" w:after="120" w:line="264" w:lineRule="auto"/>
                    <w:ind w:left="0" w:right="0"/>
                    <w:jc w:val="center"/>
                    <w:rPr>
                      <w:color w:val="000000"/>
                    </w:rPr>
                  </w:pPr>
                  <w:r w:rsidRPr="005C6956">
                    <w:rPr>
                      <w:color w:val="000000"/>
                    </w:rPr>
                    <w:t>(276,691/345,864)</w:t>
                  </w:r>
                </w:p>
              </w:tc>
              <w:tc>
                <w:tcPr>
                  <w:tcW w:w="2130" w:type="dxa"/>
                </w:tcPr>
                <w:p w14:paraId="2F2D7F59" w14:textId="77777777" w:rsidR="00155420" w:rsidRPr="005C6956" w:rsidRDefault="00E84F93">
                  <w:pPr>
                    <w:keepNext w:val="0"/>
                    <w:pBdr>
                      <w:top w:val="nil"/>
                      <w:left w:val="nil"/>
                      <w:bottom w:val="nil"/>
                      <w:right w:val="nil"/>
                      <w:between w:val="nil"/>
                    </w:pBdr>
                    <w:spacing w:before="0" w:after="120" w:line="264" w:lineRule="auto"/>
                    <w:ind w:left="0" w:right="0"/>
                    <w:jc w:val="center"/>
                    <w:rPr>
                      <w:b/>
                      <w:color w:val="000000"/>
                    </w:rPr>
                  </w:pPr>
                  <w:r w:rsidRPr="005C6956">
                    <w:rPr>
                      <w:b/>
                      <w:color w:val="000000"/>
                    </w:rPr>
                    <w:t>85%</w:t>
                  </w:r>
                </w:p>
                <w:p w14:paraId="7F7B5531" w14:textId="77777777" w:rsidR="00155420" w:rsidRPr="005C6956" w:rsidRDefault="00E84F93">
                  <w:pPr>
                    <w:keepNext w:val="0"/>
                    <w:pBdr>
                      <w:top w:val="nil"/>
                      <w:left w:val="nil"/>
                      <w:bottom w:val="nil"/>
                      <w:right w:val="nil"/>
                      <w:between w:val="nil"/>
                    </w:pBdr>
                    <w:spacing w:before="0" w:after="120" w:line="264" w:lineRule="auto"/>
                    <w:ind w:left="0" w:right="0"/>
                    <w:jc w:val="center"/>
                    <w:rPr>
                      <w:color w:val="000000"/>
                    </w:rPr>
                  </w:pPr>
                  <w:r w:rsidRPr="005C6956">
                    <w:rPr>
                      <w:color w:val="000000"/>
                    </w:rPr>
                    <w:t>(313,537/368,867)</w:t>
                  </w:r>
                </w:p>
              </w:tc>
              <w:tc>
                <w:tcPr>
                  <w:tcW w:w="2265" w:type="dxa"/>
                </w:tcPr>
                <w:p w14:paraId="39802D2A" w14:textId="77777777" w:rsidR="00155420" w:rsidRPr="005C6956" w:rsidRDefault="00E84F93">
                  <w:pPr>
                    <w:keepNext w:val="0"/>
                    <w:pBdr>
                      <w:top w:val="nil"/>
                      <w:left w:val="nil"/>
                      <w:bottom w:val="nil"/>
                      <w:right w:val="nil"/>
                      <w:between w:val="nil"/>
                    </w:pBdr>
                    <w:spacing w:before="0" w:after="120" w:line="264" w:lineRule="auto"/>
                    <w:ind w:left="0" w:right="0"/>
                    <w:jc w:val="center"/>
                    <w:rPr>
                      <w:b/>
                      <w:color w:val="000000"/>
                    </w:rPr>
                  </w:pPr>
                  <w:r w:rsidRPr="005C6956">
                    <w:rPr>
                      <w:b/>
                      <w:color w:val="000000"/>
                    </w:rPr>
                    <w:t>90%</w:t>
                  </w:r>
                </w:p>
                <w:p w14:paraId="0551818C" w14:textId="77777777" w:rsidR="00155420" w:rsidRPr="005C6956" w:rsidRDefault="00E84F93">
                  <w:pPr>
                    <w:keepNext w:val="0"/>
                    <w:pBdr>
                      <w:top w:val="nil"/>
                      <w:left w:val="nil"/>
                      <w:bottom w:val="nil"/>
                      <w:right w:val="nil"/>
                      <w:between w:val="nil"/>
                    </w:pBdr>
                    <w:spacing w:before="0" w:after="120" w:line="264" w:lineRule="auto"/>
                    <w:ind w:left="0" w:right="0"/>
                    <w:jc w:val="center"/>
                    <w:rPr>
                      <w:color w:val="000000"/>
                    </w:rPr>
                  </w:pPr>
                  <w:r w:rsidRPr="005C6956">
                    <w:rPr>
                      <w:color w:val="000000"/>
                    </w:rPr>
                    <w:t>(353,852/393,169)</w:t>
                  </w:r>
                </w:p>
              </w:tc>
            </w:tr>
            <w:tr w:rsidR="00155420" w14:paraId="00CD7EDC" w14:textId="77777777" w:rsidTr="00155420">
              <w:trPr>
                <w:cantSplit/>
                <w:trHeight w:val="313"/>
              </w:trPr>
              <w:tc>
                <w:tcPr>
                  <w:tcW w:w="3465" w:type="dxa"/>
                </w:tcPr>
                <w:p w14:paraId="0F370A7A" w14:textId="2CFBBF7F" w:rsidR="00155420" w:rsidRPr="005C6956" w:rsidRDefault="00E84F93">
                  <w:pPr>
                    <w:keepNext w:val="0"/>
                    <w:pBdr>
                      <w:top w:val="nil"/>
                      <w:left w:val="nil"/>
                      <w:bottom w:val="nil"/>
                      <w:right w:val="nil"/>
                      <w:between w:val="nil"/>
                    </w:pBdr>
                    <w:spacing w:before="0" w:after="120" w:line="264" w:lineRule="auto"/>
                    <w:ind w:left="0" w:right="0"/>
                    <w:rPr>
                      <w:color w:val="000000"/>
                    </w:rPr>
                  </w:pPr>
                  <w:r w:rsidRPr="005C6956">
                    <w:rPr>
                      <w:color w:val="000000"/>
                    </w:rPr>
                    <w:t>Percentage of</w:t>
                  </w:r>
                  <w:r w:rsidR="00EA148D" w:rsidRPr="005C6956">
                    <w:rPr>
                      <w:color w:val="000000"/>
                    </w:rPr>
                    <w:t xml:space="preserve"> HIV-positive</w:t>
                  </w:r>
                  <w:r w:rsidRPr="005C6956">
                    <w:rPr>
                      <w:color w:val="000000"/>
                    </w:rPr>
                    <w:t xml:space="preserve"> new and relapse TB patients on ART during TB treatment </w:t>
                  </w:r>
                </w:p>
              </w:tc>
              <w:tc>
                <w:tcPr>
                  <w:tcW w:w="2190" w:type="dxa"/>
                </w:tcPr>
                <w:p w14:paraId="4D99A36A" w14:textId="77777777" w:rsidR="00155420" w:rsidRPr="005C6956" w:rsidRDefault="00E84F93">
                  <w:pPr>
                    <w:keepNext w:val="0"/>
                    <w:pBdr>
                      <w:top w:val="nil"/>
                      <w:left w:val="nil"/>
                      <w:bottom w:val="nil"/>
                      <w:right w:val="nil"/>
                      <w:between w:val="nil"/>
                    </w:pBdr>
                    <w:spacing w:before="0" w:after="120" w:line="264" w:lineRule="auto"/>
                    <w:ind w:left="0" w:right="0"/>
                    <w:jc w:val="center"/>
                    <w:rPr>
                      <w:b/>
                      <w:color w:val="000000"/>
                    </w:rPr>
                  </w:pPr>
                  <w:r w:rsidRPr="005C6956">
                    <w:rPr>
                      <w:b/>
                      <w:color w:val="000000"/>
                    </w:rPr>
                    <w:t>98%</w:t>
                  </w:r>
                </w:p>
                <w:p w14:paraId="1A1F0316" w14:textId="77777777" w:rsidR="00155420" w:rsidRPr="005C6956" w:rsidRDefault="00E84F93">
                  <w:pPr>
                    <w:keepNext w:val="0"/>
                    <w:pBdr>
                      <w:top w:val="nil"/>
                      <w:left w:val="nil"/>
                      <w:bottom w:val="nil"/>
                      <w:right w:val="nil"/>
                      <w:between w:val="nil"/>
                    </w:pBdr>
                    <w:spacing w:before="0" w:after="120" w:line="264" w:lineRule="auto"/>
                    <w:ind w:left="0" w:right="0"/>
                    <w:jc w:val="center"/>
                    <w:rPr>
                      <w:color w:val="000000"/>
                    </w:rPr>
                  </w:pPr>
                  <w:r w:rsidRPr="005C6956">
                    <w:rPr>
                      <w:color w:val="000000"/>
                    </w:rPr>
                    <w:t>(1,961/2,001)</w:t>
                  </w:r>
                </w:p>
              </w:tc>
              <w:tc>
                <w:tcPr>
                  <w:tcW w:w="2025" w:type="dxa"/>
                </w:tcPr>
                <w:p w14:paraId="32C613D9" w14:textId="77777777" w:rsidR="00155420" w:rsidRPr="005C6956" w:rsidRDefault="00E84F93">
                  <w:pPr>
                    <w:keepNext w:val="0"/>
                    <w:pBdr>
                      <w:top w:val="nil"/>
                      <w:left w:val="nil"/>
                      <w:bottom w:val="nil"/>
                      <w:right w:val="nil"/>
                      <w:between w:val="nil"/>
                    </w:pBdr>
                    <w:spacing w:before="0" w:after="120" w:line="264" w:lineRule="auto"/>
                    <w:ind w:left="0" w:right="0"/>
                    <w:jc w:val="center"/>
                    <w:rPr>
                      <w:b/>
                      <w:color w:val="000000"/>
                    </w:rPr>
                  </w:pPr>
                  <w:r w:rsidRPr="005C6956">
                    <w:rPr>
                      <w:b/>
                      <w:color w:val="000000"/>
                    </w:rPr>
                    <w:t>95%</w:t>
                  </w:r>
                </w:p>
                <w:p w14:paraId="73F42FCA" w14:textId="77777777" w:rsidR="00155420" w:rsidRPr="005C6956" w:rsidRDefault="00E84F93">
                  <w:pPr>
                    <w:keepNext w:val="0"/>
                    <w:pBdr>
                      <w:top w:val="nil"/>
                      <w:left w:val="nil"/>
                      <w:bottom w:val="nil"/>
                      <w:right w:val="nil"/>
                      <w:between w:val="nil"/>
                    </w:pBdr>
                    <w:spacing w:before="0" w:after="120" w:line="264" w:lineRule="auto"/>
                    <w:ind w:left="0" w:right="0"/>
                    <w:jc w:val="center"/>
                    <w:rPr>
                      <w:color w:val="000000"/>
                    </w:rPr>
                  </w:pPr>
                  <w:r w:rsidRPr="005C6956">
                    <w:rPr>
                      <w:color w:val="000000"/>
                    </w:rPr>
                    <w:t>(1,709/1,798)</w:t>
                  </w:r>
                </w:p>
              </w:tc>
              <w:tc>
                <w:tcPr>
                  <w:tcW w:w="2130" w:type="dxa"/>
                </w:tcPr>
                <w:p w14:paraId="79DA4EEB" w14:textId="77777777" w:rsidR="00155420" w:rsidRPr="005C6956" w:rsidRDefault="00E84F93">
                  <w:pPr>
                    <w:keepNext w:val="0"/>
                    <w:pBdr>
                      <w:top w:val="nil"/>
                      <w:left w:val="nil"/>
                      <w:bottom w:val="nil"/>
                      <w:right w:val="nil"/>
                      <w:between w:val="nil"/>
                    </w:pBdr>
                    <w:spacing w:before="0" w:after="120" w:line="264" w:lineRule="auto"/>
                    <w:ind w:left="0" w:right="0"/>
                    <w:jc w:val="center"/>
                    <w:rPr>
                      <w:b/>
                      <w:color w:val="000000"/>
                    </w:rPr>
                  </w:pPr>
                  <w:r w:rsidRPr="005C6956">
                    <w:rPr>
                      <w:b/>
                      <w:color w:val="000000"/>
                    </w:rPr>
                    <w:t>95%</w:t>
                  </w:r>
                </w:p>
                <w:p w14:paraId="471274FF" w14:textId="77777777" w:rsidR="00155420" w:rsidRPr="005C6956" w:rsidRDefault="00E84F93">
                  <w:pPr>
                    <w:keepNext w:val="0"/>
                    <w:pBdr>
                      <w:top w:val="nil"/>
                      <w:left w:val="nil"/>
                      <w:bottom w:val="nil"/>
                      <w:right w:val="nil"/>
                      <w:between w:val="nil"/>
                    </w:pBdr>
                    <w:spacing w:before="0" w:after="120" w:line="264" w:lineRule="auto"/>
                    <w:ind w:left="0" w:right="0"/>
                    <w:jc w:val="center"/>
                    <w:rPr>
                      <w:color w:val="000000"/>
                    </w:rPr>
                  </w:pPr>
                  <w:r w:rsidRPr="005C6956">
                    <w:rPr>
                      <w:color w:val="000000"/>
                    </w:rPr>
                    <w:t>(1,936/2,038)</w:t>
                  </w:r>
                </w:p>
              </w:tc>
              <w:tc>
                <w:tcPr>
                  <w:tcW w:w="2265" w:type="dxa"/>
                </w:tcPr>
                <w:p w14:paraId="2A1F3C92" w14:textId="77777777" w:rsidR="00155420" w:rsidRPr="005C6956" w:rsidRDefault="00E84F93">
                  <w:pPr>
                    <w:keepNext w:val="0"/>
                    <w:pBdr>
                      <w:top w:val="nil"/>
                      <w:left w:val="nil"/>
                      <w:bottom w:val="nil"/>
                      <w:right w:val="nil"/>
                      <w:between w:val="nil"/>
                    </w:pBdr>
                    <w:spacing w:before="0" w:after="120" w:line="264" w:lineRule="auto"/>
                    <w:ind w:left="0" w:right="0"/>
                    <w:jc w:val="center"/>
                    <w:rPr>
                      <w:b/>
                      <w:color w:val="000000"/>
                    </w:rPr>
                  </w:pPr>
                  <w:r w:rsidRPr="005C6956">
                    <w:rPr>
                      <w:b/>
                      <w:color w:val="000000"/>
                    </w:rPr>
                    <w:t>95%</w:t>
                  </w:r>
                </w:p>
                <w:p w14:paraId="0B637007" w14:textId="77777777" w:rsidR="00155420" w:rsidRPr="005C6956" w:rsidRDefault="00E84F93">
                  <w:pPr>
                    <w:keepNext w:val="0"/>
                    <w:pBdr>
                      <w:top w:val="nil"/>
                      <w:left w:val="nil"/>
                      <w:bottom w:val="nil"/>
                      <w:right w:val="nil"/>
                      <w:between w:val="nil"/>
                    </w:pBdr>
                    <w:spacing w:before="0" w:after="120" w:line="264" w:lineRule="auto"/>
                    <w:ind w:left="0" w:right="0"/>
                    <w:jc w:val="center"/>
                    <w:rPr>
                      <w:color w:val="000000"/>
                    </w:rPr>
                  </w:pPr>
                  <w:r w:rsidRPr="005C6956">
                    <w:rPr>
                      <w:color w:val="000000"/>
                    </w:rPr>
                    <w:t>(2,185/2,300)</w:t>
                  </w:r>
                </w:p>
              </w:tc>
            </w:tr>
            <w:tr w:rsidR="00155420" w14:paraId="0714BDC5" w14:textId="77777777" w:rsidTr="00155420">
              <w:trPr>
                <w:cnfStyle w:val="000000100000" w:firstRow="0" w:lastRow="0" w:firstColumn="0" w:lastColumn="0" w:oddVBand="0" w:evenVBand="0" w:oddHBand="1" w:evenHBand="0" w:firstRowFirstColumn="0" w:firstRowLastColumn="0" w:lastRowFirstColumn="0" w:lastRowLastColumn="0"/>
                <w:cantSplit/>
                <w:trHeight w:val="313"/>
              </w:trPr>
              <w:tc>
                <w:tcPr>
                  <w:tcW w:w="3465" w:type="dxa"/>
                </w:tcPr>
                <w:p w14:paraId="668867E1" w14:textId="77777777" w:rsidR="00155420" w:rsidRPr="005C6956" w:rsidRDefault="00E84F93">
                  <w:pPr>
                    <w:keepNext w:val="0"/>
                    <w:pBdr>
                      <w:top w:val="nil"/>
                      <w:left w:val="nil"/>
                      <w:bottom w:val="nil"/>
                      <w:right w:val="nil"/>
                      <w:between w:val="nil"/>
                    </w:pBdr>
                    <w:spacing w:before="0" w:after="120" w:line="264" w:lineRule="auto"/>
                    <w:ind w:left="0" w:right="0"/>
                    <w:rPr>
                      <w:color w:val="000000"/>
                    </w:rPr>
                  </w:pPr>
                  <w:r w:rsidRPr="005C6956">
                    <w:rPr>
                      <w:color w:val="000000"/>
                    </w:rPr>
                    <w:t>Percentage of PLHIV currently enrolled on ART who started on TPT</w:t>
                  </w:r>
                </w:p>
              </w:tc>
              <w:tc>
                <w:tcPr>
                  <w:tcW w:w="2190" w:type="dxa"/>
                </w:tcPr>
                <w:p w14:paraId="1A061828" w14:textId="77777777" w:rsidR="00155420" w:rsidRPr="005C6956" w:rsidRDefault="00E84F93">
                  <w:pPr>
                    <w:keepNext w:val="0"/>
                    <w:pBdr>
                      <w:top w:val="nil"/>
                      <w:left w:val="nil"/>
                      <w:bottom w:val="nil"/>
                      <w:right w:val="nil"/>
                      <w:between w:val="nil"/>
                    </w:pBdr>
                    <w:spacing w:before="0" w:after="120" w:line="264" w:lineRule="auto"/>
                    <w:ind w:left="0" w:right="0"/>
                    <w:jc w:val="center"/>
                    <w:rPr>
                      <w:b/>
                      <w:color w:val="000000"/>
                    </w:rPr>
                  </w:pPr>
                  <w:r w:rsidRPr="005C6956">
                    <w:rPr>
                      <w:b/>
                      <w:color w:val="000000"/>
                    </w:rPr>
                    <w:t>74%</w:t>
                  </w:r>
                </w:p>
                <w:p w14:paraId="76D9674E" w14:textId="77777777" w:rsidR="00155420" w:rsidRPr="005C6956" w:rsidRDefault="00E84F93">
                  <w:pPr>
                    <w:keepNext w:val="0"/>
                    <w:pBdr>
                      <w:top w:val="nil"/>
                      <w:left w:val="nil"/>
                      <w:bottom w:val="nil"/>
                      <w:right w:val="nil"/>
                      <w:between w:val="nil"/>
                    </w:pBdr>
                    <w:spacing w:before="0" w:after="120" w:line="264" w:lineRule="auto"/>
                    <w:ind w:left="0" w:right="0"/>
                    <w:jc w:val="center"/>
                    <w:rPr>
                      <w:color w:val="000000"/>
                    </w:rPr>
                  </w:pPr>
                  <w:r w:rsidRPr="005C6956">
                    <w:rPr>
                      <w:color w:val="000000"/>
                    </w:rPr>
                    <w:t>(3,690/4,990)</w:t>
                  </w:r>
                </w:p>
              </w:tc>
              <w:tc>
                <w:tcPr>
                  <w:tcW w:w="2025" w:type="dxa"/>
                </w:tcPr>
                <w:p w14:paraId="0D5D250F" w14:textId="77777777" w:rsidR="00155420" w:rsidRPr="005C6956" w:rsidRDefault="00E84F93">
                  <w:pPr>
                    <w:keepNext w:val="0"/>
                    <w:pBdr>
                      <w:top w:val="nil"/>
                      <w:left w:val="nil"/>
                      <w:bottom w:val="nil"/>
                      <w:right w:val="nil"/>
                      <w:between w:val="nil"/>
                    </w:pBdr>
                    <w:spacing w:before="0" w:after="120" w:line="264" w:lineRule="auto"/>
                    <w:ind w:left="0" w:right="0"/>
                    <w:jc w:val="center"/>
                    <w:rPr>
                      <w:b/>
                      <w:color w:val="000000"/>
                    </w:rPr>
                  </w:pPr>
                  <w:r w:rsidRPr="005C6956">
                    <w:rPr>
                      <w:b/>
                      <w:color w:val="000000"/>
                    </w:rPr>
                    <w:t>75%</w:t>
                  </w:r>
                </w:p>
                <w:p w14:paraId="49635E88" w14:textId="77777777" w:rsidR="00155420" w:rsidRPr="005C6956" w:rsidRDefault="00E84F93">
                  <w:pPr>
                    <w:keepNext w:val="0"/>
                    <w:pBdr>
                      <w:top w:val="nil"/>
                      <w:left w:val="nil"/>
                      <w:bottom w:val="nil"/>
                      <w:right w:val="nil"/>
                      <w:between w:val="nil"/>
                    </w:pBdr>
                    <w:spacing w:before="0" w:after="120" w:line="264" w:lineRule="auto"/>
                    <w:ind w:left="0" w:right="0"/>
                    <w:jc w:val="center"/>
                    <w:rPr>
                      <w:color w:val="000000"/>
                    </w:rPr>
                  </w:pPr>
                  <w:r w:rsidRPr="005C6956">
                    <w:rPr>
                      <w:color w:val="000000"/>
                    </w:rPr>
                    <w:t>(10,190/13,586)</w:t>
                  </w:r>
                </w:p>
              </w:tc>
              <w:tc>
                <w:tcPr>
                  <w:tcW w:w="2130" w:type="dxa"/>
                </w:tcPr>
                <w:p w14:paraId="042E5616" w14:textId="77777777" w:rsidR="00155420" w:rsidRPr="005C6956" w:rsidRDefault="00E84F93">
                  <w:pPr>
                    <w:keepNext w:val="0"/>
                    <w:pBdr>
                      <w:top w:val="nil"/>
                      <w:left w:val="nil"/>
                      <w:bottom w:val="nil"/>
                      <w:right w:val="nil"/>
                      <w:between w:val="nil"/>
                    </w:pBdr>
                    <w:spacing w:before="0" w:after="120" w:line="264" w:lineRule="auto"/>
                    <w:ind w:left="0" w:right="0"/>
                    <w:jc w:val="center"/>
                    <w:rPr>
                      <w:b/>
                      <w:color w:val="000000"/>
                    </w:rPr>
                  </w:pPr>
                  <w:r w:rsidRPr="005C6956">
                    <w:rPr>
                      <w:b/>
                      <w:color w:val="000000"/>
                    </w:rPr>
                    <w:t>80%</w:t>
                  </w:r>
                </w:p>
                <w:p w14:paraId="00A932D5" w14:textId="77777777" w:rsidR="00155420" w:rsidRPr="005C6956" w:rsidRDefault="00E84F93">
                  <w:pPr>
                    <w:keepNext w:val="0"/>
                    <w:pBdr>
                      <w:top w:val="nil"/>
                      <w:left w:val="nil"/>
                      <w:bottom w:val="nil"/>
                      <w:right w:val="nil"/>
                      <w:between w:val="nil"/>
                    </w:pBdr>
                    <w:spacing w:before="0" w:after="120" w:line="264" w:lineRule="auto"/>
                    <w:ind w:left="0" w:right="0"/>
                    <w:jc w:val="center"/>
                    <w:rPr>
                      <w:color w:val="000000"/>
                    </w:rPr>
                  </w:pPr>
                  <w:r w:rsidRPr="005C6956">
                    <w:rPr>
                      <w:color w:val="000000"/>
                    </w:rPr>
                    <w:t>(10,550/13,118)</w:t>
                  </w:r>
                </w:p>
              </w:tc>
              <w:tc>
                <w:tcPr>
                  <w:tcW w:w="2265" w:type="dxa"/>
                </w:tcPr>
                <w:p w14:paraId="760FC8A0" w14:textId="77777777" w:rsidR="00155420" w:rsidRPr="005C6956" w:rsidRDefault="00E84F93">
                  <w:pPr>
                    <w:keepNext w:val="0"/>
                    <w:pBdr>
                      <w:top w:val="nil"/>
                      <w:left w:val="nil"/>
                      <w:bottom w:val="nil"/>
                      <w:right w:val="nil"/>
                      <w:between w:val="nil"/>
                    </w:pBdr>
                    <w:spacing w:before="0" w:after="120" w:line="264" w:lineRule="auto"/>
                    <w:ind w:left="0" w:right="0"/>
                    <w:jc w:val="center"/>
                    <w:rPr>
                      <w:b/>
                      <w:color w:val="000000"/>
                    </w:rPr>
                  </w:pPr>
                  <w:r w:rsidRPr="005C6956">
                    <w:rPr>
                      <w:b/>
                      <w:color w:val="000000"/>
                    </w:rPr>
                    <w:t>85%</w:t>
                  </w:r>
                </w:p>
                <w:p w14:paraId="5690AB9E" w14:textId="77777777" w:rsidR="00155420" w:rsidRPr="005C6956" w:rsidRDefault="00E84F93">
                  <w:pPr>
                    <w:keepNext w:val="0"/>
                    <w:pBdr>
                      <w:top w:val="nil"/>
                      <w:left w:val="nil"/>
                      <w:bottom w:val="nil"/>
                      <w:right w:val="nil"/>
                      <w:between w:val="nil"/>
                    </w:pBdr>
                    <w:spacing w:before="0" w:after="120" w:line="264" w:lineRule="auto"/>
                    <w:ind w:left="0" w:right="0"/>
                    <w:jc w:val="center"/>
                    <w:rPr>
                      <w:color w:val="000000"/>
                    </w:rPr>
                  </w:pPr>
                  <w:r w:rsidRPr="005C6956">
                    <w:rPr>
                      <w:color w:val="000000"/>
                    </w:rPr>
                    <w:t>(11,573/13,615)</w:t>
                  </w:r>
                </w:p>
              </w:tc>
            </w:tr>
          </w:tbl>
          <w:p w14:paraId="41C0DB39" w14:textId="77777777" w:rsidR="00155420" w:rsidRDefault="00E84F93">
            <w:pPr>
              <w:keepNext w:val="0"/>
              <w:numPr>
                <w:ilvl w:val="0"/>
                <w:numId w:val="2"/>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Policy recommendation/implementation guidance for Urine LAM developed.  </w:t>
            </w:r>
          </w:p>
        </w:tc>
      </w:tr>
      <w:tr w:rsidR="00155420" w14:paraId="5D72B819"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shd w:val="clear" w:color="auto" w:fill="ABB7FC"/>
          </w:tcPr>
          <w:p w14:paraId="07558277"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bookmarkStart w:id="1" w:name="_30j0zll" w:colFirst="0" w:colLast="0"/>
            <w:bookmarkEnd w:id="1"/>
            <w:r>
              <w:rPr>
                <w:color w:val="000000"/>
                <w:sz w:val="24"/>
                <w:szCs w:val="24"/>
              </w:rPr>
              <w:t>Module #6</w:t>
            </w:r>
          </w:p>
        </w:tc>
        <w:tc>
          <w:tcPr>
            <w:tcW w:w="12465" w:type="dxa"/>
            <w:shd w:val="clear" w:color="auto" w:fill="ABB7FC"/>
          </w:tcPr>
          <w:p w14:paraId="767ABB5C"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b/>
                <w:color w:val="000000"/>
                <w:sz w:val="24"/>
                <w:szCs w:val="24"/>
              </w:rPr>
            </w:pPr>
            <w:r>
              <w:rPr>
                <w:b/>
                <w:color w:val="000000"/>
                <w:sz w:val="24"/>
                <w:szCs w:val="24"/>
              </w:rPr>
              <w:t xml:space="preserve">Removing Human Rights and Gender-related Barriers to TB services   </w:t>
            </w:r>
          </w:p>
        </w:tc>
      </w:tr>
      <w:tr w:rsidR="00155420" w14:paraId="5E71A54E"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vMerge w:val="restart"/>
          </w:tcPr>
          <w:p w14:paraId="150D84B4"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Intervention(s)</w:t>
            </w:r>
          </w:p>
        </w:tc>
        <w:tc>
          <w:tcPr>
            <w:tcW w:w="12465" w:type="dxa"/>
          </w:tcPr>
          <w:p w14:paraId="42A8BD44"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Eliminating TB-related stigma and discrimination </w:t>
            </w:r>
            <w:r>
              <w:rPr>
                <w:rFonts w:ascii="MS Gothic" w:eastAsia="MS Gothic" w:hAnsi="MS Gothic" w:cs="MS Gothic"/>
                <w:color w:val="000000"/>
              </w:rPr>
              <w:t>☐</w:t>
            </w:r>
            <w:r>
              <w:rPr>
                <w:color w:val="000000"/>
              </w:rPr>
              <w:t xml:space="preserve"> New, </w:t>
            </w:r>
            <w:r>
              <w:rPr>
                <w:rFonts w:ascii="MS Gothic" w:eastAsia="MS Gothic" w:hAnsi="MS Gothic" w:cs="MS Gothic"/>
                <w:color w:val="000000"/>
              </w:rPr>
              <w:t>☐</w:t>
            </w:r>
            <w:r>
              <w:rPr>
                <w:color w:val="000000"/>
              </w:rPr>
              <w:t xml:space="preserve"> Scale-up, </w:t>
            </w:r>
            <w:r>
              <w:rPr>
                <w:rFonts w:ascii="MS Gothic" w:eastAsia="MS Gothic" w:hAnsi="MS Gothic" w:cs="MS Gothic"/>
                <w:color w:val="000000"/>
              </w:rPr>
              <w:t>☒</w:t>
            </w:r>
            <w:r>
              <w:rPr>
                <w:color w:val="000000"/>
              </w:rPr>
              <w:t xml:space="preserve"> Continuation, or </w:t>
            </w:r>
            <w:r>
              <w:rPr>
                <w:rFonts w:ascii="MS Gothic" w:eastAsia="MS Gothic" w:hAnsi="MS Gothic" w:cs="MS Gothic"/>
                <w:color w:val="000000"/>
              </w:rPr>
              <w:t>☐</w:t>
            </w:r>
            <w:r>
              <w:rPr>
                <w:color w:val="000000"/>
              </w:rPr>
              <w:t xml:space="preserve"> Scale-down</w:t>
            </w:r>
          </w:p>
        </w:tc>
      </w:tr>
      <w:tr w:rsidR="00155420" w14:paraId="0F97CECB"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vMerge/>
          </w:tcPr>
          <w:p w14:paraId="48DF85BD" w14:textId="77777777" w:rsidR="00155420" w:rsidRDefault="00155420">
            <w:pPr>
              <w:keepNext w:val="0"/>
              <w:widowControl w:val="0"/>
              <w:pBdr>
                <w:top w:val="nil"/>
                <w:left w:val="nil"/>
                <w:bottom w:val="nil"/>
                <w:right w:val="nil"/>
                <w:between w:val="nil"/>
              </w:pBdr>
              <w:spacing w:before="0" w:line="276" w:lineRule="auto"/>
              <w:ind w:left="0" w:right="0"/>
              <w:rPr>
                <w:color w:val="000000"/>
              </w:rPr>
            </w:pPr>
          </w:p>
        </w:tc>
        <w:tc>
          <w:tcPr>
            <w:tcW w:w="12465" w:type="dxa"/>
          </w:tcPr>
          <w:p w14:paraId="421A8CC9"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Ensuring people-</w:t>
            </w:r>
            <w:proofErr w:type="spellStart"/>
            <w:r>
              <w:rPr>
                <w:color w:val="000000"/>
              </w:rPr>
              <w:t>centered</w:t>
            </w:r>
            <w:proofErr w:type="spellEnd"/>
            <w:r>
              <w:rPr>
                <w:color w:val="000000"/>
              </w:rPr>
              <w:t xml:space="preserve"> and rights-based TB services at health facilities </w:t>
            </w:r>
            <w:r>
              <w:rPr>
                <w:rFonts w:ascii="MS Gothic" w:eastAsia="MS Gothic" w:hAnsi="MS Gothic" w:cs="MS Gothic"/>
                <w:color w:val="000000"/>
              </w:rPr>
              <w:t>☐</w:t>
            </w:r>
            <w:r>
              <w:rPr>
                <w:color w:val="000000"/>
              </w:rPr>
              <w:t xml:space="preserve"> New, </w:t>
            </w:r>
            <w:r>
              <w:rPr>
                <w:rFonts w:ascii="MS Gothic" w:eastAsia="MS Gothic" w:hAnsi="MS Gothic" w:cs="MS Gothic"/>
                <w:color w:val="000000"/>
              </w:rPr>
              <w:t>☐</w:t>
            </w:r>
            <w:r>
              <w:rPr>
                <w:color w:val="000000"/>
              </w:rPr>
              <w:t xml:space="preserve"> Scale-up, </w:t>
            </w:r>
            <w:r>
              <w:rPr>
                <w:rFonts w:ascii="MS Gothic" w:eastAsia="MS Gothic" w:hAnsi="MS Gothic" w:cs="MS Gothic"/>
                <w:color w:val="000000"/>
              </w:rPr>
              <w:t>☒</w:t>
            </w:r>
            <w:r>
              <w:rPr>
                <w:color w:val="000000"/>
              </w:rPr>
              <w:t xml:space="preserve"> Continuation, or </w:t>
            </w:r>
            <w:r>
              <w:rPr>
                <w:rFonts w:ascii="MS Gothic" w:eastAsia="MS Gothic" w:hAnsi="MS Gothic" w:cs="MS Gothic"/>
                <w:color w:val="000000"/>
              </w:rPr>
              <w:t>☐</w:t>
            </w:r>
            <w:r>
              <w:rPr>
                <w:color w:val="000000"/>
              </w:rPr>
              <w:t xml:space="preserve"> Scale-down</w:t>
            </w:r>
          </w:p>
        </w:tc>
      </w:tr>
      <w:tr w:rsidR="00155420" w14:paraId="789EE378"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vMerge/>
          </w:tcPr>
          <w:p w14:paraId="4DE4F812" w14:textId="77777777" w:rsidR="00155420" w:rsidRDefault="00155420">
            <w:pPr>
              <w:keepNext w:val="0"/>
              <w:widowControl w:val="0"/>
              <w:pBdr>
                <w:top w:val="nil"/>
                <w:left w:val="nil"/>
                <w:bottom w:val="nil"/>
                <w:right w:val="nil"/>
                <w:between w:val="nil"/>
              </w:pBdr>
              <w:spacing w:before="0" w:line="276" w:lineRule="auto"/>
              <w:ind w:left="0" w:right="0"/>
              <w:rPr>
                <w:color w:val="000000"/>
              </w:rPr>
            </w:pPr>
          </w:p>
        </w:tc>
        <w:tc>
          <w:tcPr>
            <w:tcW w:w="12465" w:type="dxa"/>
          </w:tcPr>
          <w:p w14:paraId="640D9876"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Ensuring people-</w:t>
            </w:r>
            <w:proofErr w:type="spellStart"/>
            <w:r>
              <w:rPr>
                <w:color w:val="000000"/>
              </w:rPr>
              <w:t>centered</w:t>
            </w:r>
            <w:proofErr w:type="spellEnd"/>
            <w:r>
              <w:rPr>
                <w:color w:val="000000"/>
              </w:rPr>
              <w:t xml:space="preserve"> and rights-based law enforcement practices </w:t>
            </w:r>
            <w:r>
              <w:rPr>
                <w:rFonts w:ascii="MS Gothic" w:eastAsia="MS Gothic" w:hAnsi="MS Gothic" w:cs="MS Gothic"/>
                <w:color w:val="000000"/>
              </w:rPr>
              <w:t>☐</w:t>
            </w:r>
            <w:r>
              <w:rPr>
                <w:color w:val="000000"/>
              </w:rPr>
              <w:t xml:space="preserve"> New, </w:t>
            </w:r>
            <w:r>
              <w:rPr>
                <w:rFonts w:ascii="MS Gothic" w:eastAsia="MS Gothic" w:hAnsi="MS Gothic" w:cs="MS Gothic"/>
                <w:color w:val="000000"/>
              </w:rPr>
              <w:t>☐</w:t>
            </w:r>
            <w:r>
              <w:rPr>
                <w:color w:val="000000"/>
              </w:rPr>
              <w:t xml:space="preserve"> Scale-up, </w:t>
            </w:r>
            <w:r>
              <w:rPr>
                <w:rFonts w:ascii="MS Gothic" w:eastAsia="MS Gothic" w:hAnsi="MS Gothic" w:cs="MS Gothic"/>
                <w:color w:val="000000"/>
              </w:rPr>
              <w:t>☒</w:t>
            </w:r>
            <w:r>
              <w:rPr>
                <w:color w:val="000000"/>
              </w:rPr>
              <w:t xml:space="preserve"> Continuation, or </w:t>
            </w:r>
            <w:r>
              <w:rPr>
                <w:rFonts w:ascii="MS Gothic" w:eastAsia="MS Gothic" w:hAnsi="MS Gothic" w:cs="MS Gothic"/>
                <w:color w:val="000000"/>
              </w:rPr>
              <w:t>☐</w:t>
            </w:r>
            <w:r>
              <w:rPr>
                <w:color w:val="000000"/>
              </w:rPr>
              <w:t xml:space="preserve"> Scale-down</w:t>
            </w:r>
          </w:p>
        </w:tc>
      </w:tr>
      <w:tr w:rsidR="00155420" w14:paraId="035A84F7"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vMerge/>
          </w:tcPr>
          <w:p w14:paraId="0289756C" w14:textId="77777777" w:rsidR="00155420" w:rsidRDefault="00155420">
            <w:pPr>
              <w:keepNext w:val="0"/>
              <w:widowControl w:val="0"/>
              <w:pBdr>
                <w:top w:val="nil"/>
                <w:left w:val="nil"/>
                <w:bottom w:val="nil"/>
                <w:right w:val="nil"/>
                <w:between w:val="nil"/>
              </w:pBdr>
              <w:spacing w:before="0" w:line="276" w:lineRule="auto"/>
              <w:ind w:left="0" w:right="0"/>
              <w:rPr>
                <w:color w:val="000000"/>
              </w:rPr>
            </w:pPr>
          </w:p>
        </w:tc>
        <w:tc>
          <w:tcPr>
            <w:tcW w:w="12465" w:type="dxa"/>
          </w:tcPr>
          <w:p w14:paraId="6E6A6967"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Increasing access to justice </w:t>
            </w:r>
            <w:r>
              <w:rPr>
                <w:rFonts w:ascii="MS Gothic" w:eastAsia="MS Gothic" w:hAnsi="MS Gothic" w:cs="MS Gothic"/>
                <w:color w:val="000000"/>
              </w:rPr>
              <w:t>☐</w:t>
            </w:r>
            <w:r>
              <w:rPr>
                <w:color w:val="000000"/>
              </w:rPr>
              <w:t xml:space="preserve"> New, </w:t>
            </w:r>
            <w:r>
              <w:rPr>
                <w:rFonts w:ascii="MS Gothic" w:eastAsia="MS Gothic" w:hAnsi="MS Gothic" w:cs="MS Gothic"/>
                <w:color w:val="000000"/>
              </w:rPr>
              <w:t>☐</w:t>
            </w:r>
            <w:r>
              <w:rPr>
                <w:color w:val="000000"/>
              </w:rPr>
              <w:t xml:space="preserve"> Scale-up, </w:t>
            </w:r>
            <w:r>
              <w:rPr>
                <w:rFonts w:ascii="MS Gothic" w:eastAsia="MS Gothic" w:hAnsi="MS Gothic" w:cs="MS Gothic"/>
                <w:color w:val="000000"/>
              </w:rPr>
              <w:t>☒</w:t>
            </w:r>
            <w:r>
              <w:rPr>
                <w:color w:val="000000"/>
              </w:rPr>
              <w:t xml:space="preserve"> Continuation, or </w:t>
            </w:r>
            <w:r>
              <w:rPr>
                <w:rFonts w:ascii="MS Gothic" w:eastAsia="MS Gothic" w:hAnsi="MS Gothic" w:cs="MS Gothic"/>
                <w:color w:val="000000"/>
              </w:rPr>
              <w:t>☐</w:t>
            </w:r>
            <w:r>
              <w:rPr>
                <w:color w:val="000000"/>
              </w:rPr>
              <w:t xml:space="preserve"> Scale-down</w:t>
            </w:r>
          </w:p>
        </w:tc>
      </w:tr>
      <w:tr w:rsidR="00155420" w14:paraId="198546A8"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vMerge/>
          </w:tcPr>
          <w:p w14:paraId="42ABBB8A" w14:textId="77777777" w:rsidR="00155420" w:rsidRDefault="00155420">
            <w:pPr>
              <w:keepNext w:val="0"/>
              <w:widowControl w:val="0"/>
              <w:pBdr>
                <w:top w:val="nil"/>
                <w:left w:val="nil"/>
                <w:bottom w:val="nil"/>
                <w:right w:val="nil"/>
                <w:between w:val="nil"/>
              </w:pBdr>
              <w:spacing w:before="0" w:line="276" w:lineRule="auto"/>
              <w:ind w:left="0" w:right="0"/>
              <w:rPr>
                <w:color w:val="000000"/>
              </w:rPr>
            </w:pPr>
          </w:p>
        </w:tc>
        <w:tc>
          <w:tcPr>
            <w:tcW w:w="12465" w:type="dxa"/>
          </w:tcPr>
          <w:p w14:paraId="514685BB"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Monitoring and reforming policies, regulations, and laws: </w:t>
            </w:r>
            <w:r>
              <w:rPr>
                <w:rFonts w:ascii="MS Gothic" w:eastAsia="MS Gothic" w:hAnsi="MS Gothic" w:cs="MS Gothic"/>
                <w:color w:val="000000"/>
              </w:rPr>
              <w:t>☒</w:t>
            </w:r>
            <w:r>
              <w:rPr>
                <w:color w:val="000000"/>
              </w:rPr>
              <w:t xml:space="preserve"> New, </w:t>
            </w:r>
            <w:r>
              <w:rPr>
                <w:rFonts w:ascii="MS Gothic" w:eastAsia="MS Gothic" w:hAnsi="MS Gothic" w:cs="MS Gothic"/>
                <w:color w:val="000000"/>
              </w:rPr>
              <w:t>☐</w:t>
            </w:r>
            <w:r>
              <w:rPr>
                <w:color w:val="000000"/>
              </w:rPr>
              <w:t xml:space="preserve"> Scale-up, </w:t>
            </w:r>
            <w:r>
              <w:rPr>
                <w:rFonts w:ascii="MS Gothic" w:eastAsia="MS Gothic" w:hAnsi="MS Gothic" w:cs="MS Gothic"/>
                <w:color w:val="000000"/>
              </w:rPr>
              <w:t>☐</w:t>
            </w:r>
            <w:r>
              <w:rPr>
                <w:color w:val="000000"/>
              </w:rPr>
              <w:t xml:space="preserve"> Continuation, or </w:t>
            </w:r>
            <w:r>
              <w:rPr>
                <w:rFonts w:ascii="MS Gothic" w:eastAsia="MS Gothic" w:hAnsi="MS Gothic" w:cs="MS Gothic"/>
                <w:color w:val="000000"/>
              </w:rPr>
              <w:t>☐</w:t>
            </w:r>
            <w:r>
              <w:rPr>
                <w:color w:val="000000"/>
              </w:rPr>
              <w:t xml:space="preserve"> Scale-down</w:t>
            </w:r>
          </w:p>
        </w:tc>
      </w:tr>
      <w:tr w:rsidR="00155420" w14:paraId="4EB3D4FD"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tcPr>
          <w:p w14:paraId="28F447D7"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Population, geographies, and barriers addressed</w:t>
            </w:r>
          </w:p>
        </w:tc>
        <w:tc>
          <w:tcPr>
            <w:tcW w:w="12465" w:type="dxa"/>
          </w:tcPr>
          <w:p w14:paraId="3E74CE69"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b/>
                <w:color w:val="000000"/>
              </w:rPr>
              <w:t xml:space="preserve">Population: </w:t>
            </w:r>
            <w:r>
              <w:rPr>
                <w:color w:val="000000"/>
              </w:rPr>
              <w:t xml:space="preserve">journalists, media professionals, </w:t>
            </w:r>
            <w:r>
              <w:rPr>
                <w:color w:val="000000"/>
              </w:rPr>
              <w:t>public and private health care workers, law enforcement officers, correction officers, CBOs, and CSOs.</w:t>
            </w:r>
          </w:p>
          <w:p w14:paraId="221F5AAD"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b/>
                <w:color w:val="000000"/>
              </w:rPr>
              <w:t>Geography:</w:t>
            </w:r>
            <w:r>
              <w:rPr>
                <w:color w:val="000000"/>
              </w:rPr>
              <w:t xml:space="preserve"> Nationwide </w:t>
            </w:r>
          </w:p>
          <w:p w14:paraId="27E67218"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b/>
                <w:color w:val="000000"/>
              </w:rPr>
              <w:t xml:space="preserve">Barriers: </w:t>
            </w:r>
            <w:r>
              <w:rPr>
                <w:color w:val="000000"/>
              </w:rPr>
              <w:t xml:space="preserve">11 of the 17 regions have no redress mechanisms in place. The use of gender data in health planning and decision-making </w:t>
            </w:r>
            <w:r>
              <w:rPr>
                <w:color w:val="000000"/>
              </w:rPr>
              <w:t>is low.</w:t>
            </w:r>
          </w:p>
        </w:tc>
      </w:tr>
      <w:tr w:rsidR="00155420" w14:paraId="4CDABD6D"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tcPr>
          <w:p w14:paraId="63FED8AE"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lastRenderedPageBreak/>
              <w:t>List of activities</w:t>
            </w:r>
          </w:p>
        </w:tc>
        <w:tc>
          <w:tcPr>
            <w:tcW w:w="12465" w:type="dxa"/>
          </w:tcPr>
          <w:p w14:paraId="42CB8532"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The Philippines has a National TB Program Community Engagement, Human Rights, and Gender- National Action Plan 2021-2023 (NTP CRG NAP). The January 2023 updates were included in the various KAP consultations conducted. The list below details key insights a</w:t>
            </w:r>
            <w:r>
              <w:rPr>
                <w:color w:val="000000"/>
              </w:rPr>
              <w:t xml:space="preserve">nd recommendations to be included in this FR. The NTP CRG NAP will be assessed in quarter 4 of 2023 to guide the plan’s development for the next three years.    </w:t>
            </w:r>
          </w:p>
          <w:p w14:paraId="14C19DEB"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The ongoing GFTB grant 2021-2023 supports the (1) formation of regional CSO/CBO networks and (</w:t>
            </w:r>
            <w:r>
              <w:rPr>
                <w:color w:val="000000"/>
              </w:rPr>
              <w:t>2) their inclusion in a national patient support group network, (3) establishment of CLM in six regions, (4) establishment of redress mechanism in six regions through a patient hotline, (5) capacity building on CRG for NTP providers, and (6) creating a poo</w:t>
            </w:r>
            <w:r>
              <w:rPr>
                <w:color w:val="000000"/>
              </w:rPr>
              <w:t xml:space="preserve">l of NTP providers able to conduct gender analysis and using gender data in planning. </w:t>
            </w:r>
          </w:p>
          <w:p w14:paraId="62D3F02C"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Specific for capacity building on CRG among NTP providers, a four-hour “CRG fit-for-work Learning Module” was developed and piloted focused on media professionals, healt</w:t>
            </w:r>
            <w:r>
              <w:rPr>
                <w:color w:val="000000"/>
              </w:rPr>
              <w:t>h workers, and correction officers. Positive feedback and recommendations for scale-up were received, and a preference for face-to-face over virtual learning was expressed. On the other hand, the HIV program is also conducting an intensive 4-day HRG course</w:t>
            </w:r>
            <w:r>
              <w:rPr>
                <w:color w:val="000000"/>
              </w:rPr>
              <w:t xml:space="preserve">, which already incorporates TB, HIV, and COVID-19. Within 2023, the TB and HIV programs will review and consolidate the modules and develop a standard learning module that will be disseminated in 2024-2026, as applicable. </w:t>
            </w:r>
          </w:p>
          <w:p w14:paraId="77B1C3D6"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b/>
                <w:color w:val="0626D6"/>
              </w:rPr>
            </w:pPr>
            <w:r>
              <w:rPr>
                <w:color w:val="000000"/>
              </w:rPr>
              <w:t>Specific to the redress mechanis</w:t>
            </w:r>
            <w:r>
              <w:rPr>
                <w:color w:val="000000"/>
              </w:rPr>
              <w:t>m, six regions are currently piloting a redress mechanism for TB, which is anchored on a TB patient hotline being operated by trained CSOs/CBOs. The patient TB hotline serves as an information resource, patient experience feedback, and patient navigation/r</w:t>
            </w:r>
            <w:r>
              <w:rPr>
                <w:color w:val="000000"/>
              </w:rPr>
              <w:t>eferral system (for medical, clinical, laboratory, psycho-social, and legal support). By the end of 2023, an assessment will be conducted to enhance the mechanism for scale-up in 2024-2026 to cover 11 other regions to provide nationwide coverage. The DOH i</w:t>
            </w:r>
            <w:r>
              <w:rPr>
                <w:color w:val="000000"/>
              </w:rPr>
              <w:t>s developing a national primary care telemedicine platform based on the COVID one hospital command mechanism. The TB patient hotline will likely be incorporated into the DOH telemedicine platform in the long term</w:t>
            </w:r>
            <w:r>
              <w:rPr>
                <w:b/>
                <w:color w:val="0626D6"/>
              </w:rPr>
              <w:t xml:space="preserve">.                   </w:t>
            </w:r>
          </w:p>
          <w:p w14:paraId="79B2F29B"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u w:val="single"/>
              </w:rPr>
            </w:pPr>
            <w:r>
              <w:rPr>
                <w:color w:val="000000"/>
                <w:u w:val="single"/>
              </w:rPr>
              <w:t xml:space="preserve">Eliminating TB-related </w:t>
            </w:r>
            <w:r>
              <w:rPr>
                <w:color w:val="000000"/>
                <w:u w:val="single"/>
              </w:rPr>
              <w:t>stigma and discrimination:</w:t>
            </w:r>
          </w:p>
          <w:p w14:paraId="61122CE7" w14:textId="77777777" w:rsidR="00155420" w:rsidRDefault="00E84F93">
            <w:pPr>
              <w:keepNext w:val="0"/>
              <w:numPr>
                <w:ilvl w:val="0"/>
                <w:numId w:val="12"/>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Roll out HRG training for journalists and media professionals. </w:t>
            </w:r>
          </w:p>
          <w:p w14:paraId="115178DB" w14:textId="77777777" w:rsidR="00155420" w:rsidRDefault="00E84F93">
            <w:pPr>
              <w:keepNext w:val="0"/>
              <w:numPr>
                <w:ilvl w:val="0"/>
                <w:numId w:val="12"/>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Explore including the HRG orientation/training as part of the pre/in-service training. </w:t>
            </w:r>
          </w:p>
          <w:p w14:paraId="7D96225A" w14:textId="77777777" w:rsidR="00155420" w:rsidRDefault="00E84F93">
            <w:pPr>
              <w:keepNext w:val="0"/>
              <w:numPr>
                <w:ilvl w:val="0"/>
                <w:numId w:val="12"/>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Developing and disseminating gender-sensitive SBCC materials (men, women, and</w:t>
            </w:r>
            <w:r>
              <w:rPr>
                <w:color w:val="000000"/>
              </w:rPr>
              <w:t xml:space="preserve"> LGBTQIA ++).</w:t>
            </w:r>
          </w:p>
          <w:p w14:paraId="03B0CAC3"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u w:val="single"/>
              </w:rPr>
            </w:pPr>
            <w:r>
              <w:rPr>
                <w:color w:val="000000"/>
                <w:u w:val="single"/>
              </w:rPr>
              <w:t>Ensuring people-</w:t>
            </w:r>
            <w:proofErr w:type="spellStart"/>
            <w:r>
              <w:rPr>
                <w:color w:val="000000"/>
                <w:u w:val="single"/>
              </w:rPr>
              <w:t>centered</w:t>
            </w:r>
            <w:proofErr w:type="spellEnd"/>
            <w:r>
              <w:rPr>
                <w:color w:val="000000"/>
                <w:u w:val="single"/>
              </w:rPr>
              <w:t xml:space="preserve"> and rights-based TB services at health facilities:</w:t>
            </w:r>
          </w:p>
          <w:p w14:paraId="305F5C41" w14:textId="77777777" w:rsidR="00155420" w:rsidRDefault="00E84F93">
            <w:pPr>
              <w:keepNext w:val="0"/>
              <w:numPr>
                <w:ilvl w:val="0"/>
                <w:numId w:val="12"/>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Roll out HRG training for facility and community-based health care workers.</w:t>
            </w:r>
          </w:p>
          <w:p w14:paraId="5562F30B" w14:textId="77777777" w:rsidR="00155420" w:rsidRDefault="00E84F93">
            <w:pPr>
              <w:keepNext w:val="0"/>
              <w:numPr>
                <w:ilvl w:val="0"/>
                <w:numId w:val="12"/>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Explore including the HRG orientation/training as part of the pre/in-service training. </w:t>
            </w:r>
          </w:p>
          <w:p w14:paraId="5012C722" w14:textId="77777777" w:rsidR="00155420" w:rsidRDefault="00E84F93">
            <w:pPr>
              <w:keepNext w:val="0"/>
              <w:numPr>
                <w:ilvl w:val="0"/>
                <w:numId w:val="12"/>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lastRenderedPageBreak/>
              <w:t>Ro</w:t>
            </w:r>
            <w:r>
              <w:rPr>
                <w:color w:val="000000"/>
              </w:rPr>
              <w:t xml:space="preserve">ll out of gender analysis and data utilization training among gender and development point persons in 120 LGUs nationwide.  </w:t>
            </w:r>
          </w:p>
          <w:p w14:paraId="7B6E50E5" w14:textId="77777777" w:rsidR="00155420" w:rsidRDefault="00E84F93">
            <w:pPr>
              <w:keepNext w:val="0"/>
              <w:numPr>
                <w:ilvl w:val="0"/>
                <w:numId w:val="12"/>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SOGIE orientation for TB care providers nationwide.  </w:t>
            </w:r>
          </w:p>
          <w:p w14:paraId="52225076"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u w:val="single"/>
              </w:rPr>
            </w:pPr>
            <w:r>
              <w:rPr>
                <w:color w:val="000000"/>
                <w:u w:val="single"/>
              </w:rPr>
              <w:t>Ensuring people-</w:t>
            </w:r>
            <w:proofErr w:type="spellStart"/>
            <w:r>
              <w:rPr>
                <w:color w:val="000000"/>
                <w:u w:val="single"/>
              </w:rPr>
              <w:t>centered</w:t>
            </w:r>
            <w:proofErr w:type="spellEnd"/>
            <w:r>
              <w:rPr>
                <w:color w:val="000000"/>
                <w:u w:val="single"/>
              </w:rPr>
              <w:t xml:space="preserve"> and rights-based law enforcement practices:</w:t>
            </w:r>
          </w:p>
          <w:p w14:paraId="09758EAB" w14:textId="77777777" w:rsidR="00155420" w:rsidRDefault="00E84F93">
            <w:pPr>
              <w:keepNext w:val="0"/>
              <w:numPr>
                <w:ilvl w:val="0"/>
                <w:numId w:val="12"/>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Roll out</w:t>
            </w:r>
            <w:r>
              <w:rPr>
                <w:color w:val="000000"/>
              </w:rPr>
              <w:t xml:space="preserve"> HRG training for law enforcement and correction officers. </w:t>
            </w:r>
          </w:p>
          <w:p w14:paraId="7DEEFAC1" w14:textId="77777777" w:rsidR="00155420" w:rsidRDefault="00E84F93">
            <w:pPr>
              <w:keepNext w:val="0"/>
              <w:numPr>
                <w:ilvl w:val="0"/>
                <w:numId w:val="12"/>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Explore including the HRG orientation/training as part of the pre/in-service training. </w:t>
            </w:r>
          </w:p>
          <w:p w14:paraId="5416A6A3"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color w:val="000000"/>
                <w:u w:val="single"/>
              </w:rPr>
              <w:t>Increasing access to justice:</w:t>
            </w:r>
          </w:p>
          <w:p w14:paraId="0403A40B" w14:textId="77777777" w:rsidR="00155420" w:rsidRDefault="00E84F93">
            <w:pPr>
              <w:keepNext w:val="0"/>
              <w:numPr>
                <w:ilvl w:val="0"/>
                <w:numId w:val="12"/>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Establishing an additional TB patient hotline to cover 11 regions. The TB pati</w:t>
            </w:r>
            <w:r>
              <w:rPr>
                <w:color w:val="000000"/>
              </w:rPr>
              <w:t xml:space="preserve">ent hotline includes a redress mechanism and patient navigation support. Specific to legal help, the TB patient hotline will be used to report the incidence of human rights violations and to access legal aid. The mechanism includes maintaining lawyers (on </w:t>
            </w:r>
            <w:r>
              <w:rPr>
                <w:color w:val="000000"/>
              </w:rPr>
              <w:t xml:space="preserve">a retainer basis) to provide legal assistance services.  </w:t>
            </w:r>
          </w:p>
          <w:p w14:paraId="1AB8F1E5"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u w:val="single"/>
              </w:rPr>
            </w:pPr>
            <w:r>
              <w:rPr>
                <w:color w:val="000000"/>
                <w:u w:val="single"/>
              </w:rPr>
              <w:t>Monitoring and reforming policies, regulations, and laws:</w:t>
            </w:r>
          </w:p>
          <w:p w14:paraId="2F141908" w14:textId="77777777" w:rsidR="00155420" w:rsidRDefault="00E84F93">
            <w:pPr>
              <w:keepNext w:val="0"/>
              <w:numPr>
                <w:ilvl w:val="0"/>
                <w:numId w:val="12"/>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Review and enhancement of the TB Law &amp; IRR provisions to be CRG conscious.</w:t>
            </w:r>
          </w:p>
          <w:p w14:paraId="4424A500" w14:textId="63E21943" w:rsidR="003C28E8" w:rsidRPr="003C28E8" w:rsidRDefault="003C28E8" w:rsidP="003C28E8">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b/>
                <w:bCs/>
                <w:i/>
                <w:iCs/>
                <w:color w:val="000000"/>
              </w:rPr>
            </w:pPr>
            <w:r w:rsidRPr="003C28E8">
              <w:rPr>
                <w:b/>
                <w:bCs/>
                <w:i/>
                <w:iCs/>
                <w:color w:val="4F81BD" w:themeColor="accent1"/>
              </w:rPr>
              <w:t xml:space="preserve">Related documents on HRG </w:t>
            </w:r>
            <w:r>
              <w:rPr>
                <w:b/>
                <w:bCs/>
                <w:i/>
                <w:iCs/>
                <w:color w:val="4F81BD" w:themeColor="accent1"/>
              </w:rPr>
              <w:t>assessment and ongoing responses</w:t>
            </w:r>
            <w:r w:rsidRPr="003C28E8">
              <w:rPr>
                <w:b/>
                <w:bCs/>
                <w:i/>
                <w:iCs/>
                <w:color w:val="4F81BD" w:themeColor="accent1"/>
              </w:rPr>
              <w:t xml:space="preserve"> are attached as Annex 26.</w:t>
            </w:r>
          </w:p>
        </w:tc>
      </w:tr>
      <w:tr w:rsidR="00155420" w14:paraId="39C415A8"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tcPr>
          <w:p w14:paraId="7EA1E2EC"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lastRenderedPageBreak/>
              <w:t>Amount requested</w:t>
            </w:r>
          </w:p>
        </w:tc>
        <w:tc>
          <w:tcPr>
            <w:tcW w:w="12465" w:type="dxa"/>
          </w:tcPr>
          <w:p w14:paraId="238B8041" w14:textId="0A8742E5"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sidRPr="00D65121">
              <w:rPr>
                <w:color w:val="000000"/>
              </w:rPr>
              <w:t>USD 546,495</w:t>
            </w:r>
            <w:r>
              <w:rPr>
                <w:color w:val="000000"/>
              </w:rPr>
              <w:t xml:space="preserve"> </w:t>
            </w:r>
          </w:p>
        </w:tc>
      </w:tr>
      <w:tr w:rsidR="00155420" w14:paraId="20C8B91A"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tcPr>
          <w:p w14:paraId="327F91EB"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Expected outcome</w:t>
            </w:r>
          </w:p>
        </w:tc>
        <w:tc>
          <w:tcPr>
            <w:tcW w:w="12465" w:type="dxa"/>
          </w:tcPr>
          <w:p w14:paraId="630DAD93" w14:textId="77777777" w:rsidR="00155420" w:rsidRDefault="00E84F93">
            <w:pPr>
              <w:keepNext w:val="0"/>
              <w:numPr>
                <w:ilvl w:val="0"/>
                <w:numId w:val="2"/>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Train 80 CRG Trainers to reach journalists/media, correction officers, and health care workers.</w:t>
            </w:r>
          </w:p>
          <w:p w14:paraId="1EC8CC00" w14:textId="77777777" w:rsidR="00155420" w:rsidRDefault="00E84F93">
            <w:pPr>
              <w:keepNext w:val="0"/>
              <w:numPr>
                <w:ilvl w:val="0"/>
                <w:numId w:val="2"/>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Dissemination of gender-sensitive SBCC materials. </w:t>
            </w:r>
          </w:p>
          <w:p w14:paraId="1846EF8C" w14:textId="77777777" w:rsidR="00155420" w:rsidRDefault="00E84F93">
            <w:pPr>
              <w:keepNext w:val="0"/>
              <w:numPr>
                <w:ilvl w:val="0"/>
                <w:numId w:val="2"/>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SOGIE orientation for all TB care facilities. </w:t>
            </w:r>
          </w:p>
          <w:p w14:paraId="746095A3" w14:textId="77777777" w:rsidR="00155420" w:rsidRDefault="00E84F93">
            <w:pPr>
              <w:keepNext w:val="0"/>
              <w:numPr>
                <w:ilvl w:val="0"/>
                <w:numId w:val="2"/>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Train GAD officers from 120 LGUs on gender analysis and data utilization. </w:t>
            </w:r>
          </w:p>
          <w:p w14:paraId="38598EDE" w14:textId="77777777" w:rsidR="00155420" w:rsidRDefault="00E84F93">
            <w:pPr>
              <w:keepNext w:val="0"/>
              <w:numPr>
                <w:ilvl w:val="0"/>
                <w:numId w:val="2"/>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All 17 regions with operational redress mechanisms.</w:t>
            </w:r>
          </w:p>
          <w:p w14:paraId="5ECAAFD7" w14:textId="77777777" w:rsidR="00155420" w:rsidRDefault="00E84F93">
            <w:pPr>
              <w:keepNext w:val="0"/>
              <w:numPr>
                <w:ilvl w:val="0"/>
                <w:numId w:val="2"/>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Policy provisions on HRG included in the IRR of the enhanced TB Law.     </w:t>
            </w:r>
          </w:p>
        </w:tc>
      </w:tr>
      <w:tr w:rsidR="00155420" w14:paraId="7D9BCADE"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shd w:val="clear" w:color="auto" w:fill="ABB7FC"/>
          </w:tcPr>
          <w:p w14:paraId="4F71E6CC"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color w:val="000000"/>
                <w:sz w:val="24"/>
                <w:szCs w:val="24"/>
              </w:rPr>
              <w:t xml:space="preserve">Module </w:t>
            </w:r>
            <w:r>
              <w:rPr>
                <w:color w:val="000000"/>
                <w:sz w:val="24"/>
                <w:szCs w:val="24"/>
              </w:rPr>
              <w:t>#7</w:t>
            </w:r>
          </w:p>
        </w:tc>
        <w:tc>
          <w:tcPr>
            <w:tcW w:w="12465" w:type="dxa"/>
            <w:shd w:val="clear" w:color="auto" w:fill="ABB7FC"/>
          </w:tcPr>
          <w:p w14:paraId="5FAFFD78"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b/>
                <w:color w:val="000000"/>
                <w:sz w:val="24"/>
                <w:szCs w:val="24"/>
              </w:rPr>
            </w:pPr>
            <w:r>
              <w:rPr>
                <w:b/>
                <w:color w:val="000000"/>
                <w:sz w:val="24"/>
                <w:szCs w:val="24"/>
              </w:rPr>
              <w:t>RSSH: Health Sector Planning and Governance for Integrated People-</w:t>
            </w:r>
            <w:proofErr w:type="spellStart"/>
            <w:r>
              <w:rPr>
                <w:b/>
                <w:color w:val="000000"/>
                <w:sz w:val="24"/>
                <w:szCs w:val="24"/>
              </w:rPr>
              <w:t>centered</w:t>
            </w:r>
            <w:proofErr w:type="spellEnd"/>
            <w:r>
              <w:rPr>
                <w:b/>
                <w:color w:val="000000"/>
                <w:sz w:val="24"/>
                <w:szCs w:val="24"/>
              </w:rPr>
              <w:t xml:space="preserve"> Services    </w:t>
            </w:r>
          </w:p>
        </w:tc>
      </w:tr>
      <w:tr w:rsidR="00155420" w14:paraId="43F7AD6D"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tcPr>
          <w:p w14:paraId="5CC2A487"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Intervention(s)</w:t>
            </w:r>
          </w:p>
        </w:tc>
        <w:tc>
          <w:tcPr>
            <w:tcW w:w="12465" w:type="dxa"/>
          </w:tcPr>
          <w:p w14:paraId="322EAEE1"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National Health Sector Strategy, Policy, and Regulation </w:t>
            </w:r>
            <w:r>
              <w:rPr>
                <w:rFonts w:ascii="MS Gothic" w:eastAsia="MS Gothic" w:hAnsi="MS Gothic" w:cs="MS Gothic"/>
                <w:color w:val="000000"/>
              </w:rPr>
              <w:t>☒</w:t>
            </w:r>
            <w:r>
              <w:rPr>
                <w:color w:val="000000"/>
              </w:rPr>
              <w:t xml:space="preserve"> New, </w:t>
            </w:r>
            <w:r>
              <w:rPr>
                <w:rFonts w:ascii="MS Gothic" w:eastAsia="MS Gothic" w:hAnsi="MS Gothic" w:cs="MS Gothic"/>
                <w:color w:val="000000"/>
              </w:rPr>
              <w:t>☐</w:t>
            </w:r>
            <w:r>
              <w:rPr>
                <w:color w:val="000000"/>
              </w:rPr>
              <w:t xml:space="preserve"> Scale-up, </w:t>
            </w:r>
            <w:r>
              <w:rPr>
                <w:rFonts w:ascii="MS Gothic" w:eastAsia="MS Gothic" w:hAnsi="MS Gothic" w:cs="MS Gothic"/>
                <w:color w:val="000000"/>
              </w:rPr>
              <w:t>☐</w:t>
            </w:r>
            <w:r>
              <w:rPr>
                <w:color w:val="000000"/>
              </w:rPr>
              <w:t xml:space="preserve"> Continuation, or </w:t>
            </w:r>
            <w:r>
              <w:rPr>
                <w:rFonts w:ascii="MS Gothic" w:eastAsia="MS Gothic" w:hAnsi="MS Gothic" w:cs="MS Gothic"/>
                <w:color w:val="000000"/>
              </w:rPr>
              <w:t>☐</w:t>
            </w:r>
            <w:r>
              <w:rPr>
                <w:color w:val="000000"/>
              </w:rPr>
              <w:t xml:space="preserve"> Scale-down</w:t>
            </w:r>
          </w:p>
        </w:tc>
      </w:tr>
      <w:tr w:rsidR="00155420" w14:paraId="2DE26ABA"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tcPr>
          <w:p w14:paraId="0FC51793" w14:textId="77777777" w:rsidR="00155420" w:rsidRDefault="00155420">
            <w:pPr>
              <w:keepNext w:val="0"/>
              <w:pBdr>
                <w:top w:val="nil"/>
                <w:left w:val="nil"/>
                <w:bottom w:val="nil"/>
                <w:right w:val="nil"/>
                <w:between w:val="nil"/>
              </w:pBdr>
              <w:spacing w:before="0" w:after="120" w:line="264" w:lineRule="auto"/>
              <w:ind w:left="0" w:right="0"/>
              <w:rPr>
                <w:color w:val="000000"/>
                <w:sz w:val="24"/>
                <w:szCs w:val="24"/>
              </w:rPr>
            </w:pPr>
          </w:p>
        </w:tc>
        <w:tc>
          <w:tcPr>
            <w:tcW w:w="12465" w:type="dxa"/>
          </w:tcPr>
          <w:p w14:paraId="1726283D"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color w:val="000000"/>
                <w:sz w:val="24"/>
                <w:szCs w:val="24"/>
              </w:rPr>
              <w:t xml:space="preserve">Integration/coordination across disease programs and at the service delivery level </w:t>
            </w:r>
            <w:r>
              <w:rPr>
                <w:rFonts w:ascii="MS Gothic" w:eastAsia="MS Gothic" w:hAnsi="MS Gothic" w:cs="MS Gothic"/>
                <w:color w:val="000000"/>
              </w:rPr>
              <w:t>☐</w:t>
            </w:r>
            <w:r>
              <w:rPr>
                <w:color w:val="000000"/>
              </w:rPr>
              <w:t xml:space="preserve"> New, </w:t>
            </w:r>
            <w:r>
              <w:rPr>
                <w:rFonts w:ascii="MS Gothic" w:eastAsia="MS Gothic" w:hAnsi="MS Gothic" w:cs="MS Gothic"/>
                <w:color w:val="000000"/>
              </w:rPr>
              <w:t>☐</w:t>
            </w:r>
            <w:r>
              <w:rPr>
                <w:color w:val="000000"/>
              </w:rPr>
              <w:t xml:space="preserve"> Scale-up, </w:t>
            </w:r>
            <w:r>
              <w:rPr>
                <w:rFonts w:ascii="MS Gothic" w:eastAsia="MS Gothic" w:hAnsi="MS Gothic" w:cs="MS Gothic"/>
                <w:color w:val="000000"/>
              </w:rPr>
              <w:t>☒</w:t>
            </w:r>
            <w:r>
              <w:rPr>
                <w:color w:val="000000"/>
              </w:rPr>
              <w:t xml:space="preserve"> Continuation, or </w:t>
            </w:r>
            <w:r>
              <w:rPr>
                <w:rFonts w:ascii="MS Gothic" w:eastAsia="MS Gothic" w:hAnsi="MS Gothic" w:cs="MS Gothic"/>
                <w:color w:val="000000"/>
              </w:rPr>
              <w:t>☐</w:t>
            </w:r>
            <w:r>
              <w:rPr>
                <w:color w:val="000000"/>
              </w:rPr>
              <w:t xml:space="preserve"> Scale-down</w:t>
            </w:r>
          </w:p>
        </w:tc>
      </w:tr>
      <w:tr w:rsidR="00155420" w14:paraId="5512E122"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tcPr>
          <w:p w14:paraId="62252EBF"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Population, geographies, and barriers addressed</w:t>
            </w:r>
          </w:p>
        </w:tc>
        <w:tc>
          <w:tcPr>
            <w:tcW w:w="12465" w:type="dxa"/>
          </w:tcPr>
          <w:p w14:paraId="477F32AC"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b/>
                <w:color w:val="000000"/>
              </w:rPr>
            </w:pPr>
            <w:r>
              <w:rPr>
                <w:b/>
                <w:color w:val="000000"/>
              </w:rPr>
              <w:t>Population:</w:t>
            </w:r>
            <w:r>
              <w:rPr>
                <w:color w:val="000000"/>
              </w:rPr>
              <w:t xml:space="preserve"> 120 LGUs (UHC implementation sites)</w:t>
            </w:r>
          </w:p>
          <w:p w14:paraId="75C7CFCA"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b/>
                <w:color w:val="000000"/>
              </w:rPr>
              <w:t>Geography:</w:t>
            </w:r>
            <w:r>
              <w:rPr>
                <w:color w:val="000000"/>
              </w:rPr>
              <w:t xml:space="preserve"> Nationwide </w:t>
            </w:r>
          </w:p>
          <w:p w14:paraId="0D7B7A63"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b/>
                <w:color w:val="000000"/>
              </w:rPr>
              <w:t>Barriers:</w:t>
            </w:r>
            <w:r>
              <w:rPr>
                <w:color w:val="000000"/>
              </w:rPr>
              <w:t xml:space="preserve"> In compliance with the UHC Law and the EO138, LGUs must build their capacity to implement the UHC in a fully devolved healthcare system. JPR findings reflect a need for more competency among LGUs to </w:t>
            </w:r>
            <w:proofErr w:type="spellStart"/>
            <w:r>
              <w:rPr>
                <w:color w:val="000000"/>
              </w:rPr>
              <w:t>fulfill</w:t>
            </w:r>
            <w:proofErr w:type="spellEnd"/>
            <w:r>
              <w:rPr>
                <w:color w:val="000000"/>
              </w:rPr>
              <w:t xml:space="preserve"> their enhanced mandate.  </w:t>
            </w:r>
          </w:p>
        </w:tc>
      </w:tr>
      <w:tr w:rsidR="00155420" w14:paraId="5D01FBA6"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tcPr>
          <w:p w14:paraId="5053C5E5"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 xml:space="preserve">List of </w:t>
            </w:r>
            <w:r>
              <w:rPr>
                <w:b w:val="0"/>
                <w:color w:val="000000"/>
                <w:sz w:val="24"/>
                <w:szCs w:val="24"/>
              </w:rPr>
              <w:t>activities</w:t>
            </w:r>
          </w:p>
        </w:tc>
        <w:tc>
          <w:tcPr>
            <w:tcW w:w="12465" w:type="dxa"/>
          </w:tcPr>
          <w:p w14:paraId="38DBB54A"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u w:val="single"/>
              </w:rPr>
            </w:pPr>
            <w:r>
              <w:rPr>
                <w:color w:val="000000"/>
                <w:u w:val="single"/>
              </w:rPr>
              <w:t>National Health Sector Strategy, Policy, and Regulation</w:t>
            </w:r>
          </w:p>
          <w:p w14:paraId="5FC69C37" w14:textId="77777777" w:rsidR="00155420" w:rsidRDefault="00E84F93">
            <w:pPr>
              <w:keepNext w:val="0"/>
              <w:numPr>
                <w:ilvl w:val="0"/>
                <w:numId w:val="27"/>
              </w:numPr>
              <w:pBdr>
                <w:top w:val="nil"/>
                <w:left w:val="nil"/>
                <w:bottom w:val="nil"/>
                <w:right w:val="nil"/>
                <w:between w:val="nil"/>
              </w:pBdr>
              <w:spacing w:before="0" w:after="120" w:line="264" w:lineRule="auto"/>
              <w:ind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Capacity building for Local Health Boards to support the implementation of the provisions of the UHC law. The intervention package will be three courses to include: (1) Organizational Devel</w:t>
            </w:r>
            <w:r>
              <w:rPr>
                <w:color w:val="000000"/>
              </w:rPr>
              <w:t xml:space="preserve">opment Planning, (2) Resource Mobilization, and (3) Financial Management, particularly the special health fund. Depending on the identified needs, LGUs may avail of all three. </w:t>
            </w:r>
          </w:p>
          <w:p w14:paraId="6163DCFE" w14:textId="77777777" w:rsidR="00155420" w:rsidRDefault="00E84F93">
            <w:pPr>
              <w:keepNext w:val="0"/>
              <w:numPr>
                <w:ilvl w:val="0"/>
                <w:numId w:val="27"/>
              </w:numPr>
              <w:pBdr>
                <w:top w:val="nil"/>
                <w:left w:val="nil"/>
                <w:bottom w:val="nil"/>
                <w:right w:val="nil"/>
                <w:between w:val="nil"/>
              </w:pBdr>
              <w:spacing w:before="0" w:after="120" w:line="264" w:lineRule="auto"/>
              <w:ind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Support BLHSD in developing and disseminating the LHB Handbook</w:t>
            </w:r>
          </w:p>
          <w:p w14:paraId="4F21F582" w14:textId="77777777" w:rsidR="00155420" w:rsidRDefault="00E84F93">
            <w:pPr>
              <w:keepNext w:val="0"/>
              <w:numPr>
                <w:ilvl w:val="0"/>
                <w:numId w:val="27"/>
              </w:numPr>
              <w:pBdr>
                <w:top w:val="nil"/>
                <w:left w:val="nil"/>
                <w:bottom w:val="nil"/>
                <w:right w:val="nil"/>
                <w:between w:val="nil"/>
              </w:pBdr>
              <w:spacing w:before="0" w:after="120" w:line="264" w:lineRule="auto"/>
              <w:ind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Strengthening Lo</w:t>
            </w:r>
            <w:r>
              <w:rPr>
                <w:color w:val="000000"/>
              </w:rPr>
              <w:t xml:space="preserve">cal Health Boards will enable the use of local health data to support their planning and budgeting functions, ensuring proper allocations for TB, HIV, and Malaria. </w:t>
            </w:r>
          </w:p>
          <w:p w14:paraId="64D45204"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u w:val="single"/>
              </w:rPr>
            </w:pPr>
            <w:r>
              <w:rPr>
                <w:color w:val="000000"/>
                <w:sz w:val="24"/>
                <w:szCs w:val="24"/>
                <w:u w:val="single"/>
              </w:rPr>
              <w:t>Integration/coordination across disease programs and at the service delivery level</w:t>
            </w:r>
          </w:p>
          <w:p w14:paraId="405B62D5" w14:textId="77777777" w:rsidR="00155420" w:rsidRDefault="00E84F93">
            <w:pPr>
              <w:keepNext w:val="0"/>
              <w:numPr>
                <w:ilvl w:val="0"/>
                <w:numId w:val="27"/>
              </w:numPr>
              <w:pBdr>
                <w:top w:val="nil"/>
                <w:left w:val="nil"/>
                <w:bottom w:val="nil"/>
                <w:right w:val="nil"/>
                <w:between w:val="nil"/>
              </w:pBdr>
              <w:spacing w:before="0" w:after="120" w:line="264" w:lineRule="auto"/>
              <w:ind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Continuous support to CHD 4B and its UHC IS (5 provinces and 1 HUC) on capacity strengthening to achieve their target UHC maturity Index and demonstrate technical, financial, and managerial integration for their local healthcare system. The TB program will</w:t>
            </w:r>
            <w:r>
              <w:rPr>
                <w:color w:val="000000"/>
              </w:rPr>
              <w:t xml:space="preserve"> serve as the tracer program in setting up their healthcare provider network and testing social contracting and pooled procurement models.     </w:t>
            </w:r>
          </w:p>
          <w:p w14:paraId="0CEB5721" w14:textId="77777777" w:rsidR="00155420" w:rsidRDefault="00E84F93">
            <w:pPr>
              <w:keepNext w:val="0"/>
              <w:numPr>
                <w:ilvl w:val="0"/>
                <w:numId w:val="27"/>
              </w:numPr>
              <w:pBdr>
                <w:top w:val="nil"/>
                <w:left w:val="nil"/>
                <w:bottom w:val="nil"/>
                <w:right w:val="nil"/>
                <w:between w:val="nil"/>
              </w:pBdr>
              <w:spacing w:before="0" w:after="120" w:line="264" w:lineRule="auto"/>
              <w:ind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Continuous OD support to DOH-DPCB and Philippine CDC based on World Bank OD assessment in 2023. </w:t>
            </w:r>
          </w:p>
          <w:p w14:paraId="3B7A46FC" w14:textId="77777777" w:rsidR="00155420" w:rsidRDefault="00E84F93">
            <w:pPr>
              <w:keepNext w:val="0"/>
              <w:numPr>
                <w:ilvl w:val="0"/>
                <w:numId w:val="27"/>
              </w:numPr>
              <w:pBdr>
                <w:top w:val="nil"/>
                <w:left w:val="nil"/>
                <w:bottom w:val="nil"/>
                <w:right w:val="nil"/>
                <w:between w:val="nil"/>
              </w:pBdr>
              <w:spacing w:before="0" w:after="120" w:line="264" w:lineRule="auto"/>
              <w:ind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Capacity buildi</w:t>
            </w:r>
            <w:r>
              <w:rPr>
                <w:color w:val="000000"/>
              </w:rPr>
              <w:t xml:space="preserve">ng for regional development councils on health. </w:t>
            </w:r>
          </w:p>
        </w:tc>
      </w:tr>
      <w:tr w:rsidR="00155420" w14:paraId="121C01F5"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tcPr>
          <w:p w14:paraId="302001CC"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Amount requested</w:t>
            </w:r>
          </w:p>
        </w:tc>
        <w:tc>
          <w:tcPr>
            <w:tcW w:w="12465" w:type="dxa"/>
          </w:tcPr>
          <w:p w14:paraId="56F1B790" w14:textId="77730B30"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sidRPr="00D65121">
              <w:rPr>
                <w:color w:val="000000"/>
              </w:rPr>
              <w:t>USD 977,32</w:t>
            </w:r>
            <w:r w:rsidR="00D65121">
              <w:rPr>
                <w:color w:val="000000"/>
              </w:rPr>
              <w:t>7</w:t>
            </w:r>
          </w:p>
        </w:tc>
      </w:tr>
      <w:tr w:rsidR="00155420" w14:paraId="655A5A11"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tcPr>
          <w:p w14:paraId="5783C408"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Expected outcome</w:t>
            </w:r>
          </w:p>
        </w:tc>
        <w:tc>
          <w:tcPr>
            <w:tcW w:w="12465" w:type="dxa"/>
          </w:tcPr>
          <w:p w14:paraId="7504514D" w14:textId="77777777" w:rsidR="00155420" w:rsidRDefault="00E84F93">
            <w:pPr>
              <w:keepNext w:val="0"/>
              <w:numPr>
                <w:ilvl w:val="0"/>
                <w:numId w:val="2"/>
              </w:numPr>
              <w:pBdr>
                <w:top w:val="nil"/>
                <w:left w:val="nil"/>
                <w:bottom w:val="nil"/>
                <w:right w:val="nil"/>
                <w:between w:val="nil"/>
              </w:pBdr>
              <w:spacing w:before="0" w:after="120" w:line="264" w:lineRule="auto"/>
              <w:ind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120 LHBs capacitated on technical, financial, and managerial integration of its local health system.  </w:t>
            </w:r>
          </w:p>
          <w:p w14:paraId="41AFF47A" w14:textId="77777777" w:rsidR="00155420" w:rsidRDefault="00E84F93">
            <w:pPr>
              <w:keepNext w:val="0"/>
              <w:numPr>
                <w:ilvl w:val="0"/>
                <w:numId w:val="2"/>
              </w:numPr>
              <w:pBdr>
                <w:top w:val="nil"/>
                <w:left w:val="nil"/>
                <w:bottom w:val="nil"/>
                <w:right w:val="nil"/>
                <w:between w:val="nil"/>
              </w:pBdr>
              <w:spacing w:before="0" w:after="120" w:line="264" w:lineRule="auto"/>
              <w:ind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All UHC IS on Region 4B achieving UHC maturity index targets on time. </w:t>
            </w:r>
          </w:p>
          <w:p w14:paraId="1642CFC1" w14:textId="77777777" w:rsidR="00155420" w:rsidRDefault="00E84F93">
            <w:pPr>
              <w:keepNext w:val="0"/>
              <w:numPr>
                <w:ilvl w:val="0"/>
                <w:numId w:val="2"/>
              </w:numPr>
              <w:pBdr>
                <w:top w:val="nil"/>
                <w:left w:val="nil"/>
                <w:bottom w:val="nil"/>
                <w:right w:val="nil"/>
                <w:between w:val="nil"/>
              </w:pBdr>
              <w:spacing w:before="0" w:after="120" w:line="264" w:lineRule="auto"/>
              <w:ind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Effective and efficient DOH-DPCB performance, particularly for TB, HIV, and Malaria. </w:t>
            </w:r>
          </w:p>
          <w:p w14:paraId="1C28D404" w14:textId="77777777" w:rsidR="00155420" w:rsidRDefault="00E84F93">
            <w:pPr>
              <w:keepNext w:val="0"/>
              <w:numPr>
                <w:ilvl w:val="0"/>
                <w:numId w:val="2"/>
              </w:numPr>
              <w:pBdr>
                <w:top w:val="nil"/>
                <w:left w:val="nil"/>
                <w:bottom w:val="nil"/>
                <w:right w:val="nil"/>
                <w:between w:val="nil"/>
              </w:pBdr>
              <w:spacing w:before="0" w:after="120" w:line="264" w:lineRule="auto"/>
              <w:ind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LHB handbook developed and disseminated.</w:t>
            </w:r>
          </w:p>
        </w:tc>
      </w:tr>
      <w:tr w:rsidR="00155420" w14:paraId="4EB2F8FC"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shd w:val="clear" w:color="auto" w:fill="ABB7FC"/>
          </w:tcPr>
          <w:p w14:paraId="563E3C5B"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color w:val="000000"/>
                <w:sz w:val="24"/>
                <w:szCs w:val="24"/>
              </w:rPr>
              <w:lastRenderedPageBreak/>
              <w:t>Module #8</w:t>
            </w:r>
          </w:p>
        </w:tc>
        <w:tc>
          <w:tcPr>
            <w:tcW w:w="12465" w:type="dxa"/>
            <w:shd w:val="clear" w:color="auto" w:fill="ABB7FC"/>
          </w:tcPr>
          <w:p w14:paraId="2C9E4467"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b/>
                <w:color w:val="000000"/>
                <w:sz w:val="24"/>
                <w:szCs w:val="24"/>
              </w:rPr>
            </w:pPr>
            <w:r>
              <w:rPr>
                <w:b/>
                <w:color w:val="000000"/>
                <w:sz w:val="24"/>
                <w:szCs w:val="24"/>
              </w:rPr>
              <w:t xml:space="preserve">RSSH: Community Systems Strengthening     </w:t>
            </w:r>
          </w:p>
        </w:tc>
      </w:tr>
      <w:tr w:rsidR="00155420" w14:paraId="4EEFE255"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vMerge w:val="restart"/>
          </w:tcPr>
          <w:p w14:paraId="4306C605"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Intervention(s)</w:t>
            </w:r>
          </w:p>
        </w:tc>
        <w:tc>
          <w:tcPr>
            <w:tcW w:w="12465" w:type="dxa"/>
          </w:tcPr>
          <w:p w14:paraId="75E78BEC"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Community-Led Monitoring </w:t>
            </w:r>
            <w:r>
              <w:rPr>
                <w:rFonts w:ascii="MS Gothic" w:eastAsia="MS Gothic" w:hAnsi="MS Gothic" w:cs="MS Gothic"/>
                <w:color w:val="000000"/>
              </w:rPr>
              <w:t>☐</w:t>
            </w:r>
            <w:r>
              <w:rPr>
                <w:color w:val="000000"/>
              </w:rPr>
              <w:t xml:space="preserve"> New, </w:t>
            </w:r>
            <w:r>
              <w:rPr>
                <w:rFonts w:ascii="MS Gothic" w:eastAsia="MS Gothic" w:hAnsi="MS Gothic" w:cs="MS Gothic"/>
                <w:color w:val="000000"/>
              </w:rPr>
              <w:t>☒</w:t>
            </w:r>
            <w:r>
              <w:rPr>
                <w:color w:val="000000"/>
              </w:rPr>
              <w:t xml:space="preserve"> Scale-up, </w:t>
            </w:r>
            <w:r>
              <w:rPr>
                <w:rFonts w:ascii="MS Gothic" w:eastAsia="MS Gothic" w:hAnsi="MS Gothic" w:cs="MS Gothic"/>
                <w:color w:val="000000"/>
              </w:rPr>
              <w:t>☐</w:t>
            </w:r>
            <w:r>
              <w:rPr>
                <w:color w:val="000000"/>
              </w:rPr>
              <w:t xml:space="preserve"> Continuation, or </w:t>
            </w:r>
            <w:r>
              <w:rPr>
                <w:rFonts w:ascii="MS Gothic" w:eastAsia="MS Gothic" w:hAnsi="MS Gothic" w:cs="MS Gothic"/>
                <w:color w:val="000000"/>
              </w:rPr>
              <w:t>☐</w:t>
            </w:r>
            <w:r>
              <w:rPr>
                <w:color w:val="000000"/>
              </w:rPr>
              <w:t xml:space="preserve"> Scale-down</w:t>
            </w:r>
          </w:p>
        </w:tc>
      </w:tr>
      <w:tr w:rsidR="00155420" w14:paraId="7B0504C6"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vMerge/>
          </w:tcPr>
          <w:p w14:paraId="63CAAB9F" w14:textId="77777777" w:rsidR="00155420" w:rsidRDefault="00155420">
            <w:pPr>
              <w:keepNext w:val="0"/>
              <w:widowControl w:val="0"/>
              <w:pBdr>
                <w:top w:val="nil"/>
                <w:left w:val="nil"/>
                <w:bottom w:val="nil"/>
                <w:right w:val="nil"/>
                <w:between w:val="nil"/>
              </w:pBdr>
              <w:spacing w:before="0" w:line="276" w:lineRule="auto"/>
              <w:ind w:left="0" w:right="0"/>
              <w:rPr>
                <w:color w:val="000000"/>
              </w:rPr>
            </w:pPr>
          </w:p>
        </w:tc>
        <w:tc>
          <w:tcPr>
            <w:tcW w:w="12465" w:type="dxa"/>
          </w:tcPr>
          <w:p w14:paraId="7126DD4F"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Community-led research and advocacy </w:t>
            </w:r>
            <w:r>
              <w:rPr>
                <w:rFonts w:ascii="MS Gothic" w:eastAsia="MS Gothic" w:hAnsi="MS Gothic" w:cs="MS Gothic"/>
                <w:color w:val="000000"/>
              </w:rPr>
              <w:t>☐</w:t>
            </w:r>
            <w:r>
              <w:rPr>
                <w:color w:val="000000"/>
              </w:rPr>
              <w:t xml:space="preserve"> New, </w:t>
            </w:r>
            <w:r>
              <w:rPr>
                <w:rFonts w:ascii="MS Gothic" w:eastAsia="MS Gothic" w:hAnsi="MS Gothic" w:cs="MS Gothic"/>
                <w:color w:val="000000"/>
              </w:rPr>
              <w:t>☒</w:t>
            </w:r>
            <w:r>
              <w:rPr>
                <w:color w:val="000000"/>
              </w:rPr>
              <w:t xml:space="preserve"> Scale-up, </w:t>
            </w:r>
            <w:r>
              <w:rPr>
                <w:rFonts w:ascii="MS Gothic" w:eastAsia="MS Gothic" w:hAnsi="MS Gothic" w:cs="MS Gothic"/>
                <w:color w:val="000000"/>
              </w:rPr>
              <w:t>☐</w:t>
            </w:r>
            <w:r>
              <w:rPr>
                <w:color w:val="000000"/>
              </w:rPr>
              <w:t xml:space="preserve"> Continuation, or </w:t>
            </w:r>
            <w:r>
              <w:rPr>
                <w:rFonts w:ascii="MS Gothic" w:eastAsia="MS Gothic" w:hAnsi="MS Gothic" w:cs="MS Gothic"/>
                <w:color w:val="000000"/>
              </w:rPr>
              <w:t>☐</w:t>
            </w:r>
            <w:r>
              <w:rPr>
                <w:color w:val="000000"/>
              </w:rPr>
              <w:t xml:space="preserve"> Scale-down</w:t>
            </w:r>
          </w:p>
        </w:tc>
      </w:tr>
      <w:tr w:rsidR="00155420" w14:paraId="21F83379"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vMerge/>
          </w:tcPr>
          <w:p w14:paraId="0A95217C" w14:textId="77777777" w:rsidR="00155420" w:rsidRDefault="00155420">
            <w:pPr>
              <w:keepNext w:val="0"/>
              <w:widowControl w:val="0"/>
              <w:pBdr>
                <w:top w:val="nil"/>
                <w:left w:val="nil"/>
                <w:bottom w:val="nil"/>
                <w:right w:val="nil"/>
                <w:between w:val="nil"/>
              </w:pBdr>
              <w:spacing w:before="0" w:line="276" w:lineRule="auto"/>
              <w:ind w:left="0" w:right="0"/>
              <w:rPr>
                <w:color w:val="000000"/>
              </w:rPr>
            </w:pPr>
          </w:p>
        </w:tc>
        <w:tc>
          <w:tcPr>
            <w:tcW w:w="12465" w:type="dxa"/>
          </w:tcPr>
          <w:p w14:paraId="163247C6"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color w:val="000000"/>
                <w:sz w:val="24"/>
                <w:szCs w:val="24"/>
              </w:rPr>
              <w:t xml:space="preserve">Community engagement, linkages and coordination </w:t>
            </w:r>
            <w:r>
              <w:rPr>
                <w:rFonts w:ascii="MS Gothic" w:eastAsia="MS Gothic" w:hAnsi="MS Gothic" w:cs="MS Gothic"/>
                <w:color w:val="000000"/>
              </w:rPr>
              <w:t>☒</w:t>
            </w:r>
            <w:r>
              <w:rPr>
                <w:color w:val="000000"/>
              </w:rPr>
              <w:t xml:space="preserve"> New, </w:t>
            </w:r>
            <w:r>
              <w:rPr>
                <w:rFonts w:ascii="MS Gothic" w:eastAsia="MS Gothic" w:hAnsi="MS Gothic" w:cs="MS Gothic"/>
                <w:color w:val="000000"/>
              </w:rPr>
              <w:t>☐</w:t>
            </w:r>
            <w:r>
              <w:rPr>
                <w:color w:val="000000"/>
              </w:rPr>
              <w:t xml:space="preserve"> Scale-up, </w:t>
            </w:r>
            <w:r>
              <w:rPr>
                <w:rFonts w:ascii="MS Gothic" w:eastAsia="MS Gothic" w:hAnsi="MS Gothic" w:cs="MS Gothic"/>
                <w:color w:val="000000"/>
              </w:rPr>
              <w:t>☐</w:t>
            </w:r>
            <w:r>
              <w:rPr>
                <w:color w:val="000000"/>
              </w:rPr>
              <w:t xml:space="preserve"> Continuation, or </w:t>
            </w:r>
            <w:r>
              <w:rPr>
                <w:rFonts w:ascii="MS Gothic" w:eastAsia="MS Gothic" w:hAnsi="MS Gothic" w:cs="MS Gothic"/>
                <w:color w:val="000000"/>
              </w:rPr>
              <w:t>☐</w:t>
            </w:r>
            <w:r>
              <w:rPr>
                <w:color w:val="000000"/>
              </w:rPr>
              <w:t xml:space="preserve"> Scale-down</w:t>
            </w:r>
          </w:p>
        </w:tc>
      </w:tr>
      <w:tr w:rsidR="00155420" w14:paraId="024536F8"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tcPr>
          <w:p w14:paraId="49DB79CE"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Population, geographies, and barriers addressed</w:t>
            </w:r>
          </w:p>
        </w:tc>
        <w:tc>
          <w:tcPr>
            <w:tcW w:w="12465" w:type="dxa"/>
          </w:tcPr>
          <w:p w14:paraId="03DCAD4E"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b/>
                <w:color w:val="000000"/>
              </w:rPr>
              <w:t>Population:</w:t>
            </w:r>
            <w:r>
              <w:rPr>
                <w:color w:val="000000"/>
              </w:rPr>
              <w:t xml:space="preserve"> CBOs and CSOs </w:t>
            </w:r>
          </w:p>
          <w:p w14:paraId="43F1382B"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b/>
                <w:color w:val="000000"/>
              </w:rPr>
              <w:t>Geography:</w:t>
            </w:r>
            <w:r>
              <w:rPr>
                <w:color w:val="000000"/>
              </w:rPr>
              <w:t xml:space="preserve"> Nationwide </w:t>
            </w:r>
          </w:p>
          <w:p w14:paraId="18049141"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b/>
                <w:color w:val="000000"/>
              </w:rPr>
              <w:t>Barriers:</w:t>
            </w:r>
            <w:r>
              <w:rPr>
                <w:color w:val="000000"/>
              </w:rPr>
              <w:t xml:space="preserve">   11 out of 17 regions with no CLM mechanism established. Weak KAP voice in health governance and planning, lacking champion advocate to push for a better quality of services and increased domestic investment. </w:t>
            </w:r>
          </w:p>
        </w:tc>
      </w:tr>
      <w:tr w:rsidR="00155420" w14:paraId="790E7320"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tcPr>
          <w:p w14:paraId="345A7F18"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lastRenderedPageBreak/>
              <w:t>List of activities</w:t>
            </w:r>
          </w:p>
        </w:tc>
        <w:tc>
          <w:tcPr>
            <w:tcW w:w="12465" w:type="dxa"/>
          </w:tcPr>
          <w:p w14:paraId="0ECA7BA3"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ongoing GFTB grant 2021-2023 includes establishing CLM systems for TB in six regions. It is currently in a development phase and will be assessed &amp; enhanced by the end of 2023, to be scaled up in 2024-2026 for nationwide coverage.  </w:t>
            </w:r>
          </w:p>
          <w:p w14:paraId="08F5E460"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end goal is to </w:t>
            </w:r>
            <w:r>
              <w:rPr>
                <w:color w:val="000000"/>
              </w:rPr>
              <w:t>establish a multi-disease CLM.  However, given that the CLM for TB is under development and the CLM for HIV is also changing, it is unlikely that the CLM for TB-HIV can be integrated within 2024-2026. The vision for integration is to have a CLM mechanism t</w:t>
            </w:r>
            <w:r>
              <w:rPr>
                <w:color w:val="000000"/>
              </w:rPr>
              <w:t xml:space="preserve">hat will not be disease-specific, with standardized tools and common oversight bodies. </w:t>
            </w:r>
          </w:p>
          <w:p w14:paraId="5C46E747" w14:textId="02B8ED8C"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The TB CLM mechanism will be engaging one CLM team per region. CLM activities will be done at the facility level. Using standardized tools, data will be regularly colle</w:t>
            </w:r>
            <w:r>
              <w:rPr>
                <w:color w:val="000000"/>
              </w:rPr>
              <w:t xml:space="preserve">cted and reported to the DOH regional office for action. The DOH regional office will </w:t>
            </w:r>
            <w:r w:rsidR="00BE4AFD">
              <w:rPr>
                <w:color w:val="000000"/>
              </w:rPr>
              <w:t>discuss and address</w:t>
            </w:r>
            <w:r>
              <w:rPr>
                <w:color w:val="000000"/>
              </w:rPr>
              <w:t xml:space="preserve"> concerns with the local government units. For findings needing legal aid, the CLM teams will have access to retainer lawyers that are part of the redr</w:t>
            </w:r>
            <w:r>
              <w:rPr>
                <w:color w:val="000000"/>
              </w:rPr>
              <w:t xml:space="preserve">ess mechanisms in place.    </w:t>
            </w:r>
          </w:p>
          <w:p w14:paraId="272375AC"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FR will also further scale up the identification and capacity building of TB champions to (1) represent the KAP in health governance and planning at the national and local levels, (2) advocate for a better quality of services, (3) advocate for higher </w:t>
            </w:r>
            <w:r>
              <w:rPr>
                <w:color w:val="000000"/>
              </w:rPr>
              <w:t xml:space="preserve">domestic funding for TB, and (4) communicate at the national and local levels to address human rights and gender-related barriers in accessing quality TB care.      </w:t>
            </w:r>
          </w:p>
          <w:p w14:paraId="16660A06"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u w:val="single"/>
              </w:rPr>
            </w:pPr>
            <w:r>
              <w:rPr>
                <w:color w:val="000000"/>
                <w:u w:val="single"/>
              </w:rPr>
              <w:t>Community-Led Monitoring:</w:t>
            </w:r>
          </w:p>
          <w:p w14:paraId="639B470B" w14:textId="77777777" w:rsidR="00155420" w:rsidRDefault="00E84F93">
            <w:pPr>
              <w:keepNext w:val="0"/>
              <w:numPr>
                <w:ilvl w:val="0"/>
                <w:numId w:val="16"/>
              </w:numPr>
              <w:pBdr>
                <w:top w:val="nil"/>
                <w:left w:val="nil"/>
                <w:bottom w:val="nil"/>
                <w:right w:val="nil"/>
                <w:between w:val="nil"/>
              </w:pBdr>
              <w:spacing w:before="0" w:after="120" w:line="264" w:lineRule="auto"/>
              <w:ind w:right="0"/>
              <w:cnfStyle w:val="000000100000" w:firstRow="0" w:lastRow="0" w:firstColumn="0" w:lastColumn="0" w:oddVBand="0" w:evenVBand="0" w:oddHBand="1" w:evenHBand="0" w:firstRowFirstColumn="0" w:firstRowLastColumn="0" w:lastRowFirstColumn="0" w:lastRowLastColumn="0"/>
              <w:rPr>
                <w:color w:val="000000"/>
              </w:rPr>
            </w:pPr>
            <w:r>
              <w:rPr>
                <w:i/>
                <w:color w:val="000000"/>
              </w:rPr>
              <w:t xml:space="preserve">Establishment and operationalization of CLM mechanisms in 11 </w:t>
            </w:r>
            <w:r>
              <w:rPr>
                <w:i/>
                <w:color w:val="000000"/>
              </w:rPr>
              <w:t>regions.</w:t>
            </w:r>
          </w:p>
          <w:p w14:paraId="57015A0B" w14:textId="77777777" w:rsidR="00155420" w:rsidRDefault="00E84F93">
            <w:pPr>
              <w:keepNext w:val="0"/>
              <w:numPr>
                <w:ilvl w:val="0"/>
                <w:numId w:val="16"/>
              </w:numPr>
              <w:pBdr>
                <w:top w:val="nil"/>
                <w:left w:val="nil"/>
                <w:bottom w:val="nil"/>
                <w:right w:val="nil"/>
                <w:between w:val="nil"/>
              </w:pBdr>
              <w:spacing w:before="0" w:after="120" w:line="264" w:lineRule="auto"/>
              <w:ind w:right="0"/>
              <w:cnfStyle w:val="000000100000" w:firstRow="0" w:lastRow="0" w:firstColumn="0" w:lastColumn="0" w:oddVBand="0" w:evenVBand="0" w:oddHBand="1" w:evenHBand="0" w:firstRowFirstColumn="0" w:firstRowLastColumn="0" w:lastRowFirstColumn="0" w:lastRowLastColumn="0"/>
              <w:rPr>
                <w:color w:val="000000"/>
              </w:rPr>
            </w:pPr>
            <w:r>
              <w:rPr>
                <w:i/>
                <w:color w:val="000000"/>
              </w:rPr>
              <w:t xml:space="preserve">Support CLM advocacy and communication activities for the 17 regions.  </w:t>
            </w:r>
          </w:p>
          <w:p w14:paraId="69E84B29"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u w:val="single"/>
              </w:rPr>
            </w:pPr>
            <w:r>
              <w:rPr>
                <w:color w:val="000000"/>
                <w:u w:val="single"/>
              </w:rPr>
              <w:t>Community-led research and advocacy:</w:t>
            </w:r>
          </w:p>
          <w:p w14:paraId="0F9844B5" w14:textId="77777777" w:rsidR="00155420" w:rsidRDefault="00E84F93">
            <w:pPr>
              <w:keepNext w:val="0"/>
              <w:numPr>
                <w:ilvl w:val="0"/>
                <w:numId w:val="16"/>
              </w:numPr>
              <w:pBdr>
                <w:top w:val="nil"/>
                <w:left w:val="nil"/>
                <w:bottom w:val="nil"/>
                <w:right w:val="nil"/>
                <w:between w:val="nil"/>
              </w:pBdr>
              <w:spacing w:before="0" w:after="120" w:line="264" w:lineRule="auto"/>
              <w:ind w:right="0"/>
              <w:cnfStyle w:val="000000100000" w:firstRow="0" w:lastRow="0" w:firstColumn="0" w:lastColumn="0" w:oddVBand="0" w:evenVBand="0" w:oddHBand="1" w:evenHBand="0" w:firstRowFirstColumn="0" w:firstRowLastColumn="0" w:lastRowFirstColumn="0" w:lastRowLastColumn="0"/>
              <w:rPr>
                <w:color w:val="000000"/>
              </w:rPr>
            </w:pPr>
            <w:r>
              <w:rPr>
                <w:i/>
                <w:color w:val="000000"/>
              </w:rPr>
              <w:t xml:space="preserve">Capacity building of TB champions (advocates/survivors) for program advocacy and communication. </w:t>
            </w:r>
          </w:p>
          <w:p w14:paraId="5F907AF1"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sz w:val="24"/>
                <w:szCs w:val="24"/>
                <w:u w:val="single"/>
              </w:rPr>
            </w:pPr>
            <w:r>
              <w:rPr>
                <w:color w:val="000000"/>
                <w:sz w:val="24"/>
                <w:szCs w:val="24"/>
                <w:u w:val="single"/>
              </w:rPr>
              <w:t>Community engagement, linkages, and coord</w:t>
            </w:r>
            <w:r>
              <w:rPr>
                <w:color w:val="000000"/>
                <w:sz w:val="24"/>
                <w:szCs w:val="24"/>
                <w:u w:val="single"/>
              </w:rPr>
              <w:t>ination</w:t>
            </w:r>
          </w:p>
          <w:p w14:paraId="44C94951" w14:textId="77777777" w:rsidR="00155420" w:rsidRDefault="00E84F93">
            <w:pPr>
              <w:keepNext w:val="0"/>
              <w:numPr>
                <w:ilvl w:val="0"/>
                <w:numId w:val="30"/>
              </w:numPr>
              <w:pBdr>
                <w:top w:val="nil"/>
                <w:left w:val="nil"/>
                <w:bottom w:val="nil"/>
                <w:right w:val="nil"/>
                <w:between w:val="nil"/>
              </w:pBdr>
              <w:spacing w:before="0" w:after="120" w:line="264" w:lineRule="auto"/>
              <w:ind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Support improved selection of CSO representation and active participation in the LHB</w:t>
            </w:r>
          </w:p>
        </w:tc>
      </w:tr>
      <w:tr w:rsidR="00155420" w14:paraId="7D0F9DF7"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tcPr>
          <w:p w14:paraId="3A639680"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Amount requested</w:t>
            </w:r>
          </w:p>
        </w:tc>
        <w:tc>
          <w:tcPr>
            <w:tcW w:w="12465" w:type="dxa"/>
          </w:tcPr>
          <w:p w14:paraId="19917A5A" w14:textId="17390D0D"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sidRPr="00D65121">
              <w:rPr>
                <w:color w:val="000000"/>
              </w:rPr>
              <w:t>USD 387,22</w:t>
            </w:r>
            <w:r w:rsidR="00D65121" w:rsidRPr="00D65121">
              <w:rPr>
                <w:color w:val="000000"/>
              </w:rPr>
              <w:t>8</w:t>
            </w:r>
          </w:p>
        </w:tc>
      </w:tr>
      <w:tr w:rsidR="00155420" w14:paraId="1DB70E3C"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tcPr>
          <w:p w14:paraId="5B2C13AD"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Expected outcome</w:t>
            </w:r>
          </w:p>
        </w:tc>
        <w:tc>
          <w:tcPr>
            <w:tcW w:w="12465" w:type="dxa"/>
          </w:tcPr>
          <w:p w14:paraId="44FBB2EF" w14:textId="77777777" w:rsidR="00155420" w:rsidRDefault="00E84F93">
            <w:pPr>
              <w:keepNext w:val="0"/>
              <w:numPr>
                <w:ilvl w:val="0"/>
                <w:numId w:val="2"/>
              </w:numPr>
              <w:pBdr>
                <w:top w:val="nil"/>
                <w:left w:val="nil"/>
                <w:bottom w:val="nil"/>
                <w:right w:val="nil"/>
                <w:between w:val="nil"/>
              </w:pBdr>
              <w:spacing w:before="0" w:after="120" w:line="264" w:lineRule="auto"/>
              <w:ind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All 17 regions with operational CLM mechanisms in place.</w:t>
            </w:r>
          </w:p>
          <w:p w14:paraId="070C418F" w14:textId="77777777" w:rsidR="00155420" w:rsidRDefault="00E84F93">
            <w:pPr>
              <w:keepNext w:val="0"/>
              <w:numPr>
                <w:ilvl w:val="0"/>
                <w:numId w:val="2"/>
              </w:numPr>
              <w:pBdr>
                <w:top w:val="nil"/>
                <w:left w:val="nil"/>
                <w:bottom w:val="nil"/>
                <w:right w:val="nil"/>
                <w:between w:val="nil"/>
              </w:pBdr>
              <w:spacing w:before="0" w:after="120" w:line="264" w:lineRule="auto"/>
              <w:ind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CLM advocacy and communication activities conducted </w:t>
            </w:r>
            <w:r>
              <w:rPr>
                <w:color w:val="000000"/>
              </w:rPr>
              <w:t>nationwide.</w:t>
            </w:r>
          </w:p>
          <w:p w14:paraId="7C3BD068" w14:textId="77777777" w:rsidR="00155420" w:rsidRDefault="00E84F93">
            <w:pPr>
              <w:keepNext w:val="0"/>
              <w:numPr>
                <w:ilvl w:val="0"/>
                <w:numId w:val="2"/>
              </w:numPr>
              <w:pBdr>
                <w:top w:val="nil"/>
                <w:left w:val="nil"/>
                <w:bottom w:val="nil"/>
                <w:right w:val="nil"/>
                <w:between w:val="nil"/>
              </w:pBdr>
              <w:spacing w:before="0" w:after="120" w:line="264" w:lineRule="auto"/>
              <w:ind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Additional 17 TB champions trained, one per region.  </w:t>
            </w:r>
          </w:p>
        </w:tc>
      </w:tr>
      <w:tr w:rsidR="00155420" w14:paraId="662F5D06"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shd w:val="clear" w:color="auto" w:fill="ABB7FC"/>
          </w:tcPr>
          <w:p w14:paraId="12A9CF5E"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color w:val="000000"/>
                <w:sz w:val="24"/>
                <w:szCs w:val="24"/>
              </w:rPr>
              <w:t>Module #9</w:t>
            </w:r>
          </w:p>
        </w:tc>
        <w:tc>
          <w:tcPr>
            <w:tcW w:w="12465" w:type="dxa"/>
            <w:shd w:val="clear" w:color="auto" w:fill="ABB7FC"/>
          </w:tcPr>
          <w:p w14:paraId="17850C23"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b/>
                <w:color w:val="000000"/>
                <w:sz w:val="24"/>
                <w:szCs w:val="24"/>
              </w:rPr>
            </w:pPr>
            <w:r>
              <w:rPr>
                <w:b/>
                <w:color w:val="000000"/>
                <w:sz w:val="24"/>
                <w:szCs w:val="24"/>
              </w:rPr>
              <w:t xml:space="preserve">RSSH: Health Financing Systems      </w:t>
            </w:r>
          </w:p>
        </w:tc>
      </w:tr>
      <w:tr w:rsidR="00155420" w14:paraId="159912B5"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vMerge w:val="restart"/>
          </w:tcPr>
          <w:p w14:paraId="4210A5DE"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lastRenderedPageBreak/>
              <w:t>Intervention(s)</w:t>
            </w:r>
          </w:p>
        </w:tc>
        <w:tc>
          <w:tcPr>
            <w:tcW w:w="12465" w:type="dxa"/>
          </w:tcPr>
          <w:p w14:paraId="13B804B3" w14:textId="479CF779"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Health Financing Strategies and Planning </w:t>
            </w:r>
            <w:r>
              <w:rPr>
                <w:rFonts w:ascii="MS Gothic" w:eastAsia="MS Gothic" w:hAnsi="MS Gothic" w:cs="MS Gothic"/>
                <w:color w:val="000000"/>
              </w:rPr>
              <w:t>☒</w:t>
            </w:r>
            <w:r>
              <w:rPr>
                <w:color w:val="000000"/>
              </w:rPr>
              <w:t xml:space="preserve"> New, </w:t>
            </w:r>
            <w:r>
              <w:rPr>
                <w:rFonts w:ascii="MS Gothic" w:eastAsia="MS Gothic" w:hAnsi="MS Gothic" w:cs="MS Gothic"/>
                <w:color w:val="000000"/>
              </w:rPr>
              <w:t>☐</w:t>
            </w:r>
            <w:r>
              <w:rPr>
                <w:color w:val="000000"/>
              </w:rPr>
              <w:t xml:space="preserve"> Scale-up, </w:t>
            </w:r>
            <w:r>
              <w:rPr>
                <w:rFonts w:ascii="MS Gothic" w:eastAsia="MS Gothic" w:hAnsi="MS Gothic" w:cs="MS Gothic"/>
                <w:color w:val="000000"/>
              </w:rPr>
              <w:t>☐</w:t>
            </w:r>
            <w:r>
              <w:rPr>
                <w:color w:val="000000"/>
              </w:rPr>
              <w:t xml:space="preserve"> Continuation, or </w:t>
            </w:r>
            <w:r>
              <w:rPr>
                <w:rFonts w:ascii="MS Gothic" w:eastAsia="MS Gothic" w:hAnsi="MS Gothic" w:cs="MS Gothic"/>
                <w:color w:val="000000"/>
              </w:rPr>
              <w:t>☐</w:t>
            </w:r>
            <w:r>
              <w:rPr>
                <w:color w:val="000000"/>
              </w:rPr>
              <w:t xml:space="preserve"> Scale-down</w:t>
            </w:r>
          </w:p>
        </w:tc>
      </w:tr>
      <w:tr w:rsidR="00155420" w14:paraId="737B199C"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vMerge/>
          </w:tcPr>
          <w:p w14:paraId="2C6F6EC4" w14:textId="77777777" w:rsidR="00155420" w:rsidRDefault="00155420">
            <w:pPr>
              <w:keepNext w:val="0"/>
              <w:widowControl w:val="0"/>
              <w:pBdr>
                <w:top w:val="nil"/>
                <w:left w:val="nil"/>
                <w:bottom w:val="nil"/>
                <w:right w:val="nil"/>
                <w:between w:val="nil"/>
              </w:pBdr>
              <w:spacing w:before="0" w:line="276" w:lineRule="auto"/>
              <w:ind w:left="0" w:right="0"/>
              <w:rPr>
                <w:color w:val="000000"/>
              </w:rPr>
            </w:pPr>
          </w:p>
        </w:tc>
        <w:tc>
          <w:tcPr>
            <w:tcW w:w="12465" w:type="dxa"/>
          </w:tcPr>
          <w:p w14:paraId="49F913D8"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Social Contracting: </w:t>
            </w:r>
            <w:r>
              <w:rPr>
                <w:rFonts w:ascii="MS Gothic" w:eastAsia="MS Gothic" w:hAnsi="MS Gothic" w:cs="MS Gothic"/>
                <w:color w:val="000000"/>
              </w:rPr>
              <w:t>☒</w:t>
            </w:r>
            <w:r>
              <w:rPr>
                <w:color w:val="000000"/>
              </w:rPr>
              <w:t xml:space="preserve"> New, </w:t>
            </w:r>
            <w:r>
              <w:rPr>
                <w:rFonts w:ascii="MS Gothic" w:eastAsia="MS Gothic" w:hAnsi="MS Gothic" w:cs="MS Gothic"/>
                <w:color w:val="000000"/>
              </w:rPr>
              <w:t>☐</w:t>
            </w:r>
            <w:r>
              <w:rPr>
                <w:color w:val="000000"/>
              </w:rPr>
              <w:t xml:space="preserve"> Scale-up, </w:t>
            </w:r>
            <w:r>
              <w:rPr>
                <w:rFonts w:ascii="MS Gothic" w:eastAsia="MS Gothic" w:hAnsi="MS Gothic" w:cs="MS Gothic"/>
                <w:color w:val="000000"/>
              </w:rPr>
              <w:t>☐</w:t>
            </w:r>
            <w:r>
              <w:rPr>
                <w:color w:val="000000"/>
              </w:rPr>
              <w:t xml:space="preserve"> Continuation, or </w:t>
            </w:r>
            <w:r>
              <w:rPr>
                <w:rFonts w:ascii="MS Gothic" w:eastAsia="MS Gothic" w:hAnsi="MS Gothic" w:cs="MS Gothic"/>
                <w:color w:val="000000"/>
              </w:rPr>
              <w:t>☐</w:t>
            </w:r>
            <w:r>
              <w:rPr>
                <w:color w:val="000000"/>
              </w:rPr>
              <w:t xml:space="preserve"> Scale-down</w:t>
            </w:r>
          </w:p>
        </w:tc>
      </w:tr>
      <w:tr w:rsidR="00155420" w14:paraId="1044B8A9"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tcPr>
          <w:p w14:paraId="54927533"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Population, geographies, and barriers addressed</w:t>
            </w:r>
          </w:p>
        </w:tc>
        <w:tc>
          <w:tcPr>
            <w:tcW w:w="12465" w:type="dxa"/>
          </w:tcPr>
          <w:p w14:paraId="11A7055D"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b/>
                <w:color w:val="000000"/>
              </w:rPr>
              <w:t xml:space="preserve">Population: </w:t>
            </w:r>
            <w:r>
              <w:rPr>
                <w:color w:val="000000"/>
              </w:rPr>
              <w:t>Philippine Health Insurance Corporation (PhilHealth)</w:t>
            </w:r>
          </w:p>
          <w:p w14:paraId="4F858079"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b/>
                <w:color w:val="000000"/>
              </w:rPr>
              <w:t>Geography:</w:t>
            </w:r>
            <w:r>
              <w:rPr>
                <w:color w:val="000000"/>
              </w:rPr>
              <w:t xml:space="preserve"> PhilHealth central office</w:t>
            </w:r>
          </w:p>
          <w:p w14:paraId="4F9E8AEE" w14:textId="5A515BDA"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b/>
                <w:color w:val="000000"/>
              </w:rPr>
              <w:t>Barriers:</w:t>
            </w:r>
            <w:r>
              <w:rPr>
                <w:color w:val="000000"/>
              </w:rPr>
              <w:t xml:space="preserve"> Most public health facilities have stopped reimbursing for the TB, HIV, and Malaria reimbursement packages of PHIC due to difficulty in the processes related to accreditation, reimbursement, reimbursement tracking, and reimbursement utilization. Several f</w:t>
            </w:r>
            <w:r>
              <w:rPr>
                <w:color w:val="000000"/>
              </w:rPr>
              <w:t xml:space="preserve">acilities expressed the need for additional staff to perform the required </w:t>
            </w:r>
            <w:r w:rsidR="006550D6">
              <w:rPr>
                <w:color w:val="000000"/>
              </w:rPr>
              <w:t xml:space="preserve">tasks. </w:t>
            </w:r>
            <w:r>
              <w:rPr>
                <w:color w:val="000000"/>
              </w:rPr>
              <w:t xml:space="preserve">One of the significant challenges in realizing the UHC law provisions is the need for more social contracting schemes to enable public financing of private provider services. </w:t>
            </w:r>
            <w:r>
              <w:rPr>
                <w:color w:val="000000"/>
              </w:rPr>
              <w:t xml:space="preserve"> </w:t>
            </w:r>
          </w:p>
        </w:tc>
      </w:tr>
      <w:tr w:rsidR="00155420" w14:paraId="1682BB9C"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tcPr>
          <w:p w14:paraId="376CE9F6"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List of activities</w:t>
            </w:r>
          </w:p>
        </w:tc>
        <w:tc>
          <w:tcPr>
            <w:tcW w:w="12465" w:type="dxa"/>
          </w:tcPr>
          <w:p w14:paraId="68584F8B" w14:textId="77777777" w:rsidR="00155420" w:rsidRDefault="00E84F93">
            <w:pPr>
              <w:keepNext w:val="0"/>
              <w:numPr>
                <w:ilvl w:val="0"/>
                <w:numId w:val="18"/>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To address difficulties surrounding PhilHealth reimbursement, experts will be engaged to support PhilHealth review and enhance its primary care benefit packages for TB, HIV, and Malaria, simplify accreditation and reimbursement processes, and establish tra</w:t>
            </w:r>
            <w:r>
              <w:rPr>
                <w:color w:val="000000"/>
              </w:rPr>
              <w:t xml:space="preserve">cking tools for reimbursement processing and accounting utilization. </w:t>
            </w:r>
          </w:p>
          <w:p w14:paraId="1EF064C9" w14:textId="77777777" w:rsidR="00155420" w:rsidRDefault="00E84F93">
            <w:pPr>
              <w:keepNext w:val="0"/>
              <w:numPr>
                <w:ilvl w:val="0"/>
                <w:numId w:val="18"/>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To ensure facilities are aware and capacitated to access PhilHealth, support nationwide dissemination of the new PhilHealth packages and the reimbursement mechanisms. </w:t>
            </w:r>
          </w:p>
          <w:p w14:paraId="07572BF8" w14:textId="46BD7053" w:rsidR="00155420" w:rsidRDefault="00E84F93">
            <w:pPr>
              <w:keepNext w:val="0"/>
              <w:numPr>
                <w:ilvl w:val="0"/>
                <w:numId w:val="18"/>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To facilitate fina</w:t>
            </w:r>
            <w:r>
              <w:rPr>
                <w:color w:val="000000"/>
              </w:rPr>
              <w:t xml:space="preserve">ncial integration and support the development of the </w:t>
            </w:r>
            <w:r w:rsidR="00BE4AFD">
              <w:rPr>
                <w:color w:val="000000"/>
              </w:rPr>
              <w:t>particular</w:t>
            </w:r>
            <w:r>
              <w:rPr>
                <w:color w:val="000000"/>
              </w:rPr>
              <w:t xml:space="preserve"> health fund among </w:t>
            </w:r>
            <w:r w:rsidR="00B57005">
              <w:rPr>
                <w:color w:val="000000"/>
              </w:rPr>
              <w:t xml:space="preserve">the </w:t>
            </w:r>
            <w:r>
              <w:rPr>
                <w:color w:val="000000"/>
              </w:rPr>
              <w:t>C</w:t>
            </w:r>
            <w:r w:rsidR="00BA5B66">
              <w:rPr>
                <w:color w:val="000000"/>
              </w:rPr>
              <w:t>ommis</w:t>
            </w:r>
            <w:r w:rsidR="00B57005">
              <w:rPr>
                <w:color w:val="000000"/>
              </w:rPr>
              <w:t>s</w:t>
            </w:r>
            <w:r w:rsidR="00BA5B66">
              <w:rPr>
                <w:color w:val="000000"/>
              </w:rPr>
              <w:t>ion on Audit</w:t>
            </w:r>
            <w:r>
              <w:rPr>
                <w:color w:val="000000"/>
              </w:rPr>
              <w:t>, PhilHealth, D</w:t>
            </w:r>
            <w:r w:rsidR="00BA5B66">
              <w:rPr>
                <w:color w:val="000000"/>
              </w:rPr>
              <w:t>epartment of Finance</w:t>
            </w:r>
            <w:r>
              <w:rPr>
                <w:color w:val="000000"/>
              </w:rPr>
              <w:t xml:space="preserve">, and LGUs. </w:t>
            </w:r>
          </w:p>
          <w:p w14:paraId="363E7E5E" w14:textId="1D106443" w:rsidR="00155420" w:rsidRDefault="00E84F93">
            <w:pPr>
              <w:keepNext w:val="0"/>
              <w:numPr>
                <w:ilvl w:val="0"/>
                <w:numId w:val="18"/>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To help operationalize local healthcare networks, engage experts to support DOH and PhilHealth design, </w:t>
            </w:r>
            <w:r>
              <w:rPr>
                <w:color w:val="000000"/>
              </w:rPr>
              <w:t xml:space="preserve">and implement social &amp; network contracting models that can be included in the sandbox. The FR will </w:t>
            </w:r>
            <w:r w:rsidR="00BE4AFD">
              <w:rPr>
                <w:color w:val="000000"/>
              </w:rPr>
              <w:t>help</w:t>
            </w:r>
            <w:r>
              <w:rPr>
                <w:color w:val="000000"/>
              </w:rPr>
              <w:t xml:space="preserve"> </w:t>
            </w:r>
            <w:r w:rsidR="006550D6">
              <w:rPr>
                <w:color w:val="000000"/>
              </w:rPr>
              <w:t>demonstrate</w:t>
            </w:r>
            <w:r>
              <w:rPr>
                <w:color w:val="000000"/>
              </w:rPr>
              <w:t xml:space="preserve"> the models in </w:t>
            </w:r>
            <w:r w:rsidR="005C6956">
              <w:rPr>
                <w:color w:val="000000"/>
              </w:rPr>
              <w:t>region</w:t>
            </w:r>
            <w:r>
              <w:rPr>
                <w:color w:val="000000"/>
              </w:rPr>
              <w:t xml:space="preserve"> 4B UHC IS. Other international donors are also adopting other regions like USAID operating in 12 UHC IS.  Successful mo</w:t>
            </w:r>
            <w:r>
              <w:rPr>
                <w:color w:val="000000"/>
              </w:rPr>
              <w:t xml:space="preserve">dels are documented and submitted to DOH for scale-up considerations.  </w:t>
            </w:r>
          </w:p>
        </w:tc>
      </w:tr>
      <w:tr w:rsidR="00155420" w14:paraId="37CAF0C0"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tcPr>
          <w:p w14:paraId="306412E2"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Amount requested</w:t>
            </w:r>
          </w:p>
        </w:tc>
        <w:tc>
          <w:tcPr>
            <w:tcW w:w="12465" w:type="dxa"/>
          </w:tcPr>
          <w:p w14:paraId="0A353F52" w14:textId="2CD109DB"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sidRPr="00D65121">
              <w:rPr>
                <w:color w:val="000000"/>
              </w:rPr>
              <w:t>USD 818,00</w:t>
            </w:r>
            <w:r w:rsidR="00D65121" w:rsidRPr="00D65121">
              <w:rPr>
                <w:color w:val="000000"/>
              </w:rPr>
              <w:t>2</w:t>
            </w:r>
          </w:p>
        </w:tc>
      </w:tr>
      <w:tr w:rsidR="00155420" w14:paraId="593F6D44"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tcPr>
          <w:p w14:paraId="7F82C5EB"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Expected outcome</w:t>
            </w:r>
          </w:p>
        </w:tc>
        <w:tc>
          <w:tcPr>
            <w:tcW w:w="12465" w:type="dxa"/>
          </w:tcPr>
          <w:p w14:paraId="56EFD636" w14:textId="77777777" w:rsidR="00155420" w:rsidRDefault="00E84F93">
            <w:pPr>
              <w:keepNext w:val="0"/>
              <w:numPr>
                <w:ilvl w:val="0"/>
                <w:numId w:val="2"/>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Better PhilHealth packages for TB, HIV, and Malaria (across the care cascade) and inclusion in the PhilHealth Comprehensive Outpatient Benefit Package. </w:t>
            </w:r>
          </w:p>
          <w:p w14:paraId="49F9A99D" w14:textId="77777777" w:rsidR="00155420" w:rsidRDefault="00E84F93">
            <w:pPr>
              <w:keepNext w:val="0"/>
              <w:numPr>
                <w:ilvl w:val="0"/>
                <w:numId w:val="2"/>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Increased reimbursement and utilization of PhilHealth benefits packages</w:t>
            </w:r>
          </w:p>
          <w:p w14:paraId="09ECB744" w14:textId="77777777" w:rsidR="00155420" w:rsidRDefault="00E84F93">
            <w:pPr>
              <w:keepNext w:val="0"/>
              <w:numPr>
                <w:ilvl w:val="0"/>
                <w:numId w:val="2"/>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Policy recommendations on vario</w:t>
            </w:r>
            <w:r>
              <w:rPr>
                <w:color w:val="000000"/>
              </w:rPr>
              <w:t xml:space="preserve">us social contracting schemes. </w:t>
            </w:r>
          </w:p>
        </w:tc>
      </w:tr>
      <w:tr w:rsidR="00155420" w14:paraId="1DBAEDB2"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shd w:val="clear" w:color="auto" w:fill="ABB7FC"/>
          </w:tcPr>
          <w:p w14:paraId="714FA111"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color w:val="000000"/>
                <w:sz w:val="24"/>
                <w:szCs w:val="24"/>
              </w:rPr>
              <w:t>Module #10</w:t>
            </w:r>
          </w:p>
        </w:tc>
        <w:tc>
          <w:tcPr>
            <w:tcW w:w="12465" w:type="dxa"/>
            <w:shd w:val="clear" w:color="auto" w:fill="ABB7FC"/>
          </w:tcPr>
          <w:p w14:paraId="16E30170"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b/>
                <w:color w:val="000000"/>
                <w:sz w:val="24"/>
                <w:szCs w:val="24"/>
              </w:rPr>
            </w:pPr>
            <w:r>
              <w:rPr>
                <w:b/>
                <w:color w:val="000000"/>
                <w:sz w:val="24"/>
                <w:szCs w:val="24"/>
              </w:rPr>
              <w:t xml:space="preserve">RSSH: Health Products Management Systems      </w:t>
            </w:r>
          </w:p>
        </w:tc>
      </w:tr>
      <w:tr w:rsidR="00155420" w14:paraId="61C820FA"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vMerge w:val="restart"/>
          </w:tcPr>
          <w:p w14:paraId="273D8E7F"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lastRenderedPageBreak/>
              <w:t>Intervention(s)</w:t>
            </w:r>
          </w:p>
        </w:tc>
        <w:tc>
          <w:tcPr>
            <w:tcW w:w="12465" w:type="dxa"/>
          </w:tcPr>
          <w:p w14:paraId="7F9066E3"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Policy, strategy, and governance  </w:t>
            </w:r>
            <w:r>
              <w:rPr>
                <w:rFonts w:ascii="MS Gothic" w:eastAsia="MS Gothic" w:hAnsi="MS Gothic" w:cs="MS Gothic"/>
                <w:color w:val="000000"/>
              </w:rPr>
              <w:t>☒</w:t>
            </w:r>
            <w:r>
              <w:rPr>
                <w:color w:val="000000"/>
              </w:rPr>
              <w:t xml:space="preserve"> New, </w:t>
            </w:r>
            <w:r>
              <w:rPr>
                <w:rFonts w:ascii="MS Gothic" w:eastAsia="MS Gothic" w:hAnsi="MS Gothic" w:cs="MS Gothic"/>
                <w:color w:val="000000"/>
              </w:rPr>
              <w:t>☐</w:t>
            </w:r>
            <w:r>
              <w:rPr>
                <w:color w:val="000000"/>
              </w:rPr>
              <w:t xml:space="preserve"> Scale-up, </w:t>
            </w:r>
            <w:r>
              <w:rPr>
                <w:rFonts w:ascii="MS Gothic" w:eastAsia="MS Gothic" w:hAnsi="MS Gothic" w:cs="MS Gothic"/>
                <w:color w:val="000000"/>
              </w:rPr>
              <w:t>☐</w:t>
            </w:r>
            <w:r>
              <w:rPr>
                <w:color w:val="000000"/>
              </w:rPr>
              <w:t xml:space="preserve"> Continuation, or </w:t>
            </w:r>
            <w:r>
              <w:rPr>
                <w:rFonts w:ascii="MS Gothic" w:eastAsia="MS Gothic" w:hAnsi="MS Gothic" w:cs="MS Gothic"/>
                <w:color w:val="000000"/>
              </w:rPr>
              <w:t>☐</w:t>
            </w:r>
            <w:r>
              <w:rPr>
                <w:color w:val="000000"/>
              </w:rPr>
              <w:t xml:space="preserve"> Scale-down</w:t>
            </w:r>
          </w:p>
        </w:tc>
      </w:tr>
      <w:tr w:rsidR="00155420" w14:paraId="4718DB73"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vMerge/>
          </w:tcPr>
          <w:p w14:paraId="55A6033E" w14:textId="77777777" w:rsidR="00155420" w:rsidRDefault="00155420">
            <w:pPr>
              <w:keepNext w:val="0"/>
              <w:widowControl w:val="0"/>
              <w:pBdr>
                <w:top w:val="nil"/>
                <w:left w:val="nil"/>
                <w:bottom w:val="nil"/>
                <w:right w:val="nil"/>
                <w:between w:val="nil"/>
              </w:pBdr>
              <w:spacing w:before="0" w:line="276" w:lineRule="auto"/>
              <w:ind w:left="0" w:right="0"/>
              <w:rPr>
                <w:color w:val="000000"/>
              </w:rPr>
            </w:pPr>
          </w:p>
        </w:tc>
        <w:tc>
          <w:tcPr>
            <w:tcW w:w="12465" w:type="dxa"/>
          </w:tcPr>
          <w:p w14:paraId="5CD734FE"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Storage and distribution capacity, design, and operations: </w:t>
            </w:r>
            <w:r>
              <w:rPr>
                <w:rFonts w:ascii="MS Gothic" w:eastAsia="MS Gothic" w:hAnsi="MS Gothic" w:cs="MS Gothic"/>
                <w:color w:val="000000"/>
              </w:rPr>
              <w:t>☒</w:t>
            </w:r>
            <w:r>
              <w:rPr>
                <w:color w:val="000000"/>
              </w:rPr>
              <w:t xml:space="preserve"> New, </w:t>
            </w:r>
            <w:r>
              <w:rPr>
                <w:rFonts w:ascii="MS Gothic" w:eastAsia="MS Gothic" w:hAnsi="MS Gothic" w:cs="MS Gothic"/>
                <w:color w:val="000000"/>
              </w:rPr>
              <w:t>☐</w:t>
            </w:r>
            <w:r>
              <w:rPr>
                <w:color w:val="000000"/>
              </w:rPr>
              <w:t xml:space="preserve"> Scale-up, </w:t>
            </w:r>
            <w:r>
              <w:rPr>
                <w:rFonts w:ascii="MS Gothic" w:eastAsia="MS Gothic" w:hAnsi="MS Gothic" w:cs="MS Gothic"/>
                <w:color w:val="000000"/>
              </w:rPr>
              <w:t>☐</w:t>
            </w:r>
            <w:r>
              <w:rPr>
                <w:color w:val="000000"/>
              </w:rPr>
              <w:t xml:space="preserve"> Continuation, or </w:t>
            </w:r>
            <w:r>
              <w:rPr>
                <w:rFonts w:ascii="MS Gothic" w:eastAsia="MS Gothic" w:hAnsi="MS Gothic" w:cs="MS Gothic"/>
                <w:color w:val="000000"/>
              </w:rPr>
              <w:t>☐</w:t>
            </w:r>
            <w:r>
              <w:rPr>
                <w:color w:val="000000"/>
              </w:rPr>
              <w:t xml:space="preserve"> Scale-down</w:t>
            </w:r>
          </w:p>
        </w:tc>
      </w:tr>
      <w:tr w:rsidR="00155420" w14:paraId="23A6AE43"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vMerge/>
          </w:tcPr>
          <w:p w14:paraId="1FA7A930" w14:textId="77777777" w:rsidR="00155420" w:rsidRDefault="00155420">
            <w:pPr>
              <w:keepNext w:val="0"/>
              <w:widowControl w:val="0"/>
              <w:pBdr>
                <w:top w:val="nil"/>
                <w:left w:val="nil"/>
                <w:bottom w:val="nil"/>
                <w:right w:val="nil"/>
                <w:between w:val="nil"/>
              </w:pBdr>
              <w:spacing w:before="0" w:line="276" w:lineRule="auto"/>
              <w:ind w:left="0" w:right="0"/>
              <w:rPr>
                <w:color w:val="000000"/>
              </w:rPr>
            </w:pPr>
          </w:p>
        </w:tc>
        <w:tc>
          <w:tcPr>
            <w:tcW w:w="12465" w:type="dxa"/>
          </w:tcPr>
          <w:p w14:paraId="7E126B2E"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Regulatory/Quality Assurance Support: </w:t>
            </w:r>
            <w:r>
              <w:rPr>
                <w:rFonts w:ascii="MS Gothic" w:eastAsia="MS Gothic" w:hAnsi="MS Gothic" w:cs="MS Gothic"/>
                <w:color w:val="000000"/>
              </w:rPr>
              <w:t>☒</w:t>
            </w:r>
            <w:r>
              <w:rPr>
                <w:color w:val="000000"/>
              </w:rPr>
              <w:t xml:space="preserve"> New, </w:t>
            </w:r>
            <w:r>
              <w:rPr>
                <w:rFonts w:ascii="MS Gothic" w:eastAsia="MS Gothic" w:hAnsi="MS Gothic" w:cs="MS Gothic"/>
                <w:color w:val="000000"/>
              </w:rPr>
              <w:t>☐</w:t>
            </w:r>
            <w:r>
              <w:rPr>
                <w:color w:val="000000"/>
              </w:rPr>
              <w:t xml:space="preserve"> Scale-up, </w:t>
            </w:r>
            <w:r>
              <w:rPr>
                <w:rFonts w:ascii="MS Gothic" w:eastAsia="MS Gothic" w:hAnsi="MS Gothic" w:cs="MS Gothic"/>
                <w:color w:val="000000"/>
              </w:rPr>
              <w:t>☐</w:t>
            </w:r>
            <w:r>
              <w:rPr>
                <w:color w:val="000000"/>
              </w:rPr>
              <w:t xml:space="preserve"> Continuation, or </w:t>
            </w:r>
            <w:r>
              <w:rPr>
                <w:rFonts w:ascii="MS Gothic" w:eastAsia="MS Gothic" w:hAnsi="MS Gothic" w:cs="MS Gothic"/>
                <w:color w:val="000000"/>
              </w:rPr>
              <w:t>☐</w:t>
            </w:r>
            <w:r>
              <w:rPr>
                <w:color w:val="000000"/>
              </w:rPr>
              <w:t xml:space="preserve"> Scale-down</w:t>
            </w:r>
          </w:p>
        </w:tc>
      </w:tr>
      <w:tr w:rsidR="00155420" w14:paraId="66C2285A"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vMerge/>
          </w:tcPr>
          <w:p w14:paraId="4C77FF34" w14:textId="77777777" w:rsidR="00155420" w:rsidRDefault="00155420">
            <w:pPr>
              <w:keepNext w:val="0"/>
              <w:widowControl w:val="0"/>
              <w:pBdr>
                <w:top w:val="nil"/>
                <w:left w:val="nil"/>
                <w:bottom w:val="nil"/>
                <w:right w:val="nil"/>
                <w:between w:val="nil"/>
              </w:pBdr>
              <w:spacing w:before="0" w:line="276" w:lineRule="auto"/>
              <w:ind w:left="0" w:right="0"/>
              <w:rPr>
                <w:color w:val="000000"/>
              </w:rPr>
            </w:pPr>
          </w:p>
        </w:tc>
        <w:tc>
          <w:tcPr>
            <w:tcW w:w="12465" w:type="dxa"/>
          </w:tcPr>
          <w:p w14:paraId="328656F1"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Supply Chain Information System: </w:t>
            </w:r>
            <w:r>
              <w:rPr>
                <w:rFonts w:ascii="MS Gothic" w:eastAsia="MS Gothic" w:hAnsi="MS Gothic" w:cs="MS Gothic"/>
                <w:color w:val="000000"/>
              </w:rPr>
              <w:t>☒</w:t>
            </w:r>
            <w:r>
              <w:rPr>
                <w:color w:val="000000"/>
              </w:rPr>
              <w:t xml:space="preserve"> New, </w:t>
            </w:r>
            <w:r>
              <w:rPr>
                <w:rFonts w:ascii="MS Gothic" w:eastAsia="MS Gothic" w:hAnsi="MS Gothic" w:cs="MS Gothic"/>
                <w:color w:val="000000"/>
              </w:rPr>
              <w:t>☐</w:t>
            </w:r>
            <w:r>
              <w:rPr>
                <w:color w:val="000000"/>
              </w:rPr>
              <w:t xml:space="preserve"> Scale-up, </w:t>
            </w:r>
            <w:r>
              <w:rPr>
                <w:rFonts w:ascii="MS Gothic" w:eastAsia="MS Gothic" w:hAnsi="MS Gothic" w:cs="MS Gothic"/>
                <w:color w:val="000000"/>
              </w:rPr>
              <w:t>☐</w:t>
            </w:r>
            <w:r>
              <w:rPr>
                <w:color w:val="000000"/>
              </w:rPr>
              <w:t xml:space="preserve"> Continuation, or </w:t>
            </w:r>
            <w:r>
              <w:rPr>
                <w:rFonts w:ascii="MS Gothic" w:eastAsia="MS Gothic" w:hAnsi="MS Gothic" w:cs="MS Gothic"/>
                <w:color w:val="000000"/>
              </w:rPr>
              <w:t>☐</w:t>
            </w:r>
            <w:r>
              <w:rPr>
                <w:color w:val="000000"/>
              </w:rPr>
              <w:t xml:space="preserve"> Scale-down</w:t>
            </w:r>
          </w:p>
        </w:tc>
      </w:tr>
      <w:tr w:rsidR="00155420" w14:paraId="16D358DD"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tcPr>
          <w:p w14:paraId="4192E581"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Population, geographies, and</w:t>
            </w:r>
            <w:r>
              <w:rPr>
                <w:b w:val="0"/>
                <w:color w:val="000000"/>
                <w:sz w:val="24"/>
                <w:szCs w:val="24"/>
              </w:rPr>
              <w:t xml:space="preserve"> barriers addressed</w:t>
            </w:r>
          </w:p>
        </w:tc>
        <w:tc>
          <w:tcPr>
            <w:tcW w:w="12465" w:type="dxa"/>
          </w:tcPr>
          <w:p w14:paraId="3B7B536A"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b/>
                <w:color w:val="000000"/>
              </w:rPr>
              <w:t>Population</w:t>
            </w:r>
            <w:r>
              <w:rPr>
                <w:color w:val="000000"/>
              </w:rPr>
              <w:t>: 120 LGUs (UHC implementation sites)</w:t>
            </w:r>
          </w:p>
          <w:p w14:paraId="053BE347"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b/>
                <w:color w:val="000000"/>
              </w:rPr>
              <w:t>Geography:</w:t>
            </w:r>
            <w:r>
              <w:rPr>
                <w:color w:val="000000"/>
              </w:rPr>
              <w:t xml:space="preserve"> Nationwide, high-burden sites </w:t>
            </w:r>
          </w:p>
          <w:p w14:paraId="658ABF22"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b/>
                <w:color w:val="000000"/>
              </w:rPr>
              <w:t>Barriers:</w:t>
            </w:r>
            <w:r>
              <w:rPr>
                <w:color w:val="000000"/>
              </w:rPr>
              <w:t xml:space="preserve"> With the full devolution of health services mandated by the UHC law, LGUs are expected to manage the PSCM cascade for health products an</w:t>
            </w:r>
            <w:r>
              <w:rPr>
                <w:color w:val="000000"/>
              </w:rPr>
              <w:t xml:space="preserve">d equipment, particularly individual-based services. However, the majority of the LGUs have limited capacity on PSCM. </w:t>
            </w:r>
          </w:p>
        </w:tc>
      </w:tr>
      <w:tr w:rsidR="00155420" w14:paraId="580B85CF"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tcPr>
          <w:p w14:paraId="4504E423"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lastRenderedPageBreak/>
              <w:t>List of activities</w:t>
            </w:r>
          </w:p>
        </w:tc>
        <w:tc>
          <w:tcPr>
            <w:tcW w:w="12465" w:type="dxa"/>
          </w:tcPr>
          <w:p w14:paraId="67B0E1FD"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The ongoing GF TB grant 2021-2023 funds the TOT and rollout of the eLMIS (co-developed by USAID MTAPS and DOH), which will be completed by the end of 2023. The direct result will be a pool of eLMIS trainers at the CHDs, who will download the training to LG</w:t>
            </w:r>
            <w:r>
              <w:rPr>
                <w:color w:val="000000"/>
              </w:rPr>
              <w:t xml:space="preserve">Us in 2024.  </w:t>
            </w:r>
          </w:p>
          <w:p w14:paraId="07DA877F" w14:textId="0C4CF881"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For 2024-2026, the TB program will be considered a population-based service; as such, procurement of TB commodities will be through the DOH. Strengthening LGUs on PSCM as part of the FR is to prepare for the eventual transfer of the TB progra</w:t>
            </w:r>
            <w:r>
              <w:rPr>
                <w:color w:val="000000"/>
              </w:rPr>
              <w:t>m into an individual-based service, in addition to several individual-based services that already started the devolution transition in 2022. In addition, the DOH-SCM</w:t>
            </w:r>
            <w:r w:rsidR="00BA5B66">
              <w:rPr>
                <w:color w:val="000000"/>
              </w:rPr>
              <w:t>O</w:t>
            </w:r>
            <w:r>
              <w:rPr>
                <w:color w:val="000000"/>
              </w:rPr>
              <w:t xml:space="preserve"> needs TA support to enhance its operations further to deliver its mandate.      </w:t>
            </w:r>
          </w:p>
          <w:p w14:paraId="658CCBC8"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u w:val="single"/>
              </w:rPr>
            </w:pPr>
            <w:r>
              <w:rPr>
                <w:color w:val="000000"/>
                <w:u w:val="single"/>
              </w:rPr>
              <w:t xml:space="preserve">Policy, </w:t>
            </w:r>
            <w:r>
              <w:rPr>
                <w:color w:val="000000"/>
                <w:u w:val="single"/>
              </w:rPr>
              <w:t>strategy, and governance:</w:t>
            </w:r>
          </w:p>
          <w:p w14:paraId="65729DC8" w14:textId="77777777" w:rsidR="00155420" w:rsidRDefault="00E84F93">
            <w:pPr>
              <w:keepNext w:val="0"/>
              <w:numPr>
                <w:ilvl w:val="0"/>
                <w:numId w:val="39"/>
              </w:numPr>
              <w:pBdr>
                <w:top w:val="nil"/>
                <w:left w:val="nil"/>
                <w:bottom w:val="nil"/>
                <w:right w:val="nil"/>
                <w:between w:val="nil"/>
              </w:pBdr>
              <w:spacing w:before="0" w:after="120" w:line="264" w:lineRule="auto"/>
              <w:ind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LGU Level: Training for LGUs on P/SCM systems &amp; processes and their link to central and regional warehouses. </w:t>
            </w:r>
          </w:p>
          <w:p w14:paraId="791BF199" w14:textId="77777777" w:rsidR="00155420" w:rsidRDefault="00E84F93">
            <w:pPr>
              <w:keepNext w:val="0"/>
              <w:numPr>
                <w:ilvl w:val="0"/>
                <w:numId w:val="39"/>
              </w:numPr>
              <w:pBdr>
                <w:top w:val="nil"/>
                <w:left w:val="nil"/>
                <w:bottom w:val="nil"/>
                <w:right w:val="nil"/>
                <w:between w:val="nil"/>
              </w:pBdr>
              <w:spacing w:before="0" w:after="120" w:line="264" w:lineRule="auto"/>
              <w:ind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National Level: Expert deployment to DOH-SCMU to improve logistics management of population-based services. </w:t>
            </w:r>
          </w:p>
          <w:p w14:paraId="401062A8"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u w:val="single"/>
              </w:rPr>
            </w:pPr>
            <w:r>
              <w:rPr>
                <w:color w:val="000000"/>
                <w:u w:val="single"/>
              </w:rPr>
              <w:t>Storage and</w:t>
            </w:r>
            <w:r>
              <w:rPr>
                <w:color w:val="000000"/>
                <w:u w:val="single"/>
              </w:rPr>
              <w:t xml:space="preserve"> distribution capacity, design, and operations:</w:t>
            </w:r>
          </w:p>
          <w:p w14:paraId="4FA5AC69" w14:textId="77777777" w:rsidR="00155420" w:rsidRDefault="00E84F93">
            <w:pPr>
              <w:keepNext w:val="0"/>
              <w:numPr>
                <w:ilvl w:val="0"/>
                <w:numId w:val="39"/>
              </w:numPr>
              <w:pBdr>
                <w:top w:val="nil"/>
                <w:left w:val="nil"/>
                <w:bottom w:val="nil"/>
                <w:right w:val="nil"/>
                <w:between w:val="nil"/>
              </w:pBdr>
              <w:spacing w:before="0" w:after="120" w:line="264" w:lineRule="auto"/>
              <w:ind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LGU Level: Development and dissemination of a P/SCM handbook for LGUs.</w:t>
            </w:r>
          </w:p>
          <w:p w14:paraId="21D408C5" w14:textId="77777777" w:rsidR="00155420" w:rsidRDefault="00E84F93">
            <w:pPr>
              <w:keepNext w:val="0"/>
              <w:numPr>
                <w:ilvl w:val="0"/>
                <w:numId w:val="39"/>
              </w:numPr>
              <w:pBdr>
                <w:top w:val="nil"/>
                <w:left w:val="nil"/>
                <w:bottom w:val="nil"/>
                <w:right w:val="nil"/>
                <w:between w:val="nil"/>
              </w:pBdr>
              <w:spacing w:before="0" w:after="120" w:line="264" w:lineRule="auto"/>
              <w:ind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National Guideline: Expert deployment to support policy and guidelines development on P/SCM. </w:t>
            </w:r>
          </w:p>
          <w:p w14:paraId="5E613220"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u w:val="single"/>
              </w:rPr>
            </w:pPr>
            <w:r>
              <w:rPr>
                <w:color w:val="000000"/>
                <w:u w:val="single"/>
              </w:rPr>
              <w:t>Regulatory/Quality Assurance Support:</w:t>
            </w:r>
          </w:p>
          <w:p w14:paraId="51CCD72E" w14:textId="2A4D3167" w:rsidR="00155420" w:rsidRDefault="00E84F93">
            <w:pPr>
              <w:keepNext w:val="0"/>
              <w:numPr>
                <w:ilvl w:val="0"/>
                <w:numId w:val="39"/>
              </w:numPr>
              <w:pBdr>
                <w:top w:val="nil"/>
                <w:left w:val="nil"/>
                <w:bottom w:val="nil"/>
                <w:right w:val="nil"/>
                <w:between w:val="nil"/>
              </w:pBdr>
              <w:spacing w:before="0" w:after="120" w:line="264" w:lineRule="auto"/>
              <w:ind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Estab</w:t>
            </w:r>
            <w:r>
              <w:rPr>
                <w:color w:val="000000"/>
              </w:rPr>
              <w:t xml:space="preserve">lishment of a </w:t>
            </w:r>
            <w:r w:rsidR="00BA5B66">
              <w:rPr>
                <w:color w:val="000000"/>
              </w:rPr>
              <w:t>quality assurance</w:t>
            </w:r>
            <w:r>
              <w:rPr>
                <w:color w:val="000000"/>
              </w:rPr>
              <w:t>/</w:t>
            </w:r>
            <w:r w:rsidR="00BA5B66">
              <w:rPr>
                <w:color w:val="000000"/>
              </w:rPr>
              <w:t>quality control</w:t>
            </w:r>
            <w:r>
              <w:rPr>
                <w:color w:val="000000"/>
              </w:rPr>
              <w:t xml:space="preserve"> system for LGU-procured health products and equipment aligned with F</w:t>
            </w:r>
            <w:r w:rsidR="00BA5B66">
              <w:rPr>
                <w:color w:val="000000"/>
              </w:rPr>
              <w:t xml:space="preserve">ood and Drug Administration </w:t>
            </w:r>
            <w:r>
              <w:rPr>
                <w:color w:val="000000"/>
              </w:rPr>
              <w:t xml:space="preserve">policies and guidelines. </w:t>
            </w:r>
          </w:p>
          <w:p w14:paraId="3A67EC95"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u w:val="single"/>
              </w:rPr>
            </w:pPr>
            <w:r>
              <w:rPr>
                <w:color w:val="000000"/>
                <w:u w:val="single"/>
              </w:rPr>
              <w:t>Supply Chain Information System:</w:t>
            </w:r>
          </w:p>
          <w:p w14:paraId="3FEBE70C" w14:textId="77777777" w:rsidR="00155420" w:rsidRDefault="00E84F93">
            <w:pPr>
              <w:keepNext w:val="0"/>
              <w:numPr>
                <w:ilvl w:val="0"/>
                <w:numId w:val="39"/>
              </w:numPr>
              <w:pBdr>
                <w:top w:val="nil"/>
                <w:left w:val="nil"/>
                <w:bottom w:val="nil"/>
                <w:right w:val="nil"/>
                <w:between w:val="nil"/>
              </w:pBdr>
              <w:spacing w:before="0" w:after="120" w:line="264" w:lineRule="auto"/>
              <w:ind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Provide coaching and mentoring support to LGUs via CH</w:t>
            </w:r>
            <w:r>
              <w:rPr>
                <w:color w:val="000000"/>
              </w:rPr>
              <w:t xml:space="preserve">Ds (trained regional pharmacists) to operationalize the eLMIS at the LGU facilities.  </w:t>
            </w:r>
          </w:p>
        </w:tc>
      </w:tr>
      <w:tr w:rsidR="00155420" w14:paraId="33904AC7"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tcPr>
          <w:p w14:paraId="4D1936DB"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Amount requested</w:t>
            </w:r>
          </w:p>
        </w:tc>
        <w:tc>
          <w:tcPr>
            <w:tcW w:w="12465" w:type="dxa"/>
          </w:tcPr>
          <w:p w14:paraId="5B5A5589" w14:textId="322BD49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sidRPr="00D65121">
              <w:rPr>
                <w:color w:val="000000"/>
              </w:rPr>
              <w:t>USD 808,82</w:t>
            </w:r>
            <w:r w:rsidR="00D65121" w:rsidRPr="00D65121">
              <w:rPr>
                <w:color w:val="000000"/>
              </w:rPr>
              <w:t>1</w:t>
            </w:r>
          </w:p>
        </w:tc>
      </w:tr>
      <w:tr w:rsidR="00155420" w14:paraId="4066AC3B"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tcPr>
          <w:p w14:paraId="41917E3F"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Expected outcome</w:t>
            </w:r>
          </w:p>
        </w:tc>
        <w:tc>
          <w:tcPr>
            <w:tcW w:w="12465" w:type="dxa"/>
          </w:tcPr>
          <w:p w14:paraId="05A51B72" w14:textId="77777777" w:rsidR="00155420" w:rsidRDefault="00E84F93">
            <w:pPr>
              <w:keepNext w:val="0"/>
              <w:numPr>
                <w:ilvl w:val="0"/>
                <w:numId w:val="2"/>
              </w:numPr>
              <w:pBdr>
                <w:top w:val="nil"/>
                <w:left w:val="nil"/>
                <w:bottom w:val="nil"/>
                <w:right w:val="nil"/>
                <w:between w:val="nil"/>
              </w:pBdr>
              <w:spacing w:before="0" w:after="120" w:line="264" w:lineRule="auto"/>
              <w:ind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120 LGUs with SCM systems in place, supported by an operational QC/QA system and functional eLMIS.  </w:t>
            </w:r>
          </w:p>
          <w:p w14:paraId="2A1A8EC0" w14:textId="77777777" w:rsidR="00155420" w:rsidRDefault="00E84F93">
            <w:pPr>
              <w:keepNext w:val="0"/>
              <w:numPr>
                <w:ilvl w:val="0"/>
                <w:numId w:val="2"/>
              </w:numPr>
              <w:pBdr>
                <w:top w:val="nil"/>
                <w:left w:val="nil"/>
                <w:bottom w:val="nil"/>
                <w:right w:val="nil"/>
                <w:between w:val="nil"/>
              </w:pBdr>
              <w:spacing w:before="0" w:after="120" w:line="264" w:lineRule="auto"/>
              <w:ind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Improved DOH-SCMU services to its clients. </w:t>
            </w:r>
          </w:p>
          <w:p w14:paraId="57E32747" w14:textId="77777777" w:rsidR="00155420" w:rsidRDefault="00E84F93">
            <w:pPr>
              <w:keepNext w:val="0"/>
              <w:numPr>
                <w:ilvl w:val="0"/>
                <w:numId w:val="2"/>
              </w:numPr>
              <w:pBdr>
                <w:top w:val="nil"/>
                <w:left w:val="nil"/>
                <w:bottom w:val="nil"/>
                <w:right w:val="nil"/>
                <w:between w:val="nil"/>
              </w:pBdr>
              <w:spacing w:before="0" w:after="120" w:line="264" w:lineRule="auto"/>
              <w:ind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LGU PSCM Handbook </w:t>
            </w:r>
          </w:p>
        </w:tc>
      </w:tr>
      <w:tr w:rsidR="00155420" w14:paraId="7FC2207E"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tcPr>
          <w:p w14:paraId="3DEA1A51"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color w:val="000000"/>
                <w:sz w:val="24"/>
                <w:szCs w:val="24"/>
              </w:rPr>
              <w:t>Module #11</w:t>
            </w:r>
          </w:p>
        </w:tc>
        <w:tc>
          <w:tcPr>
            <w:tcW w:w="12465" w:type="dxa"/>
          </w:tcPr>
          <w:p w14:paraId="590068D2"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b/>
                <w:color w:val="000000"/>
              </w:rPr>
            </w:pPr>
            <w:r>
              <w:rPr>
                <w:b/>
                <w:color w:val="000000"/>
                <w:sz w:val="24"/>
                <w:szCs w:val="24"/>
              </w:rPr>
              <w:t>RSSH/PP: Human Resources for Health (HRH) and Quality of Care</w:t>
            </w:r>
          </w:p>
        </w:tc>
      </w:tr>
      <w:tr w:rsidR="00155420" w14:paraId="26EE075A"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tcPr>
          <w:p w14:paraId="55658AAB"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lastRenderedPageBreak/>
              <w:t>Intervention(s)</w:t>
            </w:r>
          </w:p>
        </w:tc>
        <w:tc>
          <w:tcPr>
            <w:tcW w:w="12465" w:type="dxa"/>
          </w:tcPr>
          <w:p w14:paraId="33859691"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color w:val="000000"/>
                <w:sz w:val="24"/>
                <w:szCs w:val="24"/>
              </w:rPr>
              <w:t xml:space="preserve">RSSH/PP: HRH planning, management, and governance, including for community health workers (CHWs) </w:t>
            </w:r>
            <w:r>
              <w:rPr>
                <w:rFonts w:ascii="Arial Unicode MS" w:eastAsia="Arial Unicode MS" w:hAnsi="Arial Unicode MS" w:cs="Arial Unicode MS"/>
                <w:color w:val="000000"/>
                <w:sz w:val="24"/>
                <w:szCs w:val="24"/>
              </w:rPr>
              <w:t>☒</w:t>
            </w:r>
            <w:r>
              <w:rPr>
                <w:color w:val="000000"/>
                <w:sz w:val="24"/>
                <w:szCs w:val="24"/>
              </w:rPr>
              <w:t xml:space="preserve"> New, </w:t>
            </w:r>
            <w:r>
              <w:rPr>
                <w:rFonts w:ascii="Arial Unicode MS" w:eastAsia="Arial Unicode MS" w:hAnsi="Arial Unicode MS" w:cs="Arial Unicode MS"/>
                <w:color w:val="000000"/>
                <w:sz w:val="24"/>
                <w:szCs w:val="24"/>
              </w:rPr>
              <w:t>☐</w:t>
            </w:r>
            <w:r>
              <w:rPr>
                <w:color w:val="000000"/>
                <w:sz w:val="24"/>
                <w:szCs w:val="24"/>
              </w:rPr>
              <w:t xml:space="preserve"> Scale-up, </w:t>
            </w:r>
            <w:r>
              <w:rPr>
                <w:rFonts w:ascii="Arial Unicode MS" w:eastAsia="Arial Unicode MS" w:hAnsi="Arial Unicode MS" w:cs="Arial Unicode MS"/>
                <w:color w:val="000000"/>
                <w:sz w:val="24"/>
                <w:szCs w:val="24"/>
              </w:rPr>
              <w:t>☐</w:t>
            </w:r>
            <w:r>
              <w:rPr>
                <w:color w:val="000000"/>
                <w:sz w:val="24"/>
                <w:szCs w:val="24"/>
              </w:rPr>
              <w:t xml:space="preserve"> Continuation, or </w:t>
            </w:r>
            <w:r>
              <w:rPr>
                <w:rFonts w:ascii="Arial Unicode MS" w:eastAsia="Arial Unicode MS" w:hAnsi="Arial Unicode MS" w:cs="Arial Unicode MS"/>
                <w:color w:val="000000"/>
                <w:sz w:val="24"/>
                <w:szCs w:val="24"/>
              </w:rPr>
              <w:t>☐</w:t>
            </w:r>
            <w:r>
              <w:rPr>
                <w:color w:val="000000"/>
                <w:sz w:val="24"/>
                <w:szCs w:val="24"/>
              </w:rPr>
              <w:t xml:space="preserve"> Scale-down</w:t>
            </w:r>
          </w:p>
        </w:tc>
      </w:tr>
      <w:tr w:rsidR="00155420" w14:paraId="338F1826"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tcPr>
          <w:p w14:paraId="149CD6E6"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Population, geographies, and barriers addressed</w:t>
            </w:r>
          </w:p>
        </w:tc>
        <w:tc>
          <w:tcPr>
            <w:tcW w:w="12465" w:type="dxa"/>
          </w:tcPr>
          <w:p w14:paraId="5FECE8CE"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sz w:val="24"/>
                <w:szCs w:val="24"/>
              </w:rPr>
            </w:pPr>
            <w:r>
              <w:rPr>
                <w:b/>
                <w:color w:val="000000"/>
                <w:sz w:val="24"/>
                <w:szCs w:val="24"/>
              </w:rPr>
              <w:t>Population:</w:t>
            </w:r>
            <w:r>
              <w:rPr>
                <w:color w:val="000000"/>
                <w:sz w:val="24"/>
                <w:szCs w:val="24"/>
              </w:rPr>
              <w:t xml:space="preserve"> 120 LGUs </w:t>
            </w:r>
          </w:p>
          <w:p w14:paraId="1EAC09F8"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b/>
                <w:color w:val="000000"/>
              </w:rPr>
              <w:t>Geography:</w:t>
            </w:r>
            <w:r>
              <w:rPr>
                <w:color w:val="000000"/>
              </w:rPr>
              <w:t xml:space="preserve"> Nationwide </w:t>
            </w:r>
          </w:p>
          <w:p w14:paraId="49072E7C"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b/>
                <w:color w:val="000000"/>
              </w:rPr>
              <w:t xml:space="preserve">Barriers: </w:t>
            </w:r>
            <w:r>
              <w:rPr>
                <w:color w:val="000000"/>
              </w:rPr>
              <w:t xml:space="preserve">As part of the devolution transition of the health system, LGUs are required to manage their HRH fully. During the LGU consultation in preparing the FR, LGUs requested TA to localize the DOH HRH masterplan.    </w:t>
            </w:r>
          </w:p>
        </w:tc>
      </w:tr>
      <w:tr w:rsidR="00155420" w14:paraId="3F19BC4B"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tcPr>
          <w:p w14:paraId="139E4020"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List of Activities</w:t>
            </w:r>
          </w:p>
        </w:tc>
        <w:tc>
          <w:tcPr>
            <w:tcW w:w="12465" w:type="dxa"/>
          </w:tcPr>
          <w:p w14:paraId="390EC8B1" w14:textId="77777777" w:rsidR="00155420" w:rsidRDefault="00E84F93">
            <w:pPr>
              <w:keepNext w:val="0"/>
              <w:numPr>
                <w:ilvl w:val="0"/>
                <w:numId w:val="2"/>
              </w:numPr>
              <w:pBdr>
                <w:top w:val="nil"/>
                <w:left w:val="nil"/>
                <w:bottom w:val="nil"/>
                <w:right w:val="nil"/>
                <w:between w:val="nil"/>
              </w:pBdr>
              <w:spacing w:before="0" w:after="120" w:line="264" w:lineRule="auto"/>
              <w:ind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Deployment of consultants to support 120 LGUs in preparing their HRH master plans for 2024-2026. </w:t>
            </w:r>
          </w:p>
          <w:p w14:paraId="07360991"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*To date, other donors have no commitments to support the localization of the DOH HRH Masterplan.  </w:t>
            </w:r>
          </w:p>
        </w:tc>
      </w:tr>
      <w:tr w:rsidR="00155420" w14:paraId="35276C1A"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tcPr>
          <w:p w14:paraId="59596110"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 xml:space="preserve">Amount Requested  </w:t>
            </w:r>
          </w:p>
        </w:tc>
        <w:tc>
          <w:tcPr>
            <w:tcW w:w="12465" w:type="dxa"/>
          </w:tcPr>
          <w:p w14:paraId="54ED7828" w14:textId="254E18C5"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sidRPr="00D65121">
              <w:rPr>
                <w:color w:val="000000"/>
              </w:rPr>
              <w:t>USD 376,77</w:t>
            </w:r>
            <w:r w:rsidR="00D65121" w:rsidRPr="00D65121">
              <w:rPr>
                <w:color w:val="000000"/>
              </w:rPr>
              <w:t>8</w:t>
            </w:r>
          </w:p>
        </w:tc>
      </w:tr>
      <w:tr w:rsidR="00155420" w14:paraId="060BC9E7"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tcPr>
          <w:p w14:paraId="446AE58E"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 xml:space="preserve">Expected Outcome </w:t>
            </w:r>
          </w:p>
        </w:tc>
        <w:tc>
          <w:tcPr>
            <w:tcW w:w="12465" w:type="dxa"/>
          </w:tcPr>
          <w:p w14:paraId="53F556B2" w14:textId="77777777" w:rsidR="00155420" w:rsidRDefault="00E84F93">
            <w:pPr>
              <w:keepNext w:val="0"/>
              <w:numPr>
                <w:ilvl w:val="0"/>
                <w:numId w:val="2"/>
              </w:numPr>
              <w:pBdr>
                <w:top w:val="nil"/>
                <w:left w:val="nil"/>
                <w:bottom w:val="nil"/>
                <w:right w:val="nil"/>
                <w:between w:val="nil"/>
              </w:pBdr>
              <w:spacing w:before="0" w:after="120" w:line="264" w:lineRule="auto"/>
              <w:ind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120 </w:t>
            </w:r>
            <w:r>
              <w:rPr>
                <w:color w:val="000000"/>
              </w:rPr>
              <w:t>LGUs with localized HRH masterplan, which means that LGUs will be able to determine their HRH requirements (quantify HRH needs, allocate HRH funding, perform recruitment and personnel management, and performance management systems)</w:t>
            </w:r>
          </w:p>
        </w:tc>
      </w:tr>
      <w:tr w:rsidR="00155420" w14:paraId="15B668B9"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shd w:val="clear" w:color="auto" w:fill="ABB7FC"/>
          </w:tcPr>
          <w:p w14:paraId="0D4D513A"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color w:val="000000"/>
                <w:sz w:val="24"/>
                <w:szCs w:val="24"/>
              </w:rPr>
              <w:t>Module #12</w:t>
            </w:r>
          </w:p>
        </w:tc>
        <w:tc>
          <w:tcPr>
            <w:tcW w:w="12465" w:type="dxa"/>
            <w:shd w:val="clear" w:color="auto" w:fill="ABB7FC"/>
          </w:tcPr>
          <w:p w14:paraId="6A31DB49"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b/>
                <w:color w:val="000000"/>
                <w:sz w:val="24"/>
                <w:szCs w:val="24"/>
              </w:rPr>
            </w:pPr>
            <w:r>
              <w:rPr>
                <w:b/>
                <w:color w:val="000000"/>
                <w:sz w:val="24"/>
                <w:szCs w:val="24"/>
              </w:rPr>
              <w:t xml:space="preserve">RSSH/PP: Laboratory Systems       </w:t>
            </w:r>
          </w:p>
        </w:tc>
      </w:tr>
      <w:tr w:rsidR="00155420" w14:paraId="537D13F7"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tcPr>
          <w:p w14:paraId="11DC3596"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Intervention(s)</w:t>
            </w:r>
          </w:p>
        </w:tc>
        <w:tc>
          <w:tcPr>
            <w:tcW w:w="12465" w:type="dxa"/>
          </w:tcPr>
          <w:p w14:paraId="48006DB2"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Specimen referral and transport system: </w:t>
            </w:r>
            <w:r>
              <w:rPr>
                <w:rFonts w:ascii="MS Gothic" w:eastAsia="MS Gothic" w:hAnsi="MS Gothic" w:cs="MS Gothic"/>
                <w:color w:val="000000"/>
              </w:rPr>
              <w:t>☐</w:t>
            </w:r>
            <w:r>
              <w:rPr>
                <w:color w:val="000000"/>
              </w:rPr>
              <w:t xml:space="preserve"> New, </w:t>
            </w:r>
            <w:r>
              <w:rPr>
                <w:rFonts w:ascii="MS Gothic" w:eastAsia="MS Gothic" w:hAnsi="MS Gothic" w:cs="MS Gothic"/>
                <w:color w:val="000000"/>
              </w:rPr>
              <w:t>☒</w:t>
            </w:r>
            <w:r>
              <w:rPr>
                <w:color w:val="000000"/>
              </w:rPr>
              <w:t xml:space="preserve"> Scale-up, </w:t>
            </w:r>
            <w:r>
              <w:rPr>
                <w:rFonts w:ascii="MS Gothic" w:eastAsia="MS Gothic" w:hAnsi="MS Gothic" w:cs="MS Gothic"/>
                <w:color w:val="000000"/>
              </w:rPr>
              <w:t>☐</w:t>
            </w:r>
            <w:r>
              <w:rPr>
                <w:color w:val="000000"/>
              </w:rPr>
              <w:t xml:space="preserve"> Continuation, or </w:t>
            </w:r>
            <w:r>
              <w:rPr>
                <w:rFonts w:ascii="MS Gothic" w:eastAsia="MS Gothic" w:hAnsi="MS Gothic" w:cs="MS Gothic"/>
                <w:color w:val="000000"/>
              </w:rPr>
              <w:t>☐</w:t>
            </w:r>
            <w:r>
              <w:rPr>
                <w:color w:val="000000"/>
              </w:rPr>
              <w:t xml:space="preserve"> Scale-down</w:t>
            </w:r>
          </w:p>
        </w:tc>
      </w:tr>
      <w:tr w:rsidR="00155420" w14:paraId="2A3947ED"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tcPr>
          <w:p w14:paraId="0073BD75"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Population, geographies, and barriers addressed</w:t>
            </w:r>
          </w:p>
        </w:tc>
        <w:tc>
          <w:tcPr>
            <w:tcW w:w="12465" w:type="dxa"/>
          </w:tcPr>
          <w:p w14:paraId="7337D2FE"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b/>
                <w:color w:val="000000"/>
              </w:rPr>
              <w:t>Population:</w:t>
            </w:r>
            <w:r>
              <w:rPr>
                <w:color w:val="000000"/>
              </w:rPr>
              <w:t xml:space="preserve"> All TB and HIV facilities </w:t>
            </w:r>
          </w:p>
          <w:p w14:paraId="3FA661E5"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b/>
                <w:color w:val="000000"/>
              </w:rPr>
              <w:t>Geography:</w:t>
            </w:r>
            <w:r>
              <w:rPr>
                <w:color w:val="000000"/>
              </w:rPr>
              <w:t xml:space="preserve"> Nationwide </w:t>
            </w:r>
          </w:p>
          <w:p w14:paraId="6D066ABA"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b/>
                <w:color w:val="000000"/>
              </w:rPr>
            </w:pPr>
            <w:r>
              <w:rPr>
                <w:b/>
                <w:color w:val="000000"/>
              </w:rPr>
              <w:t xml:space="preserve">Barriers: </w:t>
            </w:r>
            <w:r>
              <w:rPr>
                <w:color w:val="000000"/>
              </w:rPr>
              <w:t>Access to RDTs for TB diagnosis and HIV rHIVda remains limited. Interrupted supply of drugs and commodities are experienced, and proximal facilities can share stocks to mitigate such incidence but have no budget for moving small quantities of com</w:t>
            </w:r>
            <w:r>
              <w:rPr>
                <w:color w:val="000000"/>
              </w:rPr>
              <w:t xml:space="preserve">modities.  </w:t>
            </w:r>
          </w:p>
        </w:tc>
      </w:tr>
      <w:tr w:rsidR="00155420" w14:paraId="2ADB391C"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tcPr>
          <w:p w14:paraId="7289075E"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lastRenderedPageBreak/>
              <w:t>List of activities</w:t>
            </w:r>
          </w:p>
        </w:tc>
        <w:tc>
          <w:tcPr>
            <w:tcW w:w="12465" w:type="dxa"/>
          </w:tcPr>
          <w:p w14:paraId="44CF503F" w14:textId="77777777" w:rsidR="003C28E8"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The ongoing GFTB grant supports the deployment of 370 specimen and commodity transport riders (STRIDERS). Their scope of work has already been expanded to support the HIV program since 2020. Some CHDs and LGUs already hired their STRIDERS in 2022 and 2023.</w:t>
            </w:r>
            <w:r>
              <w:rPr>
                <w:color w:val="000000"/>
              </w:rPr>
              <w:t xml:space="preserve"> More robust advocacy is necessary for LGUs to carry on the hiring of STRIDERS for their areas of jurisdiction in the long run. </w:t>
            </w:r>
          </w:p>
          <w:p w14:paraId="46959272" w14:textId="77777777" w:rsidR="00155420" w:rsidRDefault="00E84F93">
            <w:pPr>
              <w:keepNext w:val="0"/>
              <w:numPr>
                <w:ilvl w:val="0"/>
                <w:numId w:val="31"/>
              </w:numPr>
              <w:pBdr>
                <w:top w:val="nil"/>
                <w:left w:val="nil"/>
                <w:bottom w:val="nil"/>
                <w:right w:val="nil"/>
                <w:between w:val="nil"/>
              </w:pBdr>
              <w:spacing w:before="0" w:after="120" w:line="264" w:lineRule="auto"/>
              <w:ind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Deployment of 400 STRIDERS for 2024-2026 to service TB and HIV facilities, both public and private. </w:t>
            </w:r>
          </w:p>
          <w:p w14:paraId="5BC2BA47" w14:textId="77777777" w:rsidR="00155420" w:rsidRDefault="00E84F93">
            <w:pPr>
              <w:keepNext w:val="0"/>
              <w:numPr>
                <w:ilvl w:val="0"/>
                <w:numId w:val="31"/>
              </w:numPr>
              <w:pBdr>
                <w:top w:val="nil"/>
                <w:left w:val="nil"/>
                <w:bottom w:val="nil"/>
                <w:right w:val="nil"/>
                <w:between w:val="nil"/>
              </w:pBdr>
              <w:spacing w:before="0" w:after="120" w:line="264" w:lineRule="auto"/>
              <w:ind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LGU advocacy for absorptio</w:t>
            </w:r>
            <w:r>
              <w:rPr>
                <w:color w:val="000000"/>
              </w:rPr>
              <w:t xml:space="preserve">n of STRIDERS as part of their primary care network.  </w:t>
            </w:r>
          </w:p>
          <w:p w14:paraId="731FED30" w14:textId="1E86F64C" w:rsidR="003C28E8" w:rsidRPr="003C28E8" w:rsidRDefault="003C28E8" w:rsidP="003C28E8">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b/>
                <w:bCs/>
                <w:i/>
                <w:iCs/>
                <w:color w:val="000000"/>
              </w:rPr>
            </w:pPr>
            <w:r w:rsidRPr="003C28E8">
              <w:rPr>
                <w:b/>
                <w:bCs/>
                <w:i/>
                <w:iCs/>
                <w:color w:val="4F81BD" w:themeColor="accent1"/>
              </w:rPr>
              <w:t>Details on the WHO assessment of the STRIDERS mechanism, including their catchment areas and recent accomplishment</w:t>
            </w:r>
            <w:r>
              <w:rPr>
                <w:b/>
                <w:bCs/>
                <w:i/>
                <w:iCs/>
                <w:color w:val="4F81BD" w:themeColor="accent1"/>
              </w:rPr>
              <w:t>s,</w:t>
            </w:r>
            <w:r w:rsidRPr="003C28E8">
              <w:rPr>
                <w:b/>
                <w:bCs/>
                <w:i/>
                <w:iCs/>
                <w:color w:val="4F81BD" w:themeColor="accent1"/>
              </w:rPr>
              <w:t xml:space="preserve"> are attached as Annex 25.   </w:t>
            </w:r>
          </w:p>
        </w:tc>
      </w:tr>
      <w:tr w:rsidR="00155420" w14:paraId="1E76EB40"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tcPr>
          <w:p w14:paraId="372AA597"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Amount requested</w:t>
            </w:r>
          </w:p>
        </w:tc>
        <w:tc>
          <w:tcPr>
            <w:tcW w:w="12465" w:type="dxa"/>
          </w:tcPr>
          <w:p w14:paraId="7A1F5117"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USD 3,888,389</w:t>
            </w:r>
          </w:p>
        </w:tc>
      </w:tr>
      <w:tr w:rsidR="00155420" w14:paraId="44B98D2A"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tcPr>
          <w:p w14:paraId="532BAE85"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Expected outcome</w:t>
            </w:r>
          </w:p>
        </w:tc>
        <w:tc>
          <w:tcPr>
            <w:tcW w:w="12465" w:type="dxa"/>
          </w:tcPr>
          <w:p w14:paraId="4DD30DF7" w14:textId="77777777" w:rsidR="00155420" w:rsidRDefault="00E84F93">
            <w:pPr>
              <w:keepNext w:val="0"/>
              <w:numPr>
                <w:ilvl w:val="0"/>
                <w:numId w:val="2"/>
              </w:numPr>
              <w:pBdr>
                <w:top w:val="nil"/>
                <w:left w:val="nil"/>
                <w:bottom w:val="nil"/>
                <w:right w:val="nil"/>
                <w:between w:val="nil"/>
              </w:pBdr>
              <w:spacing w:before="0" w:after="120" w:line="264" w:lineRule="auto"/>
              <w:ind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At least 85% functionality of RDTs (GeneXpert Modules). </w:t>
            </w:r>
          </w:p>
          <w:p w14:paraId="34CB9AEB" w14:textId="77777777" w:rsidR="00155420" w:rsidRDefault="00E84F93">
            <w:pPr>
              <w:keepNext w:val="0"/>
              <w:numPr>
                <w:ilvl w:val="0"/>
                <w:numId w:val="2"/>
              </w:numPr>
              <w:pBdr>
                <w:top w:val="nil"/>
                <w:left w:val="nil"/>
                <w:bottom w:val="nil"/>
                <w:right w:val="nil"/>
                <w:between w:val="nil"/>
              </w:pBdr>
              <w:spacing w:before="0" w:after="120" w:line="264" w:lineRule="auto"/>
              <w:ind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Optimization of RDTs for multi-disease use, particularly TB diagnosis and HIV viral load testing </w:t>
            </w:r>
          </w:p>
          <w:p w14:paraId="0202E937" w14:textId="77777777" w:rsidR="00155420" w:rsidRDefault="00E84F93">
            <w:pPr>
              <w:keepNext w:val="0"/>
              <w:numPr>
                <w:ilvl w:val="0"/>
                <w:numId w:val="2"/>
              </w:numPr>
              <w:pBdr>
                <w:top w:val="nil"/>
                <w:left w:val="nil"/>
                <w:bottom w:val="nil"/>
                <w:right w:val="nil"/>
                <w:between w:val="nil"/>
              </w:pBdr>
              <w:spacing w:before="0" w:after="120" w:line="264" w:lineRule="auto"/>
              <w:ind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Ensure uninterrupted supply of drugs and commodities through redistribution.    </w:t>
            </w:r>
          </w:p>
        </w:tc>
      </w:tr>
      <w:tr w:rsidR="00155420" w14:paraId="1443330B"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shd w:val="clear" w:color="auto" w:fill="ABB7FC"/>
          </w:tcPr>
          <w:p w14:paraId="1D696838"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color w:val="000000"/>
                <w:sz w:val="24"/>
                <w:szCs w:val="24"/>
              </w:rPr>
              <w:t>Module #13</w:t>
            </w:r>
          </w:p>
        </w:tc>
        <w:tc>
          <w:tcPr>
            <w:tcW w:w="12465" w:type="dxa"/>
            <w:shd w:val="clear" w:color="auto" w:fill="ABB7FC"/>
          </w:tcPr>
          <w:p w14:paraId="6FCFDC4C"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b/>
                <w:color w:val="000000"/>
                <w:sz w:val="24"/>
                <w:szCs w:val="24"/>
              </w:rPr>
            </w:pPr>
            <w:r>
              <w:rPr>
                <w:b/>
                <w:color w:val="000000"/>
                <w:sz w:val="24"/>
                <w:szCs w:val="24"/>
              </w:rPr>
              <w:t xml:space="preserve">RSSH: Monitoring &amp; Evaluation Systems       </w:t>
            </w:r>
          </w:p>
        </w:tc>
      </w:tr>
      <w:tr w:rsidR="00155420" w14:paraId="561666D7"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vMerge w:val="restart"/>
          </w:tcPr>
          <w:p w14:paraId="7109E1F8"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Intervention(s)</w:t>
            </w:r>
          </w:p>
        </w:tc>
        <w:tc>
          <w:tcPr>
            <w:tcW w:w="12465" w:type="dxa"/>
          </w:tcPr>
          <w:p w14:paraId="232ED10B"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Routine Reporting: </w:t>
            </w:r>
            <w:r>
              <w:rPr>
                <w:rFonts w:ascii="MS Gothic" w:eastAsia="MS Gothic" w:hAnsi="MS Gothic" w:cs="MS Gothic"/>
                <w:color w:val="000000"/>
              </w:rPr>
              <w:t>☐</w:t>
            </w:r>
            <w:r>
              <w:rPr>
                <w:color w:val="000000"/>
              </w:rPr>
              <w:t xml:space="preserve"> New, </w:t>
            </w:r>
            <w:r>
              <w:rPr>
                <w:rFonts w:ascii="MS Gothic" w:eastAsia="MS Gothic" w:hAnsi="MS Gothic" w:cs="MS Gothic"/>
                <w:color w:val="000000"/>
              </w:rPr>
              <w:t>☐</w:t>
            </w:r>
            <w:r>
              <w:rPr>
                <w:color w:val="000000"/>
              </w:rPr>
              <w:t xml:space="preserve"> Scale-up, </w:t>
            </w:r>
            <w:r>
              <w:rPr>
                <w:rFonts w:ascii="MS Gothic" w:eastAsia="MS Gothic" w:hAnsi="MS Gothic" w:cs="MS Gothic"/>
                <w:color w:val="000000"/>
              </w:rPr>
              <w:t>☒</w:t>
            </w:r>
            <w:r>
              <w:rPr>
                <w:color w:val="000000"/>
              </w:rPr>
              <w:t xml:space="preserve"> Continuation, or </w:t>
            </w:r>
            <w:r>
              <w:rPr>
                <w:rFonts w:ascii="MS Gothic" w:eastAsia="MS Gothic" w:hAnsi="MS Gothic" w:cs="MS Gothic"/>
                <w:color w:val="000000"/>
              </w:rPr>
              <w:t>☐</w:t>
            </w:r>
            <w:r>
              <w:rPr>
                <w:color w:val="000000"/>
              </w:rPr>
              <w:t xml:space="preserve"> Scale-down</w:t>
            </w:r>
          </w:p>
        </w:tc>
      </w:tr>
      <w:tr w:rsidR="00155420" w14:paraId="3E2D7B8F"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vMerge/>
          </w:tcPr>
          <w:p w14:paraId="347429C3" w14:textId="77777777" w:rsidR="00155420" w:rsidRDefault="00155420">
            <w:pPr>
              <w:keepNext w:val="0"/>
              <w:widowControl w:val="0"/>
              <w:pBdr>
                <w:top w:val="nil"/>
                <w:left w:val="nil"/>
                <w:bottom w:val="nil"/>
                <w:right w:val="nil"/>
                <w:between w:val="nil"/>
              </w:pBdr>
              <w:spacing w:before="0" w:line="276" w:lineRule="auto"/>
              <w:ind w:left="0" w:right="0"/>
              <w:rPr>
                <w:color w:val="000000"/>
              </w:rPr>
            </w:pPr>
          </w:p>
        </w:tc>
        <w:tc>
          <w:tcPr>
            <w:tcW w:w="12465" w:type="dxa"/>
          </w:tcPr>
          <w:p w14:paraId="6772E7A4"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Surveys: </w:t>
            </w:r>
            <w:r>
              <w:rPr>
                <w:rFonts w:ascii="MS Gothic" w:eastAsia="MS Gothic" w:hAnsi="MS Gothic" w:cs="MS Gothic"/>
                <w:color w:val="000000"/>
              </w:rPr>
              <w:t>☒</w:t>
            </w:r>
            <w:r>
              <w:rPr>
                <w:color w:val="000000"/>
              </w:rPr>
              <w:t xml:space="preserve"> New, </w:t>
            </w:r>
            <w:r>
              <w:rPr>
                <w:rFonts w:ascii="MS Gothic" w:eastAsia="MS Gothic" w:hAnsi="MS Gothic" w:cs="MS Gothic"/>
                <w:color w:val="000000"/>
              </w:rPr>
              <w:t>☐</w:t>
            </w:r>
            <w:r>
              <w:rPr>
                <w:color w:val="000000"/>
              </w:rPr>
              <w:t xml:space="preserve"> Scale-up, </w:t>
            </w:r>
            <w:r>
              <w:rPr>
                <w:rFonts w:ascii="MS Gothic" w:eastAsia="MS Gothic" w:hAnsi="MS Gothic" w:cs="MS Gothic"/>
                <w:color w:val="000000"/>
              </w:rPr>
              <w:t>☐</w:t>
            </w:r>
            <w:r>
              <w:rPr>
                <w:color w:val="000000"/>
              </w:rPr>
              <w:t xml:space="preserve"> Continuation, or </w:t>
            </w:r>
            <w:r>
              <w:rPr>
                <w:rFonts w:ascii="MS Gothic" w:eastAsia="MS Gothic" w:hAnsi="MS Gothic" w:cs="MS Gothic"/>
                <w:color w:val="000000"/>
              </w:rPr>
              <w:t>☐</w:t>
            </w:r>
            <w:r>
              <w:rPr>
                <w:color w:val="000000"/>
              </w:rPr>
              <w:t xml:space="preserve"> Scale-down</w:t>
            </w:r>
          </w:p>
        </w:tc>
      </w:tr>
      <w:tr w:rsidR="00155420" w14:paraId="7DE4CAF6"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tcPr>
          <w:p w14:paraId="71E9F5E3"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Population, geographies, and barriers addressed</w:t>
            </w:r>
          </w:p>
        </w:tc>
        <w:tc>
          <w:tcPr>
            <w:tcW w:w="12465" w:type="dxa"/>
          </w:tcPr>
          <w:p w14:paraId="378AF69B"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b/>
                <w:color w:val="000000"/>
              </w:rPr>
              <w:t>Population:</w:t>
            </w:r>
            <w:r>
              <w:rPr>
                <w:color w:val="000000"/>
              </w:rPr>
              <w:t xml:space="preserve"> All facilities (clinics and laboratories) using the ITIS and ITIS lite</w:t>
            </w:r>
          </w:p>
          <w:p w14:paraId="69237CEF"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b/>
                <w:color w:val="000000"/>
              </w:rPr>
              <w:t>Geography:</w:t>
            </w:r>
            <w:r>
              <w:rPr>
                <w:color w:val="000000"/>
              </w:rPr>
              <w:t xml:space="preserve"> Nationwide </w:t>
            </w:r>
          </w:p>
          <w:p w14:paraId="117CDADB"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b/>
                <w:color w:val="000000"/>
              </w:rPr>
            </w:pPr>
            <w:r>
              <w:rPr>
                <w:b/>
                <w:color w:val="000000"/>
              </w:rPr>
              <w:t xml:space="preserve">Barriers: </w:t>
            </w:r>
            <w:r>
              <w:rPr>
                <w:color w:val="000000"/>
              </w:rPr>
              <w:t xml:space="preserve">Country TB data is managed through the Integrated TB Information System (ITIS), a stand-alone system. With the plan of the DOH to have a single HIMS, ITIS needs to be integrated into the DOH HIMS.   </w:t>
            </w:r>
          </w:p>
        </w:tc>
      </w:tr>
      <w:tr w:rsidR="00155420" w14:paraId="33BE7E02"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tcPr>
          <w:p w14:paraId="4D4B438A"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lastRenderedPageBreak/>
              <w:t>List of activities</w:t>
            </w:r>
          </w:p>
        </w:tc>
        <w:tc>
          <w:tcPr>
            <w:tcW w:w="12465" w:type="dxa"/>
          </w:tcPr>
          <w:p w14:paraId="5B6AEEDB"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ITIS is currently stand-alone and is fully supported by the ongoing GFTB grant. The DOH is developing its HIMS with plans to integrate all disease-specific information systems. </w:t>
            </w:r>
          </w:p>
          <w:p w14:paraId="305A2CB7"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Considering the time required to design, test, and implement the envisioned DO</w:t>
            </w:r>
            <w:r>
              <w:rPr>
                <w:color w:val="000000"/>
              </w:rPr>
              <w:t xml:space="preserve">H enterprise architecture, the integration will likely happen after 2026. </w:t>
            </w:r>
          </w:p>
          <w:p w14:paraId="0E722434"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u w:val="single"/>
              </w:rPr>
            </w:pPr>
            <w:r>
              <w:rPr>
                <w:color w:val="000000"/>
                <w:u w:val="single"/>
              </w:rPr>
              <w:t>Routine Reporting:</w:t>
            </w:r>
          </w:p>
          <w:p w14:paraId="14BB40DC" w14:textId="77777777" w:rsidR="001B6745" w:rsidRDefault="00E84F93">
            <w:pPr>
              <w:keepNext w:val="0"/>
              <w:numPr>
                <w:ilvl w:val="0"/>
                <w:numId w:val="41"/>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Maintenance of the ITIS while the DOH HIMS is being developed. </w:t>
            </w:r>
          </w:p>
          <w:p w14:paraId="0F57E568" w14:textId="62F28965" w:rsidR="001B6745" w:rsidRDefault="001B6745">
            <w:pPr>
              <w:keepNext w:val="0"/>
              <w:numPr>
                <w:ilvl w:val="0"/>
                <w:numId w:val="41"/>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Address interoperability of ITIS with related IS to include, but not limited to</w:t>
            </w:r>
            <w:r w:rsidR="006550D6">
              <w:rPr>
                <w:color w:val="000000"/>
              </w:rPr>
              <w:t>,</w:t>
            </w:r>
            <w:r>
              <w:rPr>
                <w:color w:val="000000"/>
              </w:rPr>
              <w:t xml:space="preserve"> </w:t>
            </w:r>
            <w:proofErr w:type="spellStart"/>
            <w:r>
              <w:rPr>
                <w:color w:val="000000"/>
              </w:rPr>
              <w:t>QuanTB</w:t>
            </w:r>
            <w:proofErr w:type="spellEnd"/>
            <w:r>
              <w:rPr>
                <w:color w:val="000000"/>
              </w:rPr>
              <w:t xml:space="preserve">, </w:t>
            </w:r>
            <w:proofErr w:type="spellStart"/>
            <w:r>
              <w:rPr>
                <w:color w:val="000000"/>
              </w:rPr>
              <w:t>eLMIS</w:t>
            </w:r>
            <w:proofErr w:type="spellEnd"/>
            <w:r>
              <w:rPr>
                <w:color w:val="000000"/>
              </w:rPr>
              <w:t xml:space="preserve">, </w:t>
            </w:r>
            <w:proofErr w:type="spellStart"/>
            <w:r>
              <w:rPr>
                <w:color w:val="000000"/>
              </w:rPr>
              <w:t>PhilHeath</w:t>
            </w:r>
            <w:proofErr w:type="spellEnd"/>
            <w:r>
              <w:rPr>
                <w:color w:val="000000"/>
              </w:rPr>
              <w:t xml:space="preserve"> IS, Gx Alter, EMR, etc.  </w:t>
            </w:r>
          </w:p>
          <w:p w14:paraId="4CEE5840" w14:textId="77777777" w:rsidR="004C3037" w:rsidRDefault="004C3037">
            <w:pPr>
              <w:keepNext w:val="0"/>
              <w:numPr>
                <w:ilvl w:val="0"/>
                <w:numId w:val="41"/>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Pursue ongoing work towards integrating DAT into ITIS. Current thinking to be explored is either adding a DAT module in ITIS or bridging ITIS to the DTA platform. </w:t>
            </w:r>
          </w:p>
          <w:p w14:paraId="00285EFD" w14:textId="714EA1F6" w:rsidR="004C3037" w:rsidRDefault="004C3037">
            <w:pPr>
              <w:keepNext w:val="0"/>
              <w:numPr>
                <w:ilvl w:val="0"/>
                <w:numId w:val="41"/>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Expand the use of ITIS lite for TB mandatory case notification and treatment outcome reporting alongside the increase in the private care providers supporting the NTP/ included in the primary care provider network.    </w:t>
            </w:r>
          </w:p>
          <w:p w14:paraId="731CE135" w14:textId="71B8AF88" w:rsidR="00155420" w:rsidRDefault="00E84F93">
            <w:pPr>
              <w:keepNext w:val="0"/>
              <w:numPr>
                <w:ilvl w:val="0"/>
                <w:numId w:val="41"/>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Deploy an expert to DOH to support the design of the DOH HIMS and how to integrate ITIS, OHASIS</w:t>
            </w:r>
            <w:r>
              <w:rPr>
                <w:color w:val="000000"/>
              </w:rPr>
              <w:t>, and OLMIS into the new enterprise architecture.</w:t>
            </w:r>
          </w:p>
          <w:p w14:paraId="35F8A5B1" w14:textId="647856D6" w:rsidR="00155420" w:rsidRDefault="00E84F93">
            <w:pPr>
              <w:keepNext w:val="0"/>
              <w:numPr>
                <w:ilvl w:val="0"/>
                <w:numId w:val="41"/>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USAID is providing experts to support the improvement of ITIS components.</w:t>
            </w:r>
          </w:p>
          <w:p w14:paraId="7BE657B4" w14:textId="53E084A1" w:rsidR="001B6745" w:rsidRDefault="001B6745">
            <w:pPr>
              <w:keepNext w:val="0"/>
              <w:numPr>
                <w:ilvl w:val="0"/>
                <w:numId w:val="41"/>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Conduct TB care cascade analysis annually as part of the annual USAID/Philippines TB roadmap development, including </w:t>
            </w:r>
            <w:r w:rsidR="006550D6">
              <w:rPr>
                <w:color w:val="000000"/>
              </w:rPr>
              <w:t>yearly pr</w:t>
            </w:r>
            <w:r>
              <w:rPr>
                <w:color w:val="000000"/>
              </w:rPr>
              <w:t xml:space="preserve">ogram implementation reviews for this FR.  </w:t>
            </w:r>
          </w:p>
          <w:p w14:paraId="77A82B9A" w14:textId="117DB3E3" w:rsidR="004C3037" w:rsidRDefault="001B6745">
            <w:pPr>
              <w:keepNext w:val="0"/>
              <w:numPr>
                <w:ilvl w:val="0"/>
                <w:numId w:val="41"/>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DOH-led TB-HIV-HSS J</w:t>
            </w:r>
            <w:r w:rsidR="004C3037">
              <w:rPr>
                <w:color w:val="000000"/>
              </w:rPr>
              <w:t xml:space="preserve">oint </w:t>
            </w:r>
            <w:r>
              <w:rPr>
                <w:color w:val="000000"/>
              </w:rPr>
              <w:t>P</w:t>
            </w:r>
            <w:r w:rsidR="004C3037">
              <w:rPr>
                <w:color w:val="000000"/>
              </w:rPr>
              <w:t xml:space="preserve">rogram </w:t>
            </w:r>
            <w:r>
              <w:rPr>
                <w:color w:val="000000"/>
              </w:rPr>
              <w:t>R</w:t>
            </w:r>
            <w:r w:rsidR="004C3037">
              <w:rPr>
                <w:color w:val="000000"/>
              </w:rPr>
              <w:t>eview in 2025</w:t>
            </w:r>
            <w:r>
              <w:rPr>
                <w:color w:val="000000"/>
              </w:rPr>
              <w:t xml:space="preserve">, with support from various stakeholders.   </w:t>
            </w:r>
          </w:p>
          <w:p w14:paraId="16216370" w14:textId="2E9522BA" w:rsidR="001B6745" w:rsidRDefault="001B6745">
            <w:pPr>
              <w:keepNext w:val="0"/>
              <w:numPr>
                <w:ilvl w:val="0"/>
                <w:numId w:val="41"/>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Conduct of </w:t>
            </w:r>
            <w:proofErr w:type="spellStart"/>
            <w:r>
              <w:rPr>
                <w:color w:val="000000"/>
              </w:rPr>
              <w:t>rGLC</w:t>
            </w:r>
            <w:proofErr w:type="spellEnd"/>
            <w:r>
              <w:rPr>
                <w:color w:val="000000"/>
              </w:rPr>
              <w:t xml:space="preserve"> missions supported by this FR. </w:t>
            </w:r>
          </w:p>
          <w:p w14:paraId="2A621668" w14:textId="052E9215" w:rsidR="001B6745" w:rsidRPr="001B6745" w:rsidRDefault="001B6745" w:rsidP="001B6745">
            <w:pPr>
              <w:keepNext w:val="0"/>
              <w:numPr>
                <w:ilvl w:val="0"/>
                <w:numId w:val="41"/>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Deployment of ITIS project associates (71 in 2024, 67 in 2025, and 2026). </w:t>
            </w:r>
          </w:p>
          <w:p w14:paraId="1EF93F76"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u w:val="single"/>
              </w:rPr>
            </w:pPr>
            <w:r>
              <w:rPr>
                <w:color w:val="000000"/>
                <w:u w:val="single"/>
              </w:rPr>
              <w:t xml:space="preserve">Surveys: </w:t>
            </w:r>
          </w:p>
          <w:p w14:paraId="5B044245" w14:textId="77777777" w:rsidR="00155420" w:rsidRDefault="00E84F93">
            <w:pPr>
              <w:keepNext w:val="0"/>
              <w:numPr>
                <w:ilvl w:val="0"/>
                <w:numId w:val="41"/>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2024 Inventory Study</w:t>
            </w:r>
          </w:p>
          <w:p w14:paraId="4D6F37F1" w14:textId="77777777" w:rsidR="00155420" w:rsidRDefault="00E84F93">
            <w:pPr>
              <w:keepNext w:val="0"/>
              <w:numPr>
                <w:ilvl w:val="0"/>
                <w:numId w:val="41"/>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2024 Clinical Diagnosis Study</w:t>
            </w:r>
          </w:p>
          <w:p w14:paraId="3EC20173" w14:textId="77777777" w:rsidR="00155420" w:rsidRDefault="00E84F93">
            <w:pPr>
              <w:keepNext w:val="0"/>
              <w:numPr>
                <w:ilvl w:val="0"/>
                <w:numId w:val="41"/>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2025 Catastrophic Cost Study</w:t>
            </w:r>
          </w:p>
        </w:tc>
      </w:tr>
      <w:tr w:rsidR="00155420" w14:paraId="77FA8781"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tcPr>
          <w:p w14:paraId="2DF4D56A"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Amount requested</w:t>
            </w:r>
          </w:p>
        </w:tc>
        <w:tc>
          <w:tcPr>
            <w:tcW w:w="12465" w:type="dxa"/>
          </w:tcPr>
          <w:p w14:paraId="24AC1050" w14:textId="1D6A450B"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b/>
                <w:color w:val="000000"/>
              </w:rPr>
            </w:pPr>
            <w:r w:rsidRPr="00D65121">
              <w:rPr>
                <w:b/>
                <w:color w:val="000000"/>
              </w:rPr>
              <w:t>USD 3,300,27</w:t>
            </w:r>
            <w:r w:rsidR="00D65121" w:rsidRPr="00D65121">
              <w:rPr>
                <w:b/>
                <w:color w:val="000000"/>
              </w:rPr>
              <w:t>6</w:t>
            </w:r>
          </w:p>
        </w:tc>
      </w:tr>
      <w:tr w:rsidR="00155420" w14:paraId="1EE8EB57"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tcPr>
          <w:p w14:paraId="612D53C7"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lastRenderedPageBreak/>
              <w:t>Expected outcome</w:t>
            </w:r>
          </w:p>
        </w:tc>
        <w:tc>
          <w:tcPr>
            <w:tcW w:w="12465" w:type="dxa"/>
          </w:tcPr>
          <w:p w14:paraId="22F3D322" w14:textId="1044BEB7" w:rsidR="00155420" w:rsidRDefault="00E84F93">
            <w:pPr>
              <w:keepNext w:val="0"/>
              <w:numPr>
                <w:ilvl w:val="0"/>
                <w:numId w:val="2"/>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100% of reporting units </w:t>
            </w:r>
            <w:r w:rsidR="006550D6">
              <w:rPr>
                <w:color w:val="000000"/>
              </w:rPr>
              <w:t>that</w:t>
            </w:r>
            <w:r>
              <w:rPr>
                <w:color w:val="000000"/>
              </w:rPr>
              <w:t xml:space="preserve"> digitally enter and submit data at the reporting unit level using the electronic information system.  </w:t>
            </w:r>
          </w:p>
          <w:p w14:paraId="7EF79105" w14:textId="77777777" w:rsidR="00155420" w:rsidRDefault="00E84F93">
            <w:pPr>
              <w:keepNext w:val="0"/>
              <w:numPr>
                <w:ilvl w:val="0"/>
                <w:numId w:val="2"/>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Integration plan of ITIS in the DOH HIMS</w:t>
            </w:r>
          </w:p>
          <w:p w14:paraId="7A836C91" w14:textId="77777777" w:rsidR="00155420" w:rsidRDefault="00E84F93">
            <w:pPr>
              <w:keepNext w:val="0"/>
              <w:numPr>
                <w:ilvl w:val="0"/>
                <w:numId w:val="2"/>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Evidence generated from studies to support decision-making and implementation of adaptive management actions.  </w:t>
            </w:r>
          </w:p>
        </w:tc>
      </w:tr>
      <w:tr w:rsidR="00155420" w14:paraId="6B6B00A8"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shd w:val="clear" w:color="auto" w:fill="ABB7FC"/>
          </w:tcPr>
          <w:p w14:paraId="68993B66"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color w:val="000000"/>
                <w:sz w:val="24"/>
                <w:szCs w:val="24"/>
              </w:rPr>
              <w:t>Module #14</w:t>
            </w:r>
          </w:p>
        </w:tc>
        <w:tc>
          <w:tcPr>
            <w:tcW w:w="12465" w:type="dxa"/>
            <w:shd w:val="clear" w:color="auto" w:fill="ABB7FC"/>
          </w:tcPr>
          <w:p w14:paraId="5988AD3E"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b/>
                <w:color w:val="000000"/>
                <w:sz w:val="24"/>
                <w:szCs w:val="24"/>
              </w:rPr>
            </w:pPr>
            <w:r>
              <w:rPr>
                <w:b/>
                <w:color w:val="000000"/>
                <w:sz w:val="24"/>
                <w:szCs w:val="24"/>
              </w:rPr>
              <w:t xml:space="preserve">Program Management       </w:t>
            </w:r>
          </w:p>
        </w:tc>
      </w:tr>
      <w:tr w:rsidR="00155420" w14:paraId="45FF5F15"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tcPr>
          <w:p w14:paraId="030524C5"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Intervention(s)</w:t>
            </w:r>
          </w:p>
        </w:tc>
        <w:tc>
          <w:tcPr>
            <w:tcW w:w="12465" w:type="dxa"/>
          </w:tcPr>
          <w:p w14:paraId="7760573B" w14:textId="77777777" w:rsidR="00155420" w:rsidRDefault="00E84F93">
            <w:pPr>
              <w:keepNext w:val="0"/>
              <w:pBdr>
                <w:top w:val="nil"/>
                <w:left w:val="nil"/>
                <w:bottom w:val="nil"/>
                <w:right w:val="nil"/>
                <w:between w:val="nil"/>
              </w:pBdr>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Grant Management: </w:t>
            </w:r>
            <w:r>
              <w:rPr>
                <w:rFonts w:ascii="MS Gothic" w:eastAsia="MS Gothic" w:hAnsi="MS Gothic" w:cs="MS Gothic"/>
                <w:color w:val="000000"/>
              </w:rPr>
              <w:t>☐</w:t>
            </w:r>
            <w:r>
              <w:rPr>
                <w:color w:val="000000"/>
              </w:rPr>
              <w:t xml:space="preserve"> New, </w:t>
            </w:r>
            <w:r>
              <w:rPr>
                <w:rFonts w:ascii="MS Gothic" w:eastAsia="MS Gothic" w:hAnsi="MS Gothic" w:cs="MS Gothic"/>
                <w:color w:val="000000"/>
              </w:rPr>
              <w:t>☐</w:t>
            </w:r>
            <w:r>
              <w:rPr>
                <w:color w:val="000000"/>
              </w:rPr>
              <w:t xml:space="preserve"> Scale-up, </w:t>
            </w:r>
            <w:r>
              <w:rPr>
                <w:rFonts w:ascii="MS Gothic" w:eastAsia="MS Gothic" w:hAnsi="MS Gothic" w:cs="MS Gothic"/>
                <w:color w:val="000000"/>
              </w:rPr>
              <w:t>☒</w:t>
            </w:r>
            <w:r>
              <w:rPr>
                <w:color w:val="000000"/>
              </w:rPr>
              <w:t xml:space="preserve"> Continuation, or </w:t>
            </w:r>
            <w:r>
              <w:rPr>
                <w:rFonts w:ascii="MS Gothic" w:eastAsia="MS Gothic" w:hAnsi="MS Gothic" w:cs="MS Gothic"/>
                <w:color w:val="000000"/>
              </w:rPr>
              <w:t>☐</w:t>
            </w:r>
            <w:r>
              <w:rPr>
                <w:color w:val="000000"/>
              </w:rPr>
              <w:t xml:space="preserve"> Scale-down</w:t>
            </w:r>
          </w:p>
        </w:tc>
      </w:tr>
      <w:tr w:rsidR="00155420" w14:paraId="3A13B0FA"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tcPr>
          <w:p w14:paraId="70EF81B7"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Population, geographies, and barriers addressed</w:t>
            </w:r>
          </w:p>
        </w:tc>
        <w:tc>
          <w:tcPr>
            <w:tcW w:w="12465" w:type="dxa"/>
          </w:tcPr>
          <w:p w14:paraId="2F50488F"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b/>
                <w:color w:val="000000"/>
              </w:rPr>
              <w:t>Population:</w:t>
            </w:r>
            <w:r>
              <w:rPr>
                <w:color w:val="000000"/>
              </w:rPr>
              <w:t xml:space="preserve"> PR personnel</w:t>
            </w:r>
          </w:p>
          <w:p w14:paraId="35FC7230" w14:textId="77777777"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b/>
                <w:color w:val="000000"/>
              </w:rPr>
              <w:t>Geography:</w:t>
            </w:r>
            <w:r>
              <w:rPr>
                <w:color w:val="000000"/>
              </w:rPr>
              <w:t xml:space="preserve"> Nationwide </w:t>
            </w:r>
          </w:p>
          <w:p w14:paraId="30B565EB" w14:textId="5941DA5F"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Pr>
                <w:b/>
                <w:color w:val="000000"/>
              </w:rPr>
              <w:t>Barriers:</w:t>
            </w:r>
            <w:r>
              <w:rPr>
                <w:color w:val="000000"/>
              </w:rPr>
              <w:t xml:space="preserve"> </w:t>
            </w:r>
            <w:r w:rsidR="006550D6">
              <w:rPr>
                <w:color w:val="000000"/>
              </w:rPr>
              <w:t>PBSP</w:t>
            </w:r>
            <w:r>
              <w:rPr>
                <w:color w:val="000000"/>
              </w:rPr>
              <w:t xml:space="preserve"> requires funding support to perform PR functions as needed for the grant. </w:t>
            </w:r>
          </w:p>
        </w:tc>
      </w:tr>
      <w:tr w:rsidR="00155420" w14:paraId="22053D93"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tcPr>
          <w:p w14:paraId="20794109"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List of activities</w:t>
            </w:r>
          </w:p>
        </w:tc>
        <w:tc>
          <w:tcPr>
            <w:tcW w:w="12465" w:type="dxa"/>
          </w:tcPr>
          <w:p w14:paraId="66C0C46B" w14:textId="77777777" w:rsidR="00155420" w:rsidRDefault="00E84F93">
            <w:pPr>
              <w:keepNext w:val="0"/>
              <w:numPr>
                <w:ilvl w:val="0"/>
                <w:numId w:val="42"/>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Development and submission of quality grant documents</w:t>
            </w:r>
          </w:p>
          <w:p w14:paraId="0C3C2806" w14:textId="77777777" w:rsidR="00155420" w:rsidRDefault="00E84F93">
            <w:pPr>
              <w:keepNext w:val="0"/>
              <w:numPr>
                <w:ilvl w:val="0"/>
                <w:numId w:val="42"/>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Oversight and technical assistance related to effective and efficient GF grant implementation and management </w:t>
            </w:r>
          </w:p>
          <w:p w14:paraId="7AD817E9" w14:textId="77777777" w:rsidR="00155420" w:rsidRDefault="00E84F93">
            <w:pPr>
              <w:keepNext w:val="0"/>
              <w:numPr>
                <w:ilvl w:val="0"/>
                <w:numId w:val="42"/>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Supervision of SRs and service contractors.</w:t>
            </w:r>
          </w:p>
          <w:p w14:paraId="4F1A4C84" w14:textId="77777777" w:rsidR="00155420" w:rsidRDefault="00E84F93">
            <w:pPr>
              <w:keepNext w:val="0"/>
              <w:numPr>
                <w:ilvl w:val="0"/>
                <w:numId w:val="42"/>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Human resource planning and management.</w:t>
            </w:r>
          </w:p>
          <w:p w14:paraId="3EF63BFF" w14:textId="77777777" w:rsidR="00155420" w:rsidRDefault="00E84F93">
            <w:pPr>
              <w:keepNext w:val="0"/>
              <w:numPr>
                <w:ilvl w:val="0"/>
                <w:numId w:val="42"/>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Operational costs.</w:t>
            </w:r>
          </w:p>
          <w:p w14:paraId="07686987" w14:textId="77777777" w:rsidR="00155420" w:rsidRDefault="00E84F93">
            <w:pPr>
              <w:keepNext w:val="0"/>
              <w:numPr>
                <w:ilvl w:val="0"/>
                <w:numId w:val="42"/>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Coordination with national and local </w:t>
            </w:r>
            <w:r>
              <w:rPr>
                <w:color w:val="000000"/>
              </w:rPr>
              <w:t>authorities, including PCCM and community representatives.</w:t>
            </w:r>
          </w:p>
          <w:p w14:paraId="4BA502E2" w14:textId="77777777" w:rsidR="00155420" w:rsidRDefault="00E84F93">
            <w:pPr>
              <w:keepNext w:val="0"/>
              <w:numPr>
                <w:ilvl w:val="0"/>
                <w:numId w:val="42"/>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Mobilizing leaders to support implementation and sustainability. </w:t>
            </w:r>
          </w:p>
          <w:p w14:paraId="146C83B4" w14:textId="77777777" w:rsidR="00155420" w:rsidRDefault="00E84F93">
            <w:pPr>
              <w:keepNext w:val="0"/>
              <w:numPr>
                <w:ilvl w:val="0"/>
                <w:numId w:val="42"/>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Address all contractual obligations with The Global Fund. </w:t>
            </w:r>
          </w:p>
        </w:tc>
      </w:tr>
      <w:tr w:rsidR="00155420" w14:paraId="603CADE7"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65" w:type="dxa"/>
          </w:tcPr>
          <w:p w14:paraId="3E17F82F"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Amount requested</w:t>
            </w:r>
          </w:p>
        </w:tc>
        <w:tc>
          <w:tcPr>
            <w:tcW w:w="12465" w:type="dxa"/>
          </w:tcPr>
          <w:p w14:paraId="3898FD5D" w14:textId="10E76FB8" w:rsidR="00155420" w:rsidRDefault="00E84F93">
            <w:pPr>
              <w:keepNext w:val="0"/>
              <w:pBdr>
                <w:top w:val="nil"/>
                <w:left w:val="nil"/>
                <w:bottom w:val="nil"/>
                <w:right w:val="nil"/>
                <w:between w:val="nil"/>
              </w:pBdr>
              <w:spacing w:before="0" w:after="120" w:line="264" w:lineRule="auto"/>
              <w:ind w:left="0" w:right="0"/>
              <w:cnfStyle w:val="000000100000" w:firstRow="0" w:lastRow="0" w:firstColumn="0" w:lastColumn="0" w:oddVBand="0" w:evenVBand="0" w:oddHBand="1" w:evenHBand="0" w:firstRowFirstColumn="0" w:firstRowLastColumn="0" w:lastRowFirstColumn="0" w:lastRowLastColumn="0"/>
              <w:rPr>
                <w:color w:val="000000"/>
              </w:rPr>
            </w:pPr>
            <w:r w:rsidRPr="00D65121">
              <w:rPr>
                <w:color w:val="000000"/>
              </w:rPr>
              <w:t>USD 15,</w:t>
            </w:r>
            <w:r w:rsidR="00B57005" w:rsidRPr="00D65121">
              <w:rPr>
                <w:color w:val="000000"/>
              </w:rPr>
              <w:t>731</w:t>
            </w:r>
            <w:r w:rsidRPr="00D65121">
              <w:rPr>
                <w:color w:val="000000"/>
              </w:rPr>
              <w:t>,</w:t>
            </w:r>
            <w:r w:rsidR="00B57005" w:rsidRPr="00D65121">
              <w:rPr>
                <w:color w:val="000000"/>
              </w:rPr>
              <w:t>201</w:t>
            </w:r>
            <w:r>
              <w:rPr>
                <w:color w:val="000000"/>
              </w:rPr>
              <w:t xml:space="preserve"> [11% of the FR]</w:t>
            </w:r>
          </w:p>
        </w:tc>
      </w:tr>
      <w:tr w:rsidR="00155420" w14:paraId="0D01FBF4"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2565" w:type="dxa"/>
          </w:tcPr>
          <w:p w14:paraId="12E85DF3" w14:textId="77777777" w:rsidR="00155420" w:rsidRDefault="00E84F93">
            <w:pPr>
              <w:keepNext w:val="0"/>
              <w:pBdr>
                <w:top w:val="nil"/>
                <w:left w:val="nil"/>
                <w:bottom w:val="nil"/>
                <w:right w:val="nil"/>
                <w:between w:val="nil"/>
              </w:pBdr>
              <w:spacing w:before="0" w:after="120" w:line="264" w:lineRule="auto"/>
              <w:ind w:left="0" w:right="0"/>
              <w:rPr>
                <w:color w:val="000000"/>
                <w:sz w:val="24"/>
                <w:szCs w:val="24"/>
              </w:rPr>
            </w:pPr>
            <w:r>
              <w:rPr>
                <w:b w:val="0"/>
                <w:color w:val="000000"/>
                <w:sz w:val="24"/>
                <w:szCs w:val="24"/>
              </w:rPr>
              <w:t>Expected outcome</w:t>
            </w:r>
          </w:p>
        </w:tc>
        <w:tc>
          <w:tcPr>
            <w:tcW w:w="12465" w:type="dxa"/>
          </w:tcPr>
          <w:p w14:paraId="7768DD62" w14:textId="77777777" w:rsidR="00155420" w:rsidRDefault="00E84F93">
            <w:pPr>
              <w:keepNext w:val="0"/>
              <w:numPr>
                <w:ilvl w:val="0"/>
                <w:numId w:val="2"/>
              </w:numPr>
              <w:pBdr>
                <w:top w:val="nil"/>
                <w:left w:val="nil"/>
                <w:bottom w:val="nil"/>
                <w:right w:val="nil"/>
                <w:between w:val="nil"/>
              </w:pBdr>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High client satisfaction rating from the country team, PCCM, and all grant stakeholders.        </w:t>
            </w:r>
          </w:p>
        </w:tc>
      </w:tr>
    </w:tbl>
    <w:p w14:paraId="202B8327" w14:textId="77777777" w:rsidR="00155420" w:rsidRDefault="00155420">
      <w:pPr>
        <w:spacing w:after="200"/>
        <w:rPr>
          <w:sz w:val="24"/>
          <w:szCs w:val="24"/>
        </w:rPr>
      </w:pPr>
    </w:p>
    <w:p w14:paraId="40533BE5" w14:textId="6052D13F" w:rsidR="00155420" w:rsidRDefault="00E84F93">
      <w:pPr>
        <w:numPr>
          <w:ilvl w:val="2"/>
          <w:numId w:val="15"/>
        </w:numPr>
        <w:pBdr>
          <w:top w:val="nil"/>
          <w:left w:val="nil"/>
          <w:bottom w:val="nil"/>
          <w:right w:val="nil"/>
          <w:between w:val="nil"/>
        </w:pBdr>
        <w:spacing w:line="264" w:lineRule="auto"/>
      </w:pPr>
      <w:r>
        <w:rPr>
          <w:color w:val="000000"/>
          <w:sz w:val="24"/>
          <w:szCs w:val="24"/>
        </w:rPr>
        <w:t xml:space="preserve">If you use a Payment for Results modality, provide information on the proposed performance indicators/milestones, targets, and amounts. </w:t>
      </w:r>
    </w:p>
    <w:tbl>
      <w:tblPr>
        <w:tblStyle w:val="a7"/>
        <w:tblW w:w="15129" w:type="dxa"/>
        <w:tblInd w:w="-8"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172"/>
        <w:gridCol w:w="818"/>
        <w:gridCol w:w="682"/>
        <w:gridCol w:w="682"/>
        <w:gridCol w:w="685"/>
        <w:gridCol w:w="3277"/>
        <w:gridCol w:w="955"/>
        <w:gridCol w:w="1364"/>
        <w:gridCol w:w="3494"/>
      </w:tblGrid>
      <w:tr w:rsidR="00155420" w14:paraId="5AE1E33A" w14:textId="77777777">
        <w:trPr>
          <w:trHeight w:val="355"/>
          <w:tblHeader/>
        </w:trPr>
        <w:tc>
          <w:tcPr>
            <w:tcW w:w="3172" w:type="dxa"/>
            <w:vMerge w:val="restart"/>
            <w:tcBorders>
              <w:top w:val="single" w:sz="6" w:space="0" w:color="808080"/>
              <w:left w:val="single" w:sz="6" w:space="0" w:color="808080"/>
              <w:bottom w:val="single" w:sz="6" w:space="0" w:color="808080"/>
              <w:right w:val="single" w:sz="6" w:space="0" w:color="808080"/>
            </w:tcBorders>
            <w:shd w:val="clear" w:color="auto" w:fill="F9FBFD"/>
            <w:vAlign w:val="center"/>
          </w:tcPr>
          <w:p w14:paraId="542D9A08" w14:textId="77777777" w:rsidR="00155420" w:rsidRDefault="00E84F93">
            <w:pPr>
              <w:spacing w:after="0"/>
              <w:jc w:val="center"/>
              <w:rPr>
                <w:rFonts w:ascii="Times New Roman" w:eastAsia="Times New Roman" w:hAnsi="Times New Roman" w:cs="Times New Roman"/>
                <w:sz w:val="24"/>
                <w:szCs w:val="24"/>
              </w:rPr>
            </w:pPr>
            <w:r>
              <w:rPr>
                <w:sz w:val="20"/>
                <w:szCs w:val="20"/>
              </w:rPr>
              <w:lastRenderedPageBreak/>
              <w:t xml:space="preserve">Performance </w:t>
            </w:r>
            <w:r>
              <w:rPr>
                <w:sz w:val="20"/>
                <w:szCs w:val="20"/>
              </w:rPr>
              <w:t>indicator or milestone</w:t>
            </w:r>
          </w:p>
        </w:tc>
        <w:tc>
          <w:tcPr>
            <w:tcW w:w="2867" w:type="dxa"/>
            <w:gridSpan w:val="4"/>
            <w:tcBorders>
              <w:top w:val="single" w:sz="6" w:space="0" w:color="808080"/>
              <w:left w:val="single" w:sz="6" w:space="0" w:color="808080"/>
              <w:bottom w:val="single" w:sz="6" w:space="0" w:color="808080"/>
              <w:right w:val="single" w:sz="6" w:space="0" w:color="808080"/>
            </w:tcBorders>
            <w:shd w:val="clear" w:color="auto" w:fill="F9FBFD"/>
            <w:vAlign w:val="center"/>
          </w:tcPr>
          <w:p w14:paraId="747AF693" w14:textId="77777777" w:rsidR="00155420" w:rsidRDefault="00E84F93">
            <w:pPr>
              <w:spacing w:after="0"/>
              <w:jc w:val="center"/>
              <w:rPr>
                <w:rFonts w:ascii="Times New Roman" w:eastAsia="Times New Roman" w:hAnsi="Times New Roman" w:cs="Times New Roman"/>
                <w:sz w:val="24"/>
                <w:szCs w:val="24"/>
              </w:rPr>
            </w:pPr>
            <w:r>
              <w:rPr>
                <w:sz w:val="20"/>
                <w:szCs w:val="20"/>
              </w:rPr>
              <w:t>Target</w:t>
            </w:r>
          </w:p>
        </w:tc>
        <w:tc>
          <w:tcPr>
            <w:tcW w:w="3277" w:type="dxa"/>
            <w:vMerge w:val="restart"/>
            <w:tcBorders>
              <w:top w:val="single" w:sz="6" w:space="0" w:color="808080"/>
              <w:left w:val="single" w:sz="6" w:space="0" w:color="808080"/>
              <w:right w:val="single" w:sz="6" w:space="0" w:color="808080"/>
            </w:tcBorders>
            <w:shd w:val="clear" w:color="auto" w:fill="F9FBFD"/>
            <w:vAlign w:val="center"/>
          </w:tcPr>
          <w:p w14:paraId="2C526528" w14:textId="77777777" w:rsidR="00155420" w:rsidRDefault="00E84F93">
            <w:pPr>
              <w:spacing w:after="0"/>
              <w:jc w:val="center"/>
              <w:rPr>
                <w:rFonts w:ascii="Times New Roman" w:eastAsia="Times New Roman" w:hAnsi="Times New Roman" w:cs="Times New Roman"/>
                <w:sz w:val="24"/>
                <w:szCs w:val="24"/>
              </w:rPr>
            </w:pPr>
            <w:r>
              <w:rPr>
                <w:sz w:val="20"/>
                <w:szCs w:val="20"/>
              </w:rPr>
              <w:t>Rationale for selection</w:t>
            </w:r>
            <w:r>
              <w:rPr>
                <w:sz w:val="20"/>
                <w:szCs w:val="20"/>
              </w:rPr>
              <w:br/>
              <w:t>of the indicator/milestone</w:t>
            </w:r>
            <w:r>
              <w:rPr>
                <w:sz w:val="20"/>
                <w:szCs w:val="20"/>
              </w:rPr>
              <w:br/>
            </w:r>
          </w:p>
        </w:tc>
        <w:tc>
          <w:tcPr>
            <w:tcW w:w="955" w:type="dxa"/>
            <w:vMerge w:val="restart"/>
            <w:tcBorders>
              <w:top w:val="single" w:sz="6" w:space="0" w:color="808080"/>
              <w:left w:val="single" w:sz="6" w:space="0" w:color="808080"/>
              <w:right w:val="single" w:sz="6" w:space="0" w:color="808080"/>
            </w:tcBorders>
            <w:shd w:val="clear" w:color="auto" w:fill="F9FBFD"/>
            <w:vAlign w:val="center"/>
          </w:tcPr>
          <w:p w14:paraId="6FFF7DD4" w14:textId="77777777" w:rsidR="00155420" w:rsidRDefault="00E84F93">
            <w:pPr>
              <w:spacing w:after="0"/>
              <w:jc w:val="center"/>
              <w:rPr>
                <w:sz w:val="20"/>
                <w:szCs w:val="20"/>
              </w:rPr>
            </w:pPr>
            <w:r>
              <w:rPr>
                <w:sz w:val="20"/>
                <w:szCs w:val="20"/>
              </w:rPr>
              <w:t xml:space="preserve">Amount requested </w:t>
            </w:r>
          </w:p>
        </w:tc>
        <w:tc>
          <w:tcPr>
            <w:tcW w:w="1364" w:type="dxa"/>
            <w:vMerge w:val="restart"/>
            <w:tcBorders>
              <w:top w:val="single" w:sz="6" w:space="0" w:color="808080"/>
              <w:left w:val="single" w:sz="6" w:space="0" w:color="808080"/>
              <w:right w:val="single" w:sz="6" w:space="0" w:color="808080"/>
            </w:tcBorders>
            <w:shd w:val="clear" w:color="auto" w:fill="F9FBFD"/>
            <w:vAlign w:val="center"/>
          </w:tcPr>
          <w:p w14:paraId="378B271A" w14:textId="77777777" w:rsidR="00155420" w:rsidRDefault="00E84F93">
            <w:pPr>
              <w:spacing w:after="0"/>
              <w:jc w:val="center"/>
              <w:rPr>
                <w:sz w:val="20"/>
                <w:szCs w:val="20"/>
              </w:rPr>
            </w:pPr>
            <w:r>
              <w:rPr>
                <w:sz w:val="20"/>
                <w:szCs w:val="20"/>
              </w:rPr>
              <w:t>Expected outcome</w:t>
            </w:r>
          </w:p>
        </w:tc>
        <w:tc>
          <w:tcPr>
            <w:tcW w:w="3494" w:type="dxa"/>
            <w:vMerge w:val="restart"/>
            <w:tcBorders>
              <w:top w:val="single" w:sz="6" w:space="0" w:color="808080"/>
              <w:left w:val="single" w:sz="6" w:space="0" w:color="808080"/>
              <w:right w:val="single" w:sz="6" w:space="0" w:color="808080"/>
            </w:tcBorders>
            <w:shd w:val="clear" w:color="auto" w:fill="F9FBFD"/>
          </w:tcPr>
          <w:p w14:paraId="7067D84D" w14:textId="77777777" w:rsidR="00155420" w:rsidRDefault="00E84F93">
            <w:pPr>
              <w:spacing w:after="0"/>
              <w:jc w:val="center"/>
              <w:rPr>
                <w:sz w:val="20"/>
                <w:szCs w:val="20"/>
              </w:rPr>
            </w:pPr>
            <w:r>
              <w:rPr>
                <w:sz w:val="20"/>
                <w:szCs w:val="20"/>
              </w:rPr>
              <w:t>Specify how the accuracy and reliability of the reported results will be ensured.</w:t>
            </w:r>
          </w:p>
        </w:tc>
      </w:tr>
      <w:tr w:rsidR="00155420" w14:paraId="2AFFE7B6" w14:textId="77777777">
        <w:trPr>
          <w:trHeight w:val="355"/>
          <w:tblHeader/>
        </w:trPr>
        <w:tc>
          <w:tcPr>
            <w:tcW w:w="3172" w:type="dxa"/>
            <w:vMerge/>
            <w:tcBorders>
              <w:top w:val="single" w:sz="6" w:space="0" w:color="808080"/>
              <w:left w:val="single" w:sz="6" w:space="0" w:color="808080"/>
              <w:bottom w:val="single" w:sz="6" w:space="0" w:color="808080"/>
              <w:right w:val="single" w:sz="6" w:space="0" w:color="808080"/>
            </w:tcBorders>
            <w:shd w:val="clear" w:color="auto" w:fill="F9FBFD"/>
            <w:vAlign w:val="center"/>
          </w:tcPr>
          <w:p w14:paraId="26D71F95" w14:textId="77777777" w:rsidR="00155420" w:rsidRDefault="00155420">
            <w:pPr>
              <w:widowControl w:val="0"/>
              <w:pBdr>
                <w:top w:val="nil"/>
                <w:left w:val="nil"/>
                <w:bottom w:val="nil"/>
                <w:right w:val="nil"/>
                <w:between w:val="nil"/>
              </w:pBdr>
              <w:spacing w:after="0" w:line="276" w:lineRule="auto"/>
              <w:rPr>
                <w:sz w:val="20"/>
                <w:szCs w:val="20"/>
              </w:rPr>
            </w:pPr>
          </w:p>
        </w:tc>
        <w:tc>
          <w:tcPr>
            <w:tcW w:w="818" w:type="dxa"/>
            <w:tcBorders>
              <w:top w:val="single" w:sz="6" w:space="0" w:color="808080"/>
              <w:left w:val="single" w:sz="6" w:space="0" w:color="808080"/>
              <w:bottom w:val="single" w:sz="6" w:space="0" w:color="808080"/>
              <w:right w:val="single" w:sz="6" w:space="0" w:color="808080"/>
            </w:tcBorders>
            <w:shd w:val="clear" w:color="auto" w:fill="F9FBFD"/>
            <w:vAlign w:val="center"/>
          </w:tcPr>
          <w:p w14:paraId="25E3661B" w14:textId="77777777" w:rsidR="00155420" w:rsidRDefault="00E84F93">
            <w:pPr>
              <w:spacing w:after="0"/>
              <w:jc w:val="center"/>
              <w:rPr>
                <w:rFonts w:ascii="Times New Roman" w:eastAsia="Times New Roman" w:hAnsi="Times New Roman" w:cs="Times New Roman"/>
                <w:sz w:val="24"/>
                <w:szCs w:val="24"/>
              </w:rPr>
            </w:pPr>
            <w:r>
              <w:rPr>
                <w:sz w:val="20"/>
                <w:szCs w:val="20"/>
              </w:rPr>
              <w:t>Baseline</w:t>
            </w:r>
          </w:p>
        </w:tc>
        <w:tc>
          <w:tcPr>
            <w:tcW w:w="682" w:type="dxa"/>
            <w:tcBorders>
              <w:top w:val="single" w:sz="6" w:space="0" w:color="808080"/>
              <w:left w:val="single" w:sz="6" w:space="0" w:color="808080"/>
              <w:bottom w:val="single" w:sz="6" w:space="0" w:color="808080"/>
              <w:right w:val="single" w:sz="6" w:space="0" w:color="808080"/>
            </w:tcBorders>
            <w:shd w:val="clear" w:color="auto" w:fill="F9FBFD"/>
            <w:vAlign w:val="center"/>
          </w:tcPr>
          <w:p w14:paraId="1FD0DE85" w14:textId="77777777" w:rsidR="00155420" w:rsidRDefault="00E84F93">
            <w:pPr>
              <w:spacing w:after="0"/>
              <w:jc w:val="center"/>
              <w:rPr>
                <w:rFonts w:ascii="Times New Roman" w:eastAsia="Times New Roman" w:hAnsi="Times New Roman" w:cs="Times New Roman"/>
                <w:sz w:val="24"/>
                <w:szCs w:val="24"/>
              </w:rPr>
            </w:pPr>
            <w:r>
              <w:rPr>
                <w:sz w:val="20"/>
                <w:szCs w:val="20"/>
              </w:rPr>
              <w:t>Y1</w:t>
            </w:r>
          </w:p>
        </w:tc>
        <w:tc>
          <w:tcPr>
            <w:tcW w:w="682" w:type="dxa"/>
            <w:tcBorders>
              <w:top w:val="single" w:sz="6" w:space="0" w:color="808080"/>
              <w:left w:val="single" w:sz="6" w:space="0" w:color="808080"/>
              <w:bottom w:val="single" w:sz="6" w:space="0" w:color="808080"/>
              <w:right w:val="single" w:sz="6" w:space="0" w:color="808080"/>
            </w:tcBorders>
            <w:shd w:val="clear" w:color="auto" w:fill="F9FBFD"/>
            <w:vAlign w:val="center"/>
          </w:tcPr>
          <w:p w14:paraId="2AF55D73" w14:textId="77777777" w:rsidR="00155420" w:rsidRDefault="00E84F93">
            <w:pPr>
              <w:spacing w:after="0"/>
              <w:jc w:val="center"/>
              <w:rPr>
                <w:rFonts w:ascii="Times New Roman" w:eastAsia="Times New Roman" w:hAnsi="Times New Roman" w:cs="Times New Roman"/>
                <w:sz w:val="24"/>
                <w:szCs w:val="24"/>
              </w:rPr>
            </w:pPr>
            <w:r>
              <w:rPr>
                <w:sz w:val="20"/>
                <w:szCs w:val="20"/>
              </w:rPr>
              <w:t>Y2</w:t>
            </w:r>
          </w:p>
        </w:tc>
        <w:tc>
          <w:tcPr>
            <w:tcW w:w="685" w:type="dxa"/>
            <w:tcBorders>
              <w:top w:val="single" w:sz="6" w:space="0" w:color="808080"/>
              <w:left w:val="single" w:sz="6" w:space="0" w:color="808080"/>
              <w:bottom w:val="single" w:sz="6" w:space="0" w:color="808080"/>
              <w:right w:val="single" w:sz="6" w:space="0" w:color="808080"/>
            </w:tcBorders>
            <w:shd w:val="clear" w:color="auto" w:fill="F9FBFD"/>
            <w:vAlign w:val="center"/>
          </w:tcPr>
          <w:p w14:paraId="220EC30B" w14:textId="77777777" w:rsidR="00155420" w:rsidRDefault="00E84F93">
            <w:pPr>
              <w:spacing w:after="0"/>
              <w:jc w:val="center"/>
              <w:rPr>
                <w:rFonts w:ascii="Times New Roman" w:eastAsia="Times New Roman" w:hAnsi="Times New Roman" w:cs="Times New Roman"/>
                <w:sz w:val="24"/>
                <w:szCs w:val="24"/>
              </w:rPr>
            </w:pPr>
            <w:r>
              <w:rPr>
                <w:sz w:val="20"/>
                <w:szCs w:val="20"/>
              </w:rPr>
              <w:t>Y3</w:t>
            </w:r>
          </w:p>
        </w:tc>
        <w:tc>
          <w:tcPr>
            <w:tcW w:w="3277" w:type="dxa"/>
            <w:vMerge/>
            <w:tcBorders>
              <w:top w:val="single" w:sz="6" w:space="0" w:color="808080"/>
              <w:left w:val="single" w:sz="6" w:space="0" w:color="808080"/>
              <w:right w:val="single" w:sz="6" w:space="0" w:color="808080"/>
            </w:tcBorders>
            <w:shd w:val="clear" w:color="auto" w:fill="F9FBFD"/>
            <w:vAlign w:val="center"/>
          </w:tcPr>
          <w:p w14:paraId="2B5D54AA" w14:textId="77777777" w:rsidR="00155420" w:rsidRDefault="0015542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955" w:type="dxa"/>
            <w:vMerge/>
            <w:tcBorders>
              <w:top w:val="single" w:sz="6" w:space="0" w:color="808080"/>
              <w:left w:val="single" w:sz="6" w:space="0" w:color="808080"/>
              <w:right w:val="single" w:sz="6" w:space="0" w:color="808080"/>
            </w:tcBorders>
            <w:shd w:val="clear" w:color="auto" w:fill="F9FBFD"/>
            <w:vAlign w:val="center"/>
          </w:tcPr>
          <w:p w14:paraId="3685C52A" w14:textId="77777777" w:rsidR="00155420" w:rsidRDefault="0015542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364" w:type="dxa"/>
            <w:vMerge/>
            <w:tcBorders>
              <w:top w:val="single" w:sz="6" w:space="0" w:color="808080"/>
              <w:left w:val="single" w:sz="6" w:space="0" w:color="808080"/>
              <w:right w:val="single" w:sz="6" w:space="0" w:color="808080"/>
            </w:tcBorders>
            <w:shd w:val="clear" w:color="auto" w:fill="F9FBFD"/>
            <w:vAlign w:val="center"/>
          </w:tcPr>
          <w:p w14:paraId="44E9BA11" w14:textId="77777777" w:rsidR="00155420" w:rsidRDefault="0015542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3494" w:type="dxa"/>
            <w:vMerge/>
            <w:tcBorders>
              <w:top w:val="single" w:sz="6" w:space="0" w:color="808080"/>
              <w:left w:val="single" w:sz="6" w:space="0" w:color="808080"/>
              <w:right w:val="single" w:sz="6" w:space="0" w:color="808080"/>
            </w:tcBorders>
            <w:shd w:val="clear" w:color="auto" w:fill="F9FBFD"/>
          </w:tcPr>
          <w:p w14:paraId="559407E6" w14:textId="77777777" w:rsidR="00155420" w:rsidRDefault="0015542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r>
      <w:tr w:rsidR="005C6956" w14:paraId="0721AF38" w14:textId="77777777" w:rsidTr="009B7068">
        <w:trPr>
          <w:trHeight w:val="439"/>
        </w:trPr>
        <w:tc>
          <w:tcPr>
            <w:tcW w:w="3172" w:type="dxa"/>
            <w:tcBorders>
              <w:top w:val="single" w:sz="6" w:space="0" w:color="808080"/>
              <w:left w:val="single" w:sz="6" w:space="0" w:color="808080"/>
              <w:bottom w:val="single" w:sz="6" w:space="0" w:color="808080"/>
              <w:right w:val="single" w:sz="6" w:space="0" w:color="808080"/>
            </w:tcBorders>
            <w:shd w:val="clear" w:color="auto" w:fill="auto"/>
            <w:vAlign w:val="center"/>
          </w:tcPr>
          <w:p w14:paraId="3668ECD6" w14:textId="29C2F7A9" w:rsidR="005C6956" w:rsidRPr="003E5DAA" w:rsidRDefault="005C6956" w:rsidP="00835238">
            <w:pPr>
              <w:spacing w:after="0"/>
              <w:ind w:left="60" w:right="-60"/>
              <w:rPr>
                <w:rFonts w:ascii="Times New Roman" w:eastAsia="Times New Roman" w:hAnsi="Times New Roman" w:cs="Times New Roman"/>
                <w:sz w:val="16"/>
                <w:szCs w:val="16"/>
              </w:rPr>
            </w:pPr>
            <w:r w:rsidRPr="003E5DAA">
              <w:rPr>
                <w:color w:val="000000"/>
                <w:sz w:val="16"/>
                <w:szCs w:val="16"/>
              </w:rPr>
              <w:t>TBDT-3a Percentage of notified patients with all forms of TB (i.e., bacteriologically confirmed + clinically diagnosed) contributed by non-national TB program providers- private/non-governmental facilities; *includes only those with new and relapse TB</w:t>
            </w:r>
          </w:p>
        </w:tc>
        <w:tc>
          <w:tcPr>
            <w:tcW w:w="818" w:type="dxa"/>
            <w:tcBorders>
              <w:top w:val="single" w:sz="6" w:space="0" w:color="808080"/>
              <w:left w:val="single" w:sz="6" w:space="0" w:color="808080"/>
              <w:bottom w:val="single" w:sz="6" w:space="0" w:color="808080"/>
              <w:right w:val="single" w:sz="6" w:space="0" w:color="808080"/>
            </w:tcBorders>
            <w:shd w:val="clear" w:color="auto" w:fill="FFFFFF"/>
            <w:vAlign w:val="center"/>
          </w:tcPr>
          <w:p w14:paraId="0B0959C9" w14:textId="77777777" w:rsidR="005C6956" w:rsidRPr="003E5DAA" w:rsidRDefault="005C6956" w:rsidP="00835238">
            <w:pPr>
              <w:pBdr>
                <w:top w:val="nil"/>
                <w:left w:val="nil"/>
                <w:bottom w:val="nil"/>
                <w:right w:val="nil"/>
                <w:between w:val="nil"/>
              </w:pBdr>
              <w:spacing w:line="264" w:lineRule="auto"/>
              <w:jc w:val="center"/>
              <w:rPr>
                <w:b/>
                <w:color w:val="000000"/>
                <w:sz w:val="16"/>
                <w:szCs w:val="16"/>
              </w:rPr>
            </w:pPr>
            <w:r w:rsidRPr="003E5DAA">
              <w:rPr>
                <w:b/>
                <w:color w:val="000000"/>
                <w:sz w:val="16"/>
                <w:szCs w:val="16"/>
              </w:rPr>
              <w:t>21%</w:t>
            </w:r>
          </w:p>
          <w:p w14:paraId="72529EA9" w14:textId="00C63BE1" w:rsidR="005C6956" w:rsidRPr="003E5DAA" w:rsidRDefault="005C6956" w:rsidP="00835238">
            <w:pPr>
              <w:spacing w:after="0"/>
              <w:ind w:right="-60"/>
              <w:jc w:val="center"/>
              <w:rPr>
                <w:rFonts w:ascii="Times New Roman" w:eastAsia="Times New Roman" w:hAnsi="Times New Roman" w:cs="Times New Roman"/>
                <w:sz w:val="16"/>
                <w:szCs w:val="16"/>
              </w:rPr>
            </w:pPr>
            <w:r w:rsidRPr="003E5DAA">
              <w:rPr>
                <w:color w:val="000000"/>
                <w:sz w:val="16"/>
                <w:szCs w:val="16"/>
              </w:rPr>
              <w:t>(99,240/476,754)</w:t>
            </w:r>
          </w:p>
        </w:tc>
        <w:tc>
          <w:tcPr>
            <w:tcW w:w="682" w:type="dxa"/>
            <w:tcBorders>
              <w:top w:val="single" w:sz="6" w:space="0" w:color="808080"/>
              <w:left w:val="single" w:sz="6" w:space="0" w:color="808080"/>
              <w:bottom w:val="single" w:sz="6" w:space="0" w:color="808080"/>
              <w:right w:val="single" w:sz="6" w:space="0" w:color="808080"/>
            </w:tcBorders>
            <w:shd w:val="clear" w:color="auto" w:fill="FFFFFF"/>
            <w:vAlign w:val="center"/>
          </w:tcPr>
          <w:p w14:paraId="4FF3E1A2" w14:textId="77777777" w:rsidR="005C6956" w:rsidRPr="003E5DAA" w:rsidRDefault="005C6956" w:rsidP="00835238">
            <w:pPr>
              <w:pBdr>
                <w:top w:val="nil"/>
                <w:left w:val="nil"/>
                <w:bottom w:val="nil"/>
                <w:right w:val="nil"/>
                <w:between w:val="nil"/>
              </w:pBdr>
              <w:spacing w:line="264" w:lineRule="auto"/>
              <w:jc w:val="center"/>
              <w:rPr>
                <w:b/>
                <w:color w:val="000000"/>
                <w:sz w:val="16"/>
                <w:szCs w:val="16"/>
              </w:rPr>
            </w:pPr>
            <w:r w:rsidRPr="003E5DAA">
              <w:rPr>
                <w:b/>
                <w:color w:val="000000"/>
                <w:sz w:val="16"/>
                <w:szCs w:val="16"/>
              </w:rPr>
              <w:t>25%</w:t>
            </w:r>
          </w:p>
          <w:p w14:paraId="669DC030" w14:textId="5A23D4D9" w:rsidR="005C6956" w:rsidRPr="003E5DAA" w:rsidRDefault="005C6956" w:rsidP="00835238">
            <w:pPr>
              <w:spacing w:after="0"/>
              <w:ind w:right="-60"/>
              <w:jc w:val="center"/>
              <w:rPr>
                <w:rFonts w:ascii="Times New Roman" w:eastAsia="Times New Roman" w:hAnsi="Times New Roman" w:cs="Times New Roman"/>
                <w:sz w:val="16"/>
                <w:szCs w:val="16"/>
              </w:rPr>
            </w:pPr>
            <w:r w:rsidRPr="003E5DAA">
              <w:rPr>
                <w:color w:val="000000"/>
                <w:sz w:val="16"/>
                <w:szCs w:val="16"/>
              </w:rPr>
              <w:t>(131,009/524,036)</w:t>
            </w:r>
          </w:p>
        </w:tc>
        <w:tc>
          <w:tcPr>
            <w:tcW w:w="682" w:type="dxa"/>
            <w:tcBorders>
              <w:top w:val="single" w:sz="6" w:space="0" w:color="808080"/>
              <w:left w:val="single" w:sz="6" w:space="0" w:color="808080"/>
              <w:bottom w:val="single" w:sz="6" w:space="0" w:color="808080"/>
              <w:right w:val="single" w:sz="6" w:space="0" w:color="808080"/>
            </w:tcBorders>
            <w:shd w:val="clear" w:color="auto" w:fill="FFFFFF"/>
            <w:vAlign w:val="center"/>
          </w:tcPr>
          <w:p w14:paraId="2BA97BB3" w14:textId="77777777" w:rsidR="005C6956" w:rsidRPr="003E5DAA" w:rsidRDefault="005C6956" w:rsidP="00835238">
            <w:pPr>
              <w:pBdr>
                <w:top w:val="nil"/>
                <w:left w:val="nil"/>
                <w:bottom w:val="nil"/>
                <w:right w:val="nil"/>
                <w:between w:val="nil"/>
              </w:pBdr>
              <w:spacing w:line="264" w:lineRule="auto"/>
              <w:jc w:val="center"/>
              <w:rPr>
                <w:b/>
                <w:color w:val="000000"/>
                <w:sz w:val="16"/>
                <w:szCs w:val="16"/>
              </w:rPr>
            </w:pPr>
            <w:r w:rsidRPr="003E5DAA">
              <w:rPr>
                <w:b/>
                <w:color w:val="000000"/>
                <w:sz w:val="16"/>
                <w:szCs w:val="16"/>
              </w:rPr>
              <w:t>25%</w:t>
            </w:r>
          </w:p>
          <w:p w14:paraId="4CE2E8F3" w14:textId="1FFB46F7" w:rsidR="005C6956" w:rsidRPr="003E5DAA" w:rsidRDefault="005C6956" w:rsidP="00835238">
            <w:pPr>
              <w:spacing w:after="0"/>
              <w:ind w:right="-60"/>
              <w:jc w:val="center"/>
              <w:rPr>
                <w:rFonts w:ascii="Times New Roman" w:eastAsia="Times New Roman" w:hAnsi="Times New Roman" w:cs="Times New Roman"/>
                <w:sz w:val="16"/>
                <w:szCs w:val="16"/>
              </w:rPr>
            </w:pPr>
            <w:r w:rsidRPr="003E5DAA">
              <w:rPr>
                <w:color w:val="000000"/>
                <w:sz w:val="16"/>
                <w:szCs w:val="16"/>
              </w:rPr>
              <w:t>(139,723/558,890)</w:t>
            </w:r>
          </w:p>
        </w:tc>
        <w:tc>
          <w:tcPr>
            <w:tcW w:w="685" w:type="dxa"/>
            <w:tcBorders>
              <w:top w:val="single" w:sz="6" w:space="0" w:color="808080"/>
              <w:left w:val="single" w:sz="6" w:space="0" w:color="808080"/>
              <w:bottom w:val="single" w:sz="6" w:space="0" w:color="808080"/>
              <w:right w:val="single" w:sz="6" w:space="0" w:color="808080"/>
            </w:tcBorders>
            <w:shd w:val="clear" w:color="auto" w:fill="FFFFFF"/>
            <w:vAlign w:val="center"/>
          </w:tcPr>
          <w:p w14:paraId="05DE2968" w14:textId="77777777" w:rsidR="005C6956" w:rsidRPr="003E5DAA" w:rsidRDefault="005C6956" w:rsidP="00835238">
            <w:pPr>
              <w:pBdr>
                <w:top w:val="nil"/>
                <w:left w:val="nil"/>
                <w:bottom w:val="nil"/>
                <w:right w:val="nil"/>
                <w:between w:val="nil"/>
              </w:pBdr>
              <w:spacing w:line="264" w:lineRule="auto"/>
              <w:jc w:val="center"/>
              <w:rPr>
                <w:b/>
                <w:color w:val="000000"/>
                <w:sz w:val="16"/>
                <w:szCs w:val="16"/>
              </w:rPr>
            </w:pPr>
            <w:r w:rsidRPr="003E5DAA">
              <w:rPr>
                <w:b/>
                <w:color w:val="000000"/>
                <w:sz w:val="16"/>
                <w:szCs w:val="16"/>
              </w:rPr>
              <w:t>25%</w:t>
            </w:r>
          </w:p>
          <w:p w14:paraId="380F8141" w14:textId="36E72CAF" w:rsidR="005C6956" w:rsidRPr="003E5DAA" w:rsidRDefault="005C6956" w:rsidP="00835238">
            <w:pPr>
              <w:spacing w:after="0"/>
              <w:ind w:right="-60"/>
              <w:jc w:val="center"/>
              <w:rPr>
                <w:rFonts w:ascii="Times New Roman" w:eastAsia="Times New Roman" w:hAnsi="Times New Roman" w:cs="Times New Roman"/>
                <w:sz w:val="16"/>
                <w:szCs w:val="16"/>
              </w:rPr>
            </w:pPr>
            <w:r w:rsidRPr="003E5DAA">
              <w:rPr>
                <w:color w:val="000000"/>
                <w:sz w:val="16"/>
                <w:szCs w:val="16"/>
              </w:rPr>
              <w:t>(148,928/595,711)</w:t>
            </w:r>
          </w:p>
        </w:tc>
        <w:tc>
          <w:tcPr>
            <w:tcW w:w="3277" w:type="dxa"/>
            <w:tcBorders>
              <w:top w:val="single" w:sz="6" w:space="0" w:color="808080"/>
              <w:left w:val="single" w:sz="6" w:space="0" w:color="808080"/>
              <w:bottom w:val="single" w:sz="6" w:space="0" w:color="808080"/>
              <w:right w:val="single" w:sz="6" w:space="0" w:color="808080"/>
            </w:tcBorders>
            <w:shd w:val="clear" w:color="auto" w:fill="auto"/>
            <w:vAlign w:val="center"/>
          </w:tcPr>
          <w:p w14:paraId="45DE5F53" w14:textId="29993249" w:rsidR="005C6956" w:rsidRPr="004D7734" w:rsidRDefault="005C6956" w:rsidP="004D7734">
            <w:pPr>
              <w:spacing w:after="0"/>
              <w:rPr>
                <w:rFonts w:eastAsia="Times New Roman"/>
                <w:sz w:val="16"/>
                <w:szCs w:val="16"/>
              </w:rPr>
            </w:pPr>
            <w:r w:rsidRPr="004D7734">
              <w:rPr>
                <w:rFonts w:eastAsia="Times New Roman"/>
                <w:sz w:val="16"/>
                <w:szCs w:val="16"/>
              </w:rPr>
              <w:t>The indicator directly reflects the results from the RXPASS and Incentive Scheme Mechanism</w:t>
            </w:r>
            <w:r>
              <w:rPr>
                <w:rFonts w:eastAsia="Times New Roman"/>
                <w:sz w:val="16"/>
                <w:szCs w:val="16"/>
              </w:rPr>
              <w:t xml:space="preserve"> that will be employed in increasing private sector engagement. </w:t>
            </w:r>
          </w:p>
        </w:tc>
        <w:tc>
          <w:tcPr>
            <w:tcW w:w="955" w:type="dxa"/>
            <w:vMerge w:val="restart"/>
            <w:tcBorders>
              <w:top w:val="single" w:sz="6" w:space="0" w:color="808080"/>
              <w:left w:val="single" w:sz="6" w:space="0" w:color="808080"/>
              <w:right w:val="single" w:sz="6" w:space="0" w:color="808080"/>
            </w:tcBorders>
          </w:tcPr>
          <w:p w14:paraId="7EFBBC47" w14:textId="4C5FD14A" w:rsidR="005C6956" w:rsidRPr="003E5DAA" w:rsidRDefault="005C6956" w:rsidP="00835238">
            <w:pPr>
              <w:spacing w:after="0"/>
              <w:jc w:val="center"/>
              <w:rPr>
                <w:sz w:val="16"/>
                <w:szCs w:val="16"/>
              </w:rPr>
            </w:pPr>
            <w:r w:rsidRPr="003E5DAA">
              <w:rPr>
                <w:sz w:val="16"/>
                <w:szCs w:val="16"/>
              </w:rPr>
              <w:t>USD 3,038,501</w:t>
            </w:r>
          </w:p>
        </w:tc>
        <w:tc>
          <w:tcPr>
            <w:tcW w:w="1364" w:type="dxa"/>
            <w:vMerge w:val="restart"/>
            <w:tcBorders>
              <w:top w:val="single" w:sz="6" w:space="0" w:color="808080"/>
              <w:left w:val="single" w:sz="6" w:space="0" w:color="808080"/>
              <w:right w:val="single" w:sz="6" w:space="0" w:color="808080"/>
            </w:tcBorders>
          </w:tcPr>
          <w:p w14:paraId="651B82F3" w14:textId="77777777" w:rsidR="005C6956" w:rsidRPr="004D7734" w:rsidRDefault="005C6956" w:rsidP="004D7734">
            <w:pPr>
              <w:pStyle w:val="ListParagraph"/>
              <w:numPr>
                <w:ilvl w:val="0"/>
                <w:numId w:val="43"/>
              </w:numPr>
              <w:spacing w:after="0"/>
              <w:rPr>
                <w:sz w:val="16"/>
                <w:szCs w:val="16"/>
              </w:rPr>
            </w:pPr>
            <w:r w:rsidRPr="004D7734">
              <w:rPr>
                <w:sz w:val="16"/>
                <w:szCs w:val="16"/>
              </w:rPr>
              <w:t>Increased TB case notification</w:t>
            </w:r>
          </w:p>
          <w:p w14:paraId="0E17911F" w14:textId="7B856905" w:rsidR="005C6956" w:rsidRDefault="005C6956" w:rsidP="004D7734">
            <w:pPr>
              <w:pStyle w:val="ListParagraph"/>
              <w:numPr>
                <w:ilvl w:val="0"/>
                <w:numId w:val="43"/>
              </w:numPr>
              <w:spacing w:after="0"/>
              <w:rPr>
                <w:sz w:val="16"/>
                <w:szCs w:val="16"/>
              </w:rPr>
            </w:pPr>
            <w:r w:rsidRPr="004D7734">
              <w:rPr>
                <w:sz w:val="16"/>
                <w:szCs w:val="16"/>
              </w:rPr>
              <w:t>Increased</w:t>
            </w:r>
            <w:r>
              <w:rPr>
                <w:sz w:val="16"/>
                <w:szCs w:val="16"/>
              </w:rPr>
              <w:t xml:space="preserve"> use of </w:t>
            </w:r>
            <w:r w:rsidRPr="004D7734">
              <w:rPr>
                <w:sz w:val="16"/>
                <w:szCs w:val="16"/>
              </w:rPr>
              <w:t xml:space="preserve">RDT </w:t>
            </w:r>
          </w:p>
          <w:p w14:paraId="4AC822E0" w14:textId="77777777" w:rsidR="005C6956" w:rsidRDefault="005C6956" w:rsidP="004D7734">
            <w:pPr>
              <w:pStyle w:val="ListParagraph"/>
              <w:numPr>
                <w:ilvl w:val="0"/>
                <w:numId w:val="43"/>
              </w:numPr>
              <w:spacing w:after="0"/>
              <w:rPr>
                <w:sz w:val="16"/>
                <w:szCs w:val="16"/>
              </w:rPr>
            </w:pPr>
            <w:r w:rsidRPr="004D7734">
              <w:rPr>
                <w:sz w:val="16"/>
                <w:szCs w:val="16"/>
              </w:rPr>
              <w:t xml:space="preserve">Reduction of clinical </w:t>
            </w:r>
          </w:p>
          <w:p w14:paraId="1A72FACA" w14:textId="3FE193BE" w:rsidR="005C6956" w:rsidRPr="004D7734" w:rsidRDefault="005C6956" w:rsidP="004D7734">
            <w:pPr>
              <w:pStyle w:val="ListParagraph"/>
              <w:numPr>
                <w:ilvl w:val="0"/>
                <w:numId w:val="43"/>
              </w:numPr>
              <w:spacing w:after="0"/>
              <w:rPr>
                <w:sz w:val="16"/>
                <w:szCs w:val="16"/>
              </w:rPr>
            </w:pPr>
            <w:r>
              <w:rPr>
                <w:sz w:val="16"/>
                <w:szCs w:val="16"/>
              </w:rPr>
              <w:t>Increased TSR in the private sector</w:t>
            </w:r>
          </w:p>
        </w:tc>
        <w:tc>
          <w:tcPr>
            <w:tcW w:w="3494" w:type="dxa"/>
            <w:vMerge w:val="restart"/>
            <w:tcBorders>
              <w:top w:val="single" w:sz="6" w:space="0" w:color="808080"/>
              <w:left w:val="single" w:sz="6" w:space="0" w:color="808080"/>
              <w:right w:val="single" w:sz="6" w:space="0" w:color="808080"/>
            </w:tcBorders>
          </w:tcPr>
          <w:p w14:paraId="67447914" w14:textId="77777777" w:rsidR="005C6956" w:rsidRDefault="005C6956" w:rsidP="005C6956">
            <w:pPr>
              <w:spacing w:after="0"/>
              <w:ind w:right="-60"/>
              <w:rPr>
                <w:sz w:val="16"/>
                <w:szCs w:val="16"/>
              </w:rPr>
            </w:pPr>
            <w:r>
              <w:rPr>
                <w:sz w:val="16"/>
                <w:szCs w:val="16"/>
              </w:rPr>
              <w:t xml:space="preserve">The report will be collected from the ITIS. </w:t>
            </w:r>
          </w:p>
          <w:p w14:paraId="336B701E" w14:textId="77777777" w:rsidR="005C6956" w:rsidRDefault="005C6956" w:rsidP="005C6956">
            <w:pPr>
              <w:spacing w:after="0"/>
              <w:ind w:right="-60"/>
              <w:rPr>
                <w:sz w:val="16"/>
                <w:szCs w:val="16"/>
              </w:rPr>
            </w:pPr>
          </w:p>
          <w:p w14:paraId="480BC8C3" w14:textId="19B5AC94" w:rsidR="005C6956" w:rsidRPr="003E5DAA" w:rsidRDefault="005C6956" w:rsidP="005C6956">
            <w:pPr>
              <w:spacing w:after="0"/>
              <w:ind w:right="-60"/>
              <w:rPr>
                <w:sz w:val="16"/>
                <w:szCs w:val="16"/>
              </w:rPr>
            </w:pPr>
            <w:r>
              <w:rPr>
                <w:sz w:val="16"/>
                <w:szCs w:val="16"/>
              </w:rPr>
              <w:t xml:space="preserve">The full description of the </w:t>
            </w:r>
            <w:proofErr w:type="spellStart"/>
            <w:r>
              <w:rPr>
                <w:sz w:val="16"/>
                <w:szCs w:val="16"/>
              </w:rPr>
              <w:t>RxPASS</w:t>
            </w:r>
            <w:proofErr w:type="spellEnd"/>
            <w:r>
              <w:rPr>
                <w:sz w:val="16"/>
                <w:szCs w:val="16"/>
              </w:rPr>
              <w:t xml:space="preserve"> mechanism</w:t>
            </w:r>
            <w:r w:rsidR="00532088">
              <w:rPr>
                <w:sz w:val="16"/>
                <w:szCs w:val="16"/>
              </w:rPr>
              <w:t>, including data validation</w:t>
            </w:r>
            <w:r w:rsidR="00D65121">
              <w:rPr>
                <w:sz w:val="16"/>
                <w:szCs w:val="16"/>
              </w:rPr>
              <w:t>,</w:t>
            </w:r>
            <w:r>
              <w:rPr>
                <w:sz w:val="16"/>
                <w:szCs w:val="16"/>
              </w:rPr>
              <w:t xml:space="preserve"> is detailed in </w:t>
            </w:r>
            <w:r w:rsidRPr="00532088">
              <w:rPr>
                <w:b/>
                <w:bCs/>
                <w:sz w:val="16"/>
                <w:szCs w:val="16"/>
              </w:rPr>
              <w:t>Annex 23</w:t>
            </w:r>
            <w:r>
              <w:rPr>
                <w:sz w:val="16"/>
                <w:szCs w:val="16"/>
              </w:rPr>
              <w:t xml:space="preserve">. </w:t>
            </w:r>
          </w:p>
        </w:tc>
      </w:tr>
      <w:tr w:rsidR="005C6956" w14:paraId="194BD444" w14:textId="77777777" w:rsidTr="009B7068">
        <w:trPr>
          <w:trHeight w:val="388"/>
        </w:trPr>
        <w:tc>
          <w:tcPr>
            <w:tcW w:w="3172" w:type="dxa"/>
            <w:tcBorders>
              <w:top w:val="single" w:sz="6" w:space="0" w:color="808080"/>
              <w:left w:val="single" w:sz="6" w:space="0" w:color="808080"/>
              <w:bottom w:val="single" w:sz="6" w:space="0" w:color="808080"/>
              <w:right w:val="single" w:sz="6" w:space="0" w:color="808080"/>
            </w:tcBorders>
            <w:shd w:val="clear" w:color="auto" w:fill="auto"/>
            <w:vAlign w:val="center"/>
          </w:tcPr>
          <w:p w14:paraId="324BAAAC" w14:textId="234A1350" w:rsidR="005C6956" w:rsidRPr="003E5DAA" w:rsidRDefault="005C6956" w:rsidP="00835238">
            <w:pPr>
              <w:spacing w:after="0"/>
              <w:ind w:left="60"/>
              <w:rPr>
                <w:rFonts w:ascii="Times New Roman" w:eastAsia="Times New Roman" w:hAnsi="Times New Roman" w:cs="Times New Roman"/>
                <w:sz w:val="16"/>
                <w:szCs w:val="16"/>
              </w:rPr>
            </w:pPr>
            <w:r w:rsidRPr="003E5DAA">
              <w:rPr>
                <w:color w:val="000000"/>
                <w:sz w:val="16"/>
                <w:szCs w:val="16"/>
              </w:rPr>
              <w:t xml:space="preserve">TBC-1 Treatment Success Rate in </w:t>
            </w:r>
            <w:r>
              <w:rPr>
                <w:color w:val="000000"/>
                <w:sz w:val="16"/>
                <w:szCs w:val="16"/>
              </w:rPr>
              <w:t xml:space="preserve">the </w:t>
            </w:r>
            <w:r w:rsidRPr="003E5DAA">
              <w:rPr>
                <w:color w:val="000000"/>
                <w:sz w:val="16"/>
                <w:szCs w:val="16"/>
              </w:rPr>
              <w:t>private sector: Percentage of TB patients (all forms) bacteriologically confirmed plus clinically diagnosed, successfully treated in the private sector</w:t>
            </w:r>
          </w:p>
        </w:tc>
        <w:tc>
          <w:tcPr>
            <w:tcW w:w="818" w:type="dxa"/>
            <w:tcBorders>
              <w:top w:val="single" w:sz="6" w:space="0" w:color="808080"/>
              <w:left w:val="single" w:sz="6" w:space="0" w:color="808080"/>
              <w:bottom w:val="single" w:sz="6" w:space="0" w:color="808080"/>
              <w:right w:val="single" w:sz="6" w:space="0" w:color="808080"/>
            </w:tcBorders>
            <w:shd w:val="clear" w:color="auto" w:fill="FFFFFF"/>
            <w:vAlign w:val="center"/>
          </w:tcPr>
          <w:p w14:paraId="5FF5E8FD" w14:textId="77777777" w:rsidR="005C6956" w:rsidRPr="003E5DAA" w:rsidRDefault="005C6956" w:rsidP="00835238">
            <w:pPr>
              <w:pBdr>
                <w:top w:val="nil"/>
                <w:left w:val="nil"/>
                <w:bottom w:val="nil"/>
                <w:right w:val="nil"/>
                <w:between w:val="nil"/>
              </w:pBdr>
              <w:spacing w:line="264" w:lineRule="auto"/>
              <w:jc w:val="center"/>
              <w:rPr>
                <w:color w:val="000000"/>
                <w:sz w:val="16"/>
                <w:szCs w:val="16"/>
              </w:rPr>
            </w:pPr>
          </w:p>
          <w:p w14:paraId="77F81EA1" w14:textId="77777777" w:rsidR="005C6956" w:rsidRPr="003E5DAA" w:rsidRDefault="005C6956" w:rsidP="00835238">
            <w:pPr>
              <w:pBdr>
                <w:top w:val="nil"/>
                <w:left w:val="nil"/>
                <w:bottom w:val="nil"/>
                <w:right w:val="nil"/>
                <w:between w:val="nil"/>
              </w:pBdr>
              <w:spacing w:line="264" w:lineRule="auto"/>
              <w:jc w:val="center"/>
              <w:rPr>
                <w:b/>
                <w:color w:val="000000"/>
                <w:sz w:val="16"/>
                <w:szCs w:val="16"/>
              </w:rPr>
            </w:pPr>
            <w:r w:rsidRPr="003E5DAA">
              <w:rPr>
                <w:b/>
                <w:color w:val="000000"/>
                <w:sz w:val="16"/>
                <w:szCs w:val="16"/>
              </w:rPr>
              <w:t>22.94%</w:t>
            </w:r>
          </w:p>
          <w:p w14:paraId="04BBF5D6" w14:textId="77777777" w:rsidR="005C6956" w:rsidRPr="003E5DAA" w:rsidRDefault="005C6956" w:rsidP="00835238">
            <w:pPr>
              <w:pBdr>
                <w:top w:val="nil"/>
                <w:left w:val="nil"/>
                <w:bottom w:val="nil"/>
                <w:right w:val="nil"/>
                <w:between w:val="nil"/>
              </w:pBdr>
              <w:spacing w:line="264" w:lineRule="auto"/>
              <w:jc w:val="center"/>
              <w:rPr>
                <w:color w:val="000000"/>
                <w:sz w:val="16"/>
                <w:szCs w:val="16"/>
              </w:rPr>
            </w:pPr>
            <w:r w:rsidRPr="003E5DAA">
              <w:rPr>
                <w:color w:val="000000"/>
                <w:sz w:val="16"/>
                <w:szCs w:val="16"/>
              </w:rPr>
              <w:t>(12,935/56,377)</w:t>
            </w:r>
          </w:p>
          <w:p w14:paraId="1BDF4C39" w14:textId="77777777" w:rsidR="005C6956" w:rsidRPr="003E5DAA" w:rsidRDefault="005C6956" w:rsidP="00835238">
            <w:pPr>
              <w:spacing w:after="0"/>
              <w:ind w:right="-60"/>
              <w:jc w:val="center"/>
              <w:rPr>
                <w:rFonts w:ascii="Times New Roman" w:eastAsia="Times New Roman" w:hAnsi="Times New Roman" w:cs="Times New Roman"/>
                <w:sz w:val="16"/>
                <w:szCs w:val="16"/>
              </w:rPr>
            </w:pPr>
          </w:p>
        </w:tc>
        <w:tc>
          <w:tcPr>
            <w:tcW w:w="682" w:type="dxa"/>
            <w:tcBorders>
              <w:top w:val="single" w:sz="6" w:space="0" w:color="808080"/>
              <w:left w:val="single" w:sz="6" w:space="0" w:color="808080"/>
              <w:bottom w:val="single" w:sz="6" w:space="0" w:color="808080"/>
              <w:right w:val="single" w:sz="6" w:space="0" w:color="808080"/>
            </w:tcBorders>
            <w:shd w:val="clear" w:color="auto" w:fill="FFFFFF"/>
            <w:vAlign w:val="center"/>
          </w:tcPr>
          <w:p w14:paraId="39D2C339" w14:textId="77777777" w:rsidR="005C6956" w:rsidRPr="003E5DAA" w:rsidRDefault="005C6956" w:rsidP="00835238">
            <w:pPr>
              <w:pBdr>
                <w:top w:val="nil"/>
                <w:left w:val="nil"/>
                <w:bottom w:val="nil"/>
                <w:right w:val="nil"/>
                <w:between w:val="nil"/>
              </w:pBdr>
              <w:spacing w:line="264" w:lineRule="auto"/>
              <w:jc w:val="center"/>
              <w:rPr>
                <w:color w:val="000000"/>
                <w:sz w:val="16"/>
                <w:szCs w:val="16"/>
              </w:rPr>
            </w:pPr>
            <w:r w:rsidRPr="003E5DAA">
              <w:rPr>
                <w:b/>
                <w:color w:val="000000"/>
                <w:sz w:val="16"/>
                <w:szCs w:val="16"/>
              </w:rPr>
              <w:t>55%</w:t>
            </w:r>
            <w:r w:rsidRPr="003E5DAA">
              <w:rPr>
                <w:color w:val="000000"/>
                <w:sz w:val="16"/>
                <w:szCs w:val="16"/>
              </w:rPr>
              <w:t xml:space="preserve"> </w:t>
            </w:r>
          </w:p>
          <w:p w14:paraId="607BE1F9" w14:textId="65982930" w:rsidR="005C6956" w:rsidRPr="003E5DAA" w:rsidRDefault="005C6956" w:rsidP="00835238">
            <w:pPr>
              <w:spacing w:after="0"/>
              <w:ind w:right="-60"/>
              <w:jc w:val="center"/>
              <w:rPr>
                <w:rFonts w:ascii="Times New Roman" w:eastAsia="Times New Roman" w:hAnsi="Times New Roman" w:cs="Times New Roman"/>
                <w:sz w:val="16"/>
                <w:szCs w:val="16"/>
              </w:rPr>
            </w:pPr>
            <w:r w:rsidRPr="003E5DAA">
              <w:rPr>
                <w:color w:val="000000"/>
                <w:sz w:val="16"/>
                <w:szCs w:val="16"/>
              </w:rPr>
              <w:t>(66,273/120,497)</w:t>
            </w:r>
          </w:p>
        </w:tc>
        <w:tc>
          <w:tcPr>
            <w:tcW w:w="682" w:type="dxa"/>
            <w:tcBorders>
              <w:top w:val="single" w:sz="6" w:space="0" w:color="808080"/>
              <w:left w:val="single" w:sz="6" w:space="0" w:color="808080"/>
              <w:bottom w:val="single" w:sz="6" w:space="0" w:color="808080"/>
              <w:right w:val="single" w:sz="6" w:space="0" w:color="808080"/>
            </w:tcBorders>
            <w:shd w:val="clear" w:color="auto" w:fill="FFFFFF"/>
            <w:vAlign w:val="center"/>
          </w:tcPr>
          <w:p w14:paraId="1970FB38" w14:textId="77777777" w:rsidR="005C6956" w:rsidRPr="003E5DAA" w:rsidRDefault="005C6956" w:rsidP="00835238">
            <w:pPr>
              <w:pBdr>
                <w:top w:val="nil"/>
                <w:left w:val="nil"/>
                <w:bottom w:val="nil"/>
                <w:right w:val="nil"/>
                <w:between w:val="nil"/>
              </w:pBdr>
              <w:spacing w:line="264" w:lineRule="auto"/>
              <w:jc w:val="center"/>
              <w:rPr>
                <w:b/>
                <w:color w:val="000000"/>
                <w:sz w:val="16"/>
                <w:szCs w:val="16"/>
              </w:rPr>
            </w:pPr>
            <w:r w:rsidRPr="003E5DAA">
              <w:rPr>
                <w:b/>
                <w:color w:val="000000"/>
                <w:sz w:val="16"/>
                <w:szCs w:val="16"/>
              </w:rPr>
              <w:t>65%</w:t>
            </w:r>
          </w:p>
          <w:p w14:paraId="0B99014D" w14:textId="1E625296" w:rsidR="005C6956" w:rsidRPr="003E5DAA" w:rsidRDefault="005C6956" w:rsidP="00835238">
            <w:pPr>
              <w:spacing w:after="0"/>
              <w:ind w:right="-60"/>
              <w:jc w:val="center"/>
              <w:rPr>
                <w:rFonts w:ascii="Times New Roman" w:eastAsia="Times New Roman" w:hAnsi="Times New Roman" w:cs="Times New Roman"/>
                <w:sz w:val="16"/>
                <w:szCs w:val="16"/>
              </w:rPr>
            </w:pPr>
            <w:r w:rsidRPr="003E5DAA">
              <w:rPr>
                <w:color w:val="000000"/>
                <w:sz w:val="16"/>
                <w:szCs w:val="16"/>
              </w:rPr>
              <w:t>(85,156/131,009)</w:t>
            </w:r>
          </w:p>
        </w:tc>
        <w:tc>
          <w:tcPr>
            <w:tcW w:w="685" w:type="dxa"/>
            <w:tcBorders>
              <w:top w:val="single" w:sz="6" w:space="0" w:color="808080"/>
              <w:left w:val="single" w:sz="6" w:space="0" w:color="808080"/>
              <w:bottom w:val="single" w:sz="6" w:space="0" w:color="808080"/>
              <w:right w:val="single" w:sz="6" w:space="0" w:color="808080"/>
            </w:tcBorders>
            <w:shd w:val="clear" w:color="auto" w:fill="FFFFFF"/>
            <w:vAlign w:val="center"/>
          </w:tcPr>
          <w:p w14:paraId="3D0703A8" w14:textId="77777777" w:rsidR="005C6956" w:rsidRPr="003E5DAA" w:rsidRDefault="005C6956" w:rsidP="00835238">
            <w:pPr>
              <w:pBdr>
                <w:top w:val="nil"/>
                <w:left w:val="nil"/>
                <w:bottom w:val="nil"/>
                <w:right w:val="nil"/>
                <w:between w:val="nil"/>
              </w:pBdr>
              <w:spacing w:line="264" w:lineRule="auto"/>
              <w:jc w:val="center"/>
              <w:rPr>
                <w:b/>
                <w:color w:val="000000"/>
                <w:sz w:val="16"/>
                <w:szCs w:val="16"/>
              </w:rPr>
            </w:pPr>
            <w:r w:rsidRPr="003E5DAA">
              <w:rPr>
                <w:b/>
                <w:color w:val="000000"/>
                <w:sz w:val="16"/>
                <w:szCs w:val="16"/>
              </w:rPr>
              <w:t>75%</w:t>
            </w:r>
          </w:p>
          <w:p w14:paraId="07D39369" w14:textId="51242297" w:rsidR="005C6956" w:rsidRPr="003E5DAA" w:rsidRDefault="005C6956" w:rsidP="00835238">
            <w:pPr>
              <w:spacing w:after="0"/>
              <w:ind w:right="-60"/>
              <w:jc w:val="center"/>
              <w:rPr>
                <w:rFonts w:ascii="Times New Roman" w:eastAsia="Times New Roman" w:hAnsi="Times New Roman" w:cs="Times New Roman"/>
                <w:sz w:val="16"/>
                <w:szCs w:val="16"/>
              </w:rPr>
            </w:pPr>
            <w:r w:rsidRPr="003E5DAA">
              <w:rPr>
                <w:color w:val="000000"/>
                <w:sz w:val="16"/>
                <w:szCs w:val="16"/>
              </w:rPr>
              <w:t>(104,792/139,723)</w:t>
            </w:r>
          </w:p>
        </w:tc>
        <w:tc>
          <w:tcPr>
            <w:tcW w:w="3277" w:type="dxa"/>
            <w:tcBorders>
              <w:top w:val="single" w:sz="6" w:space="0" w:color="808080"/>
              <w:left w:val="single" w:sz="6" w:space="0" w:color="808080"/>
              <w:bottom w:val="single" w:sz="6" w:space="0" w:color="808080"/>
              <w:right w:val="single" w:sz="6" w:space="0" w:color="808080"/>
            </w:tcBorders>
            <w:shd w:val="clear" w:color="auto" w:fill="auto"/>
            <w:vAlign w:val="center"/>
          </w:tcPr>
          <w:p w14:paraId="5ACACB9B" w14:textId="2BA65774" w:rsidR="005C6956" w:rsidRPr="004D7734" w:rsidRDefault="005C6956" w:rsidP="004D7734">
            <w:pPr>
              <w:spacing w:after="0"/>
              <w:ind w:right="-60"/>
              <w:rPr>
                <w:rFonts w:eastAsia="Times New Roman"/>
                <w:sz w:val="16"/>
                <w:szCs w:val="16"/>
              </w:rPr>
            </w:pPr>
            <w:r w:rsidRPr="004D7734">
              <w:rPr>
                <w:rFonts w:eastAsia="Times New Roman"/>
                <w:sz w:val="16"/>
                <w:szCs w:val="16"/>
              </w:rPr>
              <w:t>The indicator directly reflects the results from the RXPASS and Incentive Scheme Mechanism</w:t>
            </w:r>
            <w:r>
              <w:rPr>
                <w:rFonts w:eastAsia="Times New Roman"/>
                <w:sz w:val="16"/>
                <w:szCs w:val="16"/>
              </w:rPr>
              <w:t xml:space="preserve"> that will be employed in increasing private sector engagement.</w:t>
            </w:r>
          </w:p>
        </w:tc>
        <w:tc>
          <w:tcPr>
            <w:tcW w:w="955" w:type="dxa"/>
            <w:vMerge/>
            <w:tcBorders>
              <w:left w:val="single" w:sz="6" w:space="0" w:color="808080"/>
              <w:bottom w:val="single" w:sz="6" w:space="0" w:color="808080"/>
              <w:right w:val="single" w:sz="6" w:space="0" w:color="808080"/>
            </w:tcBorders>
          </w:tcPr>
          <w:p w14:paraId="30F1D672" w14:textId="77777777" w:rsidR="005C6956" w:rsidRPr="003E5DAA" w:rsidRDefault="005C6956" w:rsidP="00835238">
            <w:pPr>
              <w:spacing w:after="0"/>
              <w:ind w:right="-60"/>
              <w:jc w:val="center"/>
              <w:rPr>
                <w:sz w:val="16"/>
                <w:szCs w:val="16"/>
              </w:rPr>
            </w:pPr>
          </w:p>
        </w:tc>
        <w:tc>
          <w:tcPr>
            <w:tcW w:w="1364" w:type="dxa"/>
            <w:vMerge/>
            <w:tcBorders>
              <w:left w:val="single" w:sz="6" w:space="0" w:color="808080"/>
              <w:bottom w:val="single" w:sz="6" w:space="0" w:color="808080"/>
              <w:right w:val="single" w:sz="6" w:space="0" w:color="808080"/>
            </w:tcBorders>
          </w:tcPr>
          <w:p w14:paraId="48BCA4C9" w14:textId="77777777" w:rsidR="005C6956" w:rsidRPr="003E5DAA" w:rsidRDefault="005C6956" w:rsidP="00835238">
            <w:pPr>
              <w:spacing w:after="0"/>
              <w:ind w:right="-60"/>
              <w:jc w:val="center"/>
              <w:rPr>
                <w:sz w:val="16"/>
                <w:szCs w:val="16"/>
              </w:rPr>
            </w:pPr>
          </w:p>
        </w:tc>
        <w:tc>
          <w:tcPr>
            <w:tcW w:w="3494" w:type="dxa"/>
            <w:vMerge/>
            <w:tcBorders>
              <w:left w:val="single" w:sz="6" w:space="0" w:color="808080"/>
              <w:bottom w:val="single" w:sz="6" w:space="0" w:color="808080"/>
              <w:right w:val="single" w:sz="6" w:space="0" w:color="808080"/>
            </w:tcBorders>
          </w:tcPr>
          <w:p w14:paraId="080A96E7" w14:textId="6CB76535" w:rsidR="005C6956" w:rsidRPr="003E5DAA" w:rsidRDefault="005C6956" w:rsidP="00835238">
            <w:pPr>
              <w:spacing w:after="0"/>
              <w:ind w:right="-60"/>
              <w:jc w:val="center"/>
              <w:rPr>
                <w:sz w:val="16"/>
                <w:szCs w:val="16"/>
              </w:rPr>
            </w:pPr>
          </w:p>
        </w:tc>
      </w:tr>
      <w:tr w:rsidR="005C6956" w14:paraId="04327412" w14:textId="77777777" w:rsidTr="00D029DD">
        <w:trPr>
          <w:trHeight w:val="388"/>
        </w:trPr>
        <w:tc>
          <w:tcPr>
            <w:tcW w:w="3172"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D1AFEF6" w14:textId="692139D4" w:rsidR="005C6956" w:rsidRPr="003E5DAA" w:rsidRDefault="005C6956" w:rsidP="00835238">
            <w:pPr>
              <w:spacing w:after="0"/>
              <w:ind w:left="60"/>
              <w:rPr>
                <w:rFonts w:ascii="Times New Roman" w:eastAsia="Times New Roman" w:hAnsi="Times New Roman" w:cs="Times New Roman"/>
                <w:sz w:val="16"/>
                <w:szCs w:val="16"/>
              </w:rPr>
            </w:pPr>
            <w:r w:rsidRPr="003E5DAA">
              <w:rPr>
                <w:color w:val="000000"/>
                <w:sz w:val="16"/>
                <w:szCs w:val="16"/>
              </w:rPr>
              <w:t>KVP-2 Number of people with TB (all forms) notified among key affected populations/</w:t>
            </w:r>
            <w:r>
              <w:rPr>
                <w:color w:val="000000"/>
                <w:sz w:val="16"/>
                <w:szCs w:val="16"/>
              </w:rPr>
              <w:t>high-risk</w:t>
            </w:r>
            <w:r w:rsidRPr="003E5DAA">
              <w:rPr>
                <w:color w:val="000000"/>
                <w:sz w:val="16"/>
                <w:szCs w:val="16"/>
              </w:rPr>
              <w:t xml:space="preserve"> groups (other than prisoners); *includes only those with new and relapse</w:t>
            </w:r>
          </w:p>
        </w:tc>
        <w:tc>
          <w:tcPr>
            <w:tcW w:w="818" w:type="dxa"/>
            <w:tcBorders>
              <w:top w:val="single" w:sz="6" w:space="0" w:color="808080"/>
              <w:left w:val="single" w:sz="6" w:space="0" w:color="808080"/>
              <w:bottom w:val="single" w:sz="6" w:space="0" w:color="808080"/>
              <w:right w:val="single" w:sz="6" w:space="0" w:color="808080"/>
            </w:tcBorders>
            <w:shd w:val="clear" w:color="auto" w:fill="FFFFFF"/>
            <w:vAlign w:val="center"/>
          </w:tcPr>
          <w:p w14:paraId="5FB3D711" w14:textId="24F1BE98" w:rsidR="005C6956" w:rsidRPr="003E5DAA" w:rsidRDefault="005C6956" w:rsidP="00835238">
            <w:pPr>
              <w:spacing w:after="0"/>
              <w:ind w:right="-60"/>
              <w:jc w:val="center"/>
              <w:rPr>
                <w:rFonts w:ascii="Times New Roman" w:eastAsia="Times New Roman" w:hAnsi="Times New Roman" w:cs="Times New Roman"/>
                <w:sz w:val="16"/>
                <w:szCs w:val="16"/>
              </w:rPr>
            </w:pPr>
            <w:r w:rsidRPr="003E5DAA">
              <w:rPr>
                <w:color w:val="000000"/>
                <w:sz w:val="16"/>
                <w:szCs w:val="16"/>
              </w:rPr>
              <w:t>31,689</w:t>
            </w:r>
          </w:p>
        </w:tc>
        <w:tc>
          <w:tcPr>
            <w:tcW w:w="682" w:type="dxa"/>
            <w:tcBorders>
              <w:top w:val="single" w:sz="6" w:space="0" w:color="808080"/>
              <w:left w:val="single" w:sz="6" w:space="0" w:color="808080"/>
              <w:bottom w:val="single" w:sz="6" w:space="0" w:color="808080"/>
              <w:right w:val="single" w:sz="6" w:space="0" w:color="808080"/>
            </w:tcBorders>
            <w:shd w:val="clear" w:color="auto" w:fill="FFFFFF"/>
            <w:vAlign w:val="center"/>
          </w:tcPr>
          <w:p w14:paraId="114E8DC1" w14:textId="69299CCA" w:rsidR="005C6956" w:rsidRPr="003E5DAA" w:rsidRDefault="005C6956" w:rsidP="00835238">
            <w:pPr>
              <w:spacing w:after="0"/>
              <w:ind w:right="-60"/>
              <w:jc w:val="center"/>
              <w:rPr>
                <w:rFonts w:ascii="Times New Roman" w:eastAsia="Times New Roman" w:hAnsi="Times New Roman" w:cs="Times New Roman"/>
                <w:sz w:val="16"/>
                <w:szCs w:val="16"/>
              </w:rPr>
            </w:pPr>
            <w:r w:rsidRPr="003E5DAA">
              <w:rPr>
                <w:color w:val="000000"/>
                <w:sz w:val="16"/>
                <w:szCs w:val="16"/>
              </w:rPr>
              <w:t>32,880</w:t>
            </w:r>
          </w:p>
        </w:tc>
        <w:tc>
          <w:tcPr>
            <w:tcW w:w="682" w:type="dxa"/>
            <w:tcBorders>
              <w:top w:val="single" w:sz="6" w:space="0" w:color="808080"/>
              <w:left w:val="single" w:sz="6" w:space="0" w:color="808080"/>
              <w:bottom w:val="single" w:sz="6" w:space="0" w:color="808080"/>
              <w:right w:val="single" w:sz="6" w:space="0" w:color="808080"/>
            </w:tcBorders>
            <w:shd w:val="clear" w:color="auto" w:fill="FFFFFF"/>
            <w:vAlign w:val="center"/>
          </w:tcPr>
          <w:p w14:paraId="0DA0F225" w14:textId="7C70EDD6" w:rsidR="005C6956" w:rsidRPr="003E5DAA" w:rsidRDefault="005C6956" w:rsidP="00835238">
            <w:pPr>
              <w:spacing w:after="0"/>
              <w:ind w:right="-60"/>
              <w:jc w:val="center"/>
              <w:rPr>
                <w:rFonts w:ascii="Times New Roman" w:eastAsia="Times New Roman" w:hAnsi="Times New Roman" w:cs="Times New Roman"/>
                <w:sz w:val="16"/>
                <w:szCs w:val="16"/>
              </w:rPr>
            </w:pPr>
            <w:r w:rsidRPr="003E5DAA">
              <w:rPr>
                <w:color w:val="000000"/>
                <w:sz w:val="16"/>
                <w:szCs w:val="16"/>
              </w:rPr>
              <w:t>34,380</w:t>
            </w:r>
          </w:p>
        </w:tc>
        <w:tc>
          <w:tcPr>
            <w:tcW w:w="685" w:type="dxa"/>
            <w:tcBorders>
              <w:top w:val="single" w:sz="6" w:space="0" w:color="808080"/>
              <w:left w:val="single" w:sz="6" w:space="0" w:color="808080"/>
              <w:bottom w:val="single" w:sz="6" w:space="0" w:color="808080"/>
              <w:right w:val="single" w:sz="6" w:space="0" w:color="808080"/>
            </w:tcBorders>
            <w:shd w:val="clear" w:color="auto" w:fill="FFFFFF"/>
            <w:vAlign w:val="center"/>
          </w:tcPr>
          <w:p w14:paraId="72761E6D" w14:textId="13611FA2" w:rsidR="005C6956" w:rsidRPr="003E5DAA" w:rsidRDefault="005C6956" w:rsidP="00835238">
            <w:pPr>
              <w:spacing w:after="0"/>
              <w:ind w:right="-60"/>
              <w:jc w:val="center"/>
              <w:rPr>
                <w:rFonts w:ascii="Times New Roman" w:eastAsia="Times New Roman" w:hAnsi="Times New Roman" w:cs="Times New Roman"/>
                <w:sz w:val="16"/>
                <w:szCs w:val="16"/>
              </w:rPr>
            </w:pPr>
            <w:r w:rsidRPr="003E5DAA">
              <w:rPr>
                <w:color w:val="000000"/>
                <w:sz w:val="16"/>
                <w:szCs w:val="16"/>
              </w:rPr>
              <w:t>35,880</w:t>
            </w:r>
          </w:p>
        </w:tc>
        <w:tc>
          <w:tcPr>
            <w:tcW w:w="3277" w:type="dxa"/>
            <w:tcBorders>
              <w:top w:val="single" w:sz="6" w:space="0" w:color="808080"/>
              <w:left w:val="single" w:sz="6" w:space="0" w:color="808080"/>
              <w:bottom w:val="single" w:sz="6" w:space="0" w:color="808080"/>
              <w:right w:val="single" w:sz="6" w:space="0" w:color="808080"/>
            </w:tcBorders>
            <w:shd w:val="clear" w:color="auto" w:fill="auto"/>
            <w:vAlign w:val="center"/>
          </w:tcPr>
          <w:p w14:paraId="387A2326" w14:textId="77777777" w:rsidR="005C6956" w:rsidRPr="003E5DAA" w:rsidRDefault="005C6956" w:rsidP="004D7734">
            <w:pPr>
              <w:spacing w:after="0"/>
              <w:ind w:right="-60"/>
              <w:rPr>
                <w:rFonts w:ascii="Times New Roman" w:eastAsia="Times New Roman" w:hAnsi="Times New Roman" w:cs="Times New Roman"/>
                <w:sz w:val="16"/>
                <w:szCs w:val="16"/>
              </w:rPr>
            </w:pPr>
          </w:p>
        </w:tc>
        <w:tc>
          <w:tcPr>
            <w:tcW w:w="955" w:type="dxa"/>
            <w:tcBorders>
              <w:top w:val="single" w:sz="6" w:space="0" w:color="808080"/>
              <w:left w:val="single" w:sz="6" w:space="0" w:color="808080"/>
              <w:bottom w:val="single" w:sz="6" w:space="0" w:color="808080"/>
              <w:right w:val="single" w:sz="6" w:space="0" w:color="808080"/>
            </w:tcBorders>
          </w:tcPr>
          <w:p w14:paraId="40A343D8" w14:textId="5A748EAC" w:rsidR="005C6956" w:rsidRPr="003E5DAA" w:rsidRDefault="005C6956" w:rsidP="00835238">
            <w:pPr>
              <w:spacing w:after="0"/>
              <w:ind w:right="-60"/>
              <w:jc w:val="center"/>
              <w:rPr>
                <w:sz w:val="16"/>
                <w:szCs w:val="16"/>
              </w:rPr>
            </w:pPr>
            <w:r w:rsidRPr="003E5DAA">
              <w:rPr>
                <w:sz w:val="16"/>
                <w:szCs w:val="16"/>
              </w:rPr>
              <w:t>USD 22,967,941</w:t>
            </w:r>
          </w:p>
        </w:tc>
        <w:tc>
          <w:tcPr>
            <w:tcW w:w="1364" w:type="dxa"/>
            <w:tcBorders>
              <w:top w:val="single" w:sz="6" w:space="0" w:color="808080"/>
              <w:left w:val="single" w:sz="6" w:space="0" w:color="808080"/>
              <w:bottom w:val="single" w:sz="6" w:space="0" w:color="808080"/>
              <w:right w:val="single" w:sz="6" w:space="0" w:color="808080"/>
            </w:tcBorders>
          </w:tcPr>
          <w:p w14:paraId="526E838B" w14:textId="75ADE441" w:rsidR="005C6956" w:rsidRPr="004D7734" w:rsidRDefault="005C6956" w:rsidP="004D7734">
            <w:pPr>
              <w:pStyle w:val="ListParagraph"/>
              <w:numPr>
                <w:ilvl w:val="0"/>
                <w:numId w:val="44"/>
              </w:numPr>
              <w:spacing w:after="0"/>
              <w:ind w:right="-60"/>
              <w:rPr>
                <w:sz w:val="16"/>
                <w:szCs w:val="16"/>
              </w:rPr>
            </w:pPr>
            <w:r>
              <w:rPr>
                <w:sz w:val="16"/>
                <w:szCs w:val="16"/>
              </w:rPr>
              <w:t>Increase Tb case notification among KVPs</w:t>
            </w:r>
          </w:p>
        </w:tc>
        <w:tc>
          <w:tcPr>
            <w:tcW w:w="3494" w:type="dxa"/>
            <w:vMerge w:val="restart"/>
            <w:tcBorders>
              <w:top w:val="single" w:sz="6" w:space="0" w:color="808080"/>
              <w:left w:val="single" w:sz="6" w:space="0" w:color="808080"/>
              <w:right w:val="single" w:sz="6" w:space="0" w:color="808080"/>
            </w:tcBorders>
          </w:tcPr>
          <w:p w14:paraId="561DDA4A" w14:textId="4F283782" w:rsidR="005C6956" w:rsidRDefault="005C6956" w:rsidP="005C6956">
            <w:pPr>
              <w:spacing w:after="0"/>
              <w:ind w:right="-60"/>
              <w:rPr>
                <w:sz w:val="16"/>
                <w:szCs w:val="16"/>
              </w:rPr>
            </w:pPr>
            <w:r>
              <w:rPr>
                <w:sz w:val="16"/>
                <w:szCs w:val="16"/>
              </w:rPr>
              <w:t xml:space="preserve">The report for KVP (disaggregated) will be generated from the ACF event registries and reports from jails. </w:t>
            </w:r>
            <w:r w:rsidR="00D65121">
              <w:rPr>
                <w:sz w:val="16"/>
                <w:szCs w:val="16"/>
              </w:rPr>
              <w:t>The PR and the LFA will validate this.</w:t>
            </w:r>
          </w:p>
          <w:p w14:paraId="08BC62DC" w14:textId="77777777" w:rsidR="005C6956" w:rsidRDefault="005C6956" w:rsidP="005C6956">
            <w:pPr>
              <w:spacing w:after="0"/>
              <w:ind w:right="-60"/>
              <w:rPr>
                <w:sz w:val="16"/>
                <w:szCs w:val="16"/>
              </w:rPr>
            </w:pPr>
          </w:p>
          <w:p w14:paraId="74B94FAC" w14:textId="614B7DC5" w:rsidR="005C6956" w:rsidRPr="003E5DAA" w:rsidRDefault="005C6956" w:rsidP="005C6956">
            <w:pPr>
              <w:spacing w:after="0"/>
              <w:ind w:right="-60"/>
              <w:rPr>
                <w:sz w:val="16"/>
                <w:szCs w:val="16"/>
              </w:rPr>
            </w:pPr>
            <w:r>
              <w:rPr>
                <w:sz w:val="16"/>
                <w:szCs w:val="16"/>
              </w:rPr>
              <w:t xml:space="preserve">These results will be </w:t>
            </w:r>
            <w:r w:rsidR="00D65121">
              <w:rPr>
                <w:sz w:val="16"/>
                <w:szCs w:val="16"/>
              </w:rPr>
              <w:t xml:space="preserve">achieved through </w:t>
            </w:r>
            <w:r>
              <w:rPr>
                <w:sz w:val="16"/>
                <w:szCs w:val="16"/>
              </w:rPr>
              <w:t>the ACF Contractors Mechanism</w:t>
            </w:r>
            <w:r w:rsidR="00532088">
              <w:rPr>
                <w:sz w:val="16"/>
                <w:szCs w:val="16"/>
              </w:rPr>
              <w:t xml:space="preserve">. The validation guidelines are detailed in </w:t>
            </w:r>
            <w:r w:rsidR="00532088" w:rsidRPr="00532088">
              <w:rPr>
                <w:b/>
                <w:bCs/>
                <w:sz w:val="16"/>
                <w:szCs w:val="16"/>
              </w:rPr>
              <w:t>Annex 2</w:t>
            </w:r>
            <w:r w:rsidR="00532088">
              <w:rPr>
                <w:b/>
                <w:bCs/>
                <w:sz w:val="16"/>
                <w:szCs w:val="16"/>
              </w:rPr>
              <w:t>7</w:t>
            </w:r>
            <w:r w:rsidR="00532088">
              <w:rPr>
                <w:sz w:val="16"/>
                <w:szCs w:val="16"/>
              </w:rPr>
              <w:t xml:space="preserve">. </w:t>
            </w:r>
          </w:p>
        </w:tc>
      </w:tr>
      <w:tr w:rsidR="005C6956" w14:paraId="261871A0" w14:textId="77777777" w:rsidTr="00D029DD">
        <w:trPr>
          <w:trHeight w:val="388"/>
        </w:trPr>
        <w:tc>
          <w:tcPr>
            <w:tcW w:w="3172" w:type="dxa"/>
            <w:tcBorders>
              <w:top w:val="single" w:sz="6" w:space="0" w:color="808080"/>
              <w:left w:val="single" w:sz="6" w:space="0" w:color="808080"/>
              <w:bottom w:val="single" w:sz="6" w:space="0" w:color="808080"/>
              <w:right w:val="single" w:sz="6" w:space="0" w:color="808080"/>
            </w:tcBorders>
            <w:shd w:val="clear" w:color="auto" w:fill="auto"/>
            <w:vAlign w:val="center"/>
          </w:tcPr>
          <w:p w14:paraId="5A2C913B" w14:textId="6F89E999" w:rsidR="005C6956" w:rsidRPr="003E5DAA" w:rsidRDefault="005C6956" w:rsidP="00835238">
            <w:pPr>
              <w:spacing w:after="0"/>
              <w:ind w:left="60"/>
              <w:rPr>
                <w:rFonts w:ascii="Times New Roman" w:eastAsia="Times New Roman" w:hAnsi="Times New Roman" w:cs="Times New Roman"/>
                <w:sz w:val="16"/>
                <w:szCs w:val="16"/>
              </w:rPr>
            </w:pPr>
            <w:r w:rsidRPr="003E5DAA">
              <w:rPr>
                <w:color w:val="000000"/>
                <w:sz w:val="16"/>
                <w:szCs w:val="16"/>
              </w:rPr>
              <w:t>KVP-1 Number of people with TB (all forms) notified among prisoners; *includes only those with new and relapse TB</w:t>
            </w:r>
          </w:p>
        </w:tc>
        <w:tc>
          <w:tcPr>
            <w:tcW w:w="818" w:type="dxa"/>
            <w:tcBorders>
              <w:top w:val="single" w:sz="6" w:space="0" w:color="808080"/>
              <w:left w:val="single" w:sz="6" w:space="0" w:color="808080"/>
              <w:bottom w:val="single" w:sz="6" w:space="0" w:color="808080"/>
              <w:right w:val="single" w:sz="6" w:space="0" w:color="808080"/>
            </w:tcBorders>
            <w:shd w:val="clear" w:color="auto" w:fill="FFFFFF"/>
            <w:vAlign w:val="center"/>
          </w:tcPr>
          <w:p w14:paraId="7ACC59C6" w14:textId="02D97965" w:rsidR="005C6956" w:rsidRPr="003E5DAA" w:rsidRDefault="005C6956" w:rsidP="00835238">
            <w:pPr>
              <w:spacing w:after="0"/>
              <w:ind w:right="-60"/>
              <w:jc w:val="center"/>
              <w:rPr>
                <w:rFonts w:ascii="Times New Roman" w:eastAsia="Times New Roman" w:hAnsi="Times New Roman" w:cs="Times New Roman"/>
                <w:sz w:val="16"/>
                <w:szCs w:val="16"/>
              </w:rPr>
            </w:pPr>
            <w:r w:rsidRPr="003E5DAA">
              <w:rPr>
                <w:color w:val="000000"/>
                <w:sz w:val="16"/>
                <w:szCs w:val="16"/>
              </w:rPr>
              <w:t>4,186</w:t>
            </w:r>
          </w:p>
        </w:tc>
        <w:tc>
          <w:tcPr>
            <w:tcW w:w="682" w:type="dxa"/>
            <w:tcBorders>
              <w:top w:val="single" w:sz="6" w:space="0" w:color="808080"/>
              <w:left w:val="single" w:sz="6" w:space="0" w:color="808080"/>
              <w:bottom w:val="single" w:sz="6" w:space="0" w:color="808080"/>
              <w:right w:val="single" w:sz="6" w:space="0" w:color="808080"/>
            </w:tcBorders>
            <w:shd w:val="clear" w:color="auto" w:fill="FFFFFF"/>
            <w:vAlign w:val="center"/>
          </w:tcPr>
          <w:p w14:paraId="0C9CFCDD" w14:textId="6C12D3B5" w:rsidR="005C6956" w:rsidRPr="003E5DAA" w:rsidRDefault="005C6956" w:rsidP="00835238">
            <w:pPr>
              <w:spacing w:after="0"/>
              <w:ind w:right="-60"/>
              <w:jc w:val="center"/>
              <w:rPr>
                <w:rFonts w:ascii="Times New Roman" w:eastAsia="Times New Roman" w:hAnsi="Times New Roman" w:cs="Times New Roman"/>
                <w:sz w:val="16"/>
                <w:szCs w:val="16"/>
              </w:rPr>
            </w:pPr>
            <w:r w:rsidRPr="003E5DAA">
              <w:rPr>
                <w:color w:val="000000"/>
                <w:sz w:val="16"/>
                <w:szCs w:val="16"/>
              </w:rPr>
              <w:t>5,000</w:t>
            </w:r>
          </w:p>
        </w:tc>
        <w:tc>
          <w:tcPr>
            <w:tcW w:w="682" w:type="dxa"/>
            <w:tcBorders>
              <w:top w:val="single" w:sz="6" w:space="0" w:color="808080"/>
              <w:left w:val="single" w:sz="6" w:space="0" w:color="808080"/>
              <w:bottom w:val="single" w:sz="6" w:space="0" w:color="808080"/>
              <w:right w:val="single" w:sz="6" w:space="0" w:color="808080"/>
            </w:tcBorders>
            <w:shd w:val="clear" w:color="auto" w:fill="FFFFFF"/>
            <w:vAlign w:val="center"/>
          </w:tcPr>
          <w:p w14:paraId="7D9D6E8B" w14:textId="2950B38E" w:rsidR="005C6956" w:rsidRPr="003E5DAA" w:rsidRDefault="005C6956" w:rsidP="00835238">
            <w:pPr>
              <w:spacing w:after="0"/>
              <w:ind w:right="-60"/>
              <w:jc w:val="center"/>
              <w:rPr>
                <w:rFonts w:ascii="Times New Roman" w:eastAsia="Times New Roman" w:hAnsi="Times New Roman" w:cs="Times New Roman"/>
                <w:sz w:val="16"/>
                <w:szCs w:val="16"/>
              </w:rPr>
            </w:pPr>
            <w:r w:rsidRPr="003E5DAA">
              <w:rPr>
                <w:color w:val="000000"/>
                <w:sz w:val="16"/>
                <w:szCs w:val="16"/>
              </w:rPr>
              <w:t>4,600</w:t>
            </w:r>
          </w:p>
        </w:tc>
        <w:tc>
          <w:tcPr>
            <w:tcW w:w="685" w:type="dxa"/>
            <w:tcBorders>
              <w:top w:val="single" w:sz="6" w:space="0" w:color="808080"/>
              <w:left w:val="single" w:sz="6" w:space="0" w:color="808080"/>
              <w:bottom w:val="single" w:sz="6" w:space="0" w:color="808080"/>
              <w:right w:val="single" w:sz="6" w:space="0" w:color="808080"/>
            </w:tcBorders>
            <w:shd w:val="clear" w:color="auto" w:fill="FFFFFF"/>
            <w:vAlign w:val="center"/>
          </w:tcPr>
          <w:p w14:paraId="1BA6B68C" w14:textId="18050F40" w:rsidR="005C6956" w:rsidRPr="003E5DAA" w:rsidRDefault="005C6956" w:rsidP="00835238">
            <w:pPr>
              <w:spacing w:after="0"/>
              <w:ind w:right="-60"/>
              <w:jc w:val="center"/>
              <w:rPr>
                <w:rFonts w:ascii="Times New Roman" w:eastAsia="Times New Roman" w:hAnsi="Times New Roman" w:cs="Times New Roman"/>
                <w:sz w:val="16"/>
                <w:szCs w:val="16"/>
              </w:rPr>
            </w:pPr>
            <w:r w:rsidRPr="003E5DAA">
              <w:rPr>
                <w:color w:val="000000"/>
                <w:sz w:val="16"/>
                <w:szCs w:val="16"/>
              </w:rPr>
              <w:t>4,000</w:t>
            </w:r>
          </w:p>
        </w:tc>
        <w:tc>
          <w:tcPr>
            <w:tcW w:w="3277" w:type="dxa"/>
            <w:tcBorders>
              <w:top w:val="single" w:sz="6" w:space="0" w:color="808080"/>
              <w:left w:val="single" w:sz="6" w:space="0" w:color="808080"/>
              <w:bottom w:val="single" w:sz="6" w:space="0" w:color="808080"/>
              <w:right w:val="single" w:sz="6" w:space="0" w:color="808080"/>
            </w:tcBorders>
            <w:shd w:val="clear" w:color="auto" w:fill="auto"/>
            <w:vAlign w:val="center"/>
          </w:tcPr>
          <w:p w14:paraId="65B5C9A3" w14:textId="77777777" w:rsidR="005C6956" w:rsidRPr="003E5DAA" w:rsidRDefault="005C6956" w:rsidP="00835238">
            <w:pPr>
              <w:spacing w:after="0"/>
              <w:ind w:right="-60"/>
              <w:jc w:val="center"/>
              <w:rPr>
                <w:rFonts w:ascii="Times New Roman" w:eastAsia="Times New Roman" w:hAnsi="Times New Roman" w:cs="Times New Roman"/>
                <w:sz w:val="16"/>
                <w:szCs w:val="16"/>
              </w:rPr>
            </w:pPr>
          </w:p>
        </w:tc>
        <w:tc>
          <w:tcPr>
            <w:tcW w:w="955" w:type="dxa"/>
            <w:tcBorders>
              <w:top w:val="single" w:sz="6" w:space="0" w:color="808080"/>
              <w:left w:val="single" w:sz="6" w:space="0" w:color="808080"/>
              <w:bottom w:val="single" w:sz="6" w:space="0" w:color="808080"/>
              <w:right w:val="single" w:sz="6" w:space="0" w:color="808080"/>
            </w:tcBorders>
          </w:tcPr>
          <w:p w14:paraId="0A055593" w14:textId="1EABBBAD" w:rsidR="005C6956" w:rsidRPr="003E5DAA" w:rsidRDefault="005C6956" w:rsidP="00835238">
            <w:pPr>
              <w:spacing w:after="0"/>
              <w:ind w:right="-60"/>
              <w:jc w:val="center"/>
              <w:rPr>
                <w:sz w:val="16"/>
                <w:szCs w:val="16"/>
              </w:rPr>
            </w:pPr>
            <w:r>
              <w:rPr>
                <w:sz w:val="16"/>
                <w:szCs w:val="16"/>
              </w:rPr>
              <w:t>USD 3,780,378</w:t>
            </w:r>
          </w:p>
        </w:tc>
        <w:tc>
          <w:tcPr>
            <w:tcW w:w="1364" w:type="dxa"/>
            <w:tcBorders>
              <w:top w:val="single" w:sz="6" w:space="0" w:color="808080"/>
              <w:left w:val="single" w:sz="6" w:space="0" w:color="808080"/>
              <w:bottom w:val="single" w:sz="6" w:space="0" w:color="808080"/>
              <w:right w:val="single" w:sz="6" w:space="0" w:color="808080"/>
            </w:tcBorders>
          </w:tcPr>
          <w:p w14:paraId="09B09656" w14:textId="5B8A4628" w:rsidR="005C6956" w:rsidRPr="004D7734" w:rsidRDefault="005C6956" w:rsidP="004D7734">
            <w:pPr>
              <w:pStyle w:val="ListParagraph"/>
              <w:numPr>
                <w:ilvl w:val="0"/>
                <w:numId w:val="44"/>
              </w:numPr>
              <w:spacing w:after="0"/>
              <w:ind w:right="-60"/>
              <w:rPr>
                <w:sz w:val="16"/>
                <w:szCs w:val="16"/>
              </w:rPr>
            </w:pPr>
            <w:r>
              <w:rPr>
                <w:sz w:val="16"/>
                <w:szCs w:val="16"/>
              </w:rPr>
              <w:t>Increase Tb case notification among KVPs</w:t>
            </w:r>
          </w:p>
        </w:tc>
        <w:tc>
          <w:tcPr>
            <w:tcW w:w="3494" w:type="dxa"/>
            <w:vMerge/>
            <w:tcBorders>
              <w:left w:val="single" w:sz="6" w:space="0" w:color="808080"/>
              <w:bottom w:val="single" w:sz="6" w:space="0" w:color="808080"/>
              <w:right w:val="single" w:sz="6" w:space="0" w:color="808080"/>
            </w:tcBorders>
          </w:tcPr>
          <w:p w14:paraId="568421FB" w14:textId="04234404" w:rsidR="005C6956" w:rsidRPr="003E5DAA" w:rsidRDefault="005C6956" w:rsidP="00835238">
            <w:pPr>
              <w:spacing w:after="0"/>
              <w:ind w:right="-60"/>
              <w:jc w:val="center"/>
              <w:rPr>
                <w:sz w:val="16"/>
                <w:szCs w:val="16"/>
              </w:rPr>
            </w:pPr>
          </w:p>
        </w:tc>
      </w:tr>
      <w:tr w:rsidR="00835238" w14:paraId="1FBB7D37" w14:textId="77777777">
        <w:trPr>
          <w:trHeight w:val="388"/>
        </w:trPr>
        <w:tc>
          <w:tcPr>
            <w:tcW w:w="3172" w:type="dxa"/>
            <w:tcBorders>
              <w:top w:val="single" w:sz="6" w:space="0" w:color="808080"/>
              <w:left w:val="single" w:sz="6" w:space="0" w:color="808080"/>
              <w:bottom w:val="single" w:sz="6" w:space="0" w:color="808080"/>
              <w:right w:val="single" w:sz="6" w:space="0" w:color="808080"/>
            </w:tcBorders>
            <w:shd w:val="clear" w:color="auto" w:fill="auto"/>
            <w:vAlign w:val="center"/>
          </w:tcPr>
          <w:p w14:paraId="6B842D31" w14:textId="77777777" w:rsidR="00835238" w:rsidRDefault="00835238">
            <w:pPr>
              <w:spacing w:after="0"/>
              <w:ind w:left="60"/>
              <w:jc w:val="center"/>
              <w:rPr>
                <w:rFonts w:ascii="Times New Roman" w:eastAsia="Times New Roman" w:hAnsi="Times New Roman" w:cs="Times New Roman"/>
                <w:sz w:val="24"/>
                <w:szCs w:val="24"/>
              </w:rPr>
            </w:pPr>
          </w:p>
        </w:tc>
        <w:tc>
          <w:tcPr>
            <w:tcW w:w="818" w:type="dxa"/>
            <w:tcBorders>
              <w:top w:val="single" w:sz="6" w:space="0" w:color="808080"/>
              <w:left w:val="single" w:sz="6" w:space="0" w:color="808080"/>
              <w:bottom w:val="single" w:sz="6" w:space="0" w:color="808080"/>
              <w:right w:val="single" w:sz="6" w:space="0" w:color="808080"/>
            </w:tcBorders>
            <w:shd w:val="clear" w:color="auto" w:fill="FFFFFF"/>
            <w:vAlign w:val="center"/>
          </w:tcPr>
          <w:p w14:paraId="48C6A7A3" w14:textId="77777777" w:rsidR="00835238" w:rsidRDefault="00835238">
            <w:pPr>
              <w:spacing w:after="0"/>
              <w:ind w:right="-60"/>
              <w:jc w:val="center"/>
              <w:rPr>
                <w:rFonts w:ascii="Times New Roman" w:eastAsia="Times New Roman" w:hAnsi="Times New Roman" w:cs="Times New Roman"/>
                <w:sz w:val="24"/>
                <w:szCs w:val="24"/>
              </w:rPr>
            </w:pPr>
          </w:p>
        </w:tc>
        <w:tc>
          <w:tcPr>
            <w:tcW w:w="682" w:type="dxa"/>
            <w:tcBorders>
              <w:top w:val="single" w:sz="6" w:space="0" w:color="808080"/>
              <w:left w:val="single" w:sz="6" w:space="0" w:color="808080"/>
              <w:bottom w:val="single" w:sz="6" w:space="0" w:color="808080"/>
              <w:right w:val="single" w:sz="6" w:space="0" w:color="808080"/>
            </w:tcBorders>
            <w:shd w:val="clear" w:color="auto" w:fill="FFFFFF"/>
            <w:vAlign w:val="center"/>
          </w:tcPr>
          <w:p w14:paraId="0819F55B" w14:textId="77777777" w:rsidR="00835238" w:rsidRDefault="00835238">
            <w:pPr>
              <w:spacing w:after="0"/>
              <w:ind w:right="-60"/>
              <w:jc w:val="center"/>
              <w:rPr>
                <w:rFonts w:ascii="Times New Roman" w:eastAsia="Times New Roman" w:hAnsi="Times New Roman" w:cs="Times New Roman"/>
                <w:sz w:val="24"/>
                <w:szCs w:val="24"/>
              </w:rPr>
            </w:pPr>
          </w:p>
        </w:tc>
        <w:tc>
          <w:tcPr>
            <w:tcW w:w="682" w:type="dxa"/>
            <w:tcBorders>
              <w:top w:val="single" w:sz="6" w:space="0" w:color="808080"/>
              <w:left w:val="single" w:sz="6" w:space="0" w:color="808080"/>
              <w:bottom w:val="single" w:sz="6" w:space="0" w:color="808080"/>
              <w:right w:val="single" w:sz="6" w:space="0" w:color="808080"/>
            </w:tcBorders>
            <w:shd w:val="clear" w:color="auto" w:fill="FFFFFF"/>
            <w:vAlign w:val="center"/>
          </w:tcPr>
          <w:p w14:paraId="66E64F11" w14:textId="77777777" w:rsidR="00835238" w:rsidRDefault="00835238">
            <w:pPr>
              <w:spacing w:after="0"/>
              <w:ind w:right="-60"/>
              <w:jc w:val="center"/>
              <w:rPr>
                <w:rFonts w:ascii="Times New Roman" w:eastAsia="Times New Roman" w:hAnsi="Times New Roman" w:cs="Times New Roman"/>
                <w:sz w:val="24"/>
                <w:szCs w:val="24"/>
              </w:rPr>
            </w:pPr>
          </w:p>
        </w:tc>
        <w:tc>
          <w:tcPr>
            <w:tcW w:w="685" w:type="dxa"/>
            <w:tcBorders>
              <w:top w:val="single" w:sz="6" w:space="0" w:color="808080"/>
              <w:left w:val="single" w:sz="6" w:space="0" w:color="808080"/>
              <w:bottom w:val="single" w:sz="6" w:space="0" w:color="808080"/>
              <w:right w:val="single" w:sz="6" w:space="0" w:color="808080"/>
            </w:tcBorders>
            <w:shd w:val="clear" w:color="auto" w:fill="FFFFFF"/>
            <w:vAlign w:val="center"/>
          </w:tcPr>
          <w:p w14:paraId="2C74230F" w14:textId="77777777" w:rsidR="00835238" w:rsidRDefault="00835238">
            <w:pPr>
              <w:spacing w:after="0"/>
              <w:ind w:right="-60"/>
              <w:jc w:val="center"/>
              <w:rPr>
                <w:rFonts w:ascii="Times New Roman" w:eastAsia="Times New Roman" w:hAnsi="Times New Roman" w:cs="Times New Roman"/>
                <w:sz w:val="24"/>
                <w:szCs w:val="24"/>
              </w:rPr>
            </w:pPr>
          </w:p>
        </w:tc>
        <w:tc>
          <w:tcPr>
            <w:tcW w:w="3277" w:type="dxa"/>
            <w:tcBorders>
              <w:top w:val="single" w:sz="6" w:space="0" w:color="808080"/>
              <w:left w:val="single" w:sz="6" w:space="0" w:color="808080"/>
              <w:bottom w:val="single" w:sz="6" w:space="0" w:color="808080"/>
              <w:right w:val="single" w:sz="6" w:space="0" w:color="808080"/>
            </w:tcBorders>
            <w:shd w:val="clear" w:color="auto" w:fill="auto"/>
            <w:vAlign w:val="center"/>
          </w:tcPr>
          <w:p w14:paraId="7E71AECB" w14:textId="77777777" w:rsidR="00835238" w:rsidRDefault="00835238">
            <w:pPr>
              <w:spacing w:after="0"/>
              <w:ind w:right="-60"/>
              <w:jc w:val="center"/>
              <w:rPr>
                <w:rFonts w:ascii="Times New Roman" w:eastAsia="Times New Roman" w:hAnsi="Times New Roman" w:cs="Times New Roman"/>
                <w:sz w:val="24"/>
                <w:szCs w:val="24"/>
              </w:rPr>
            </w:pPr>
          </w:p>
        </w:tc>
        <w:tc>
          <w:tcPr>
            <w:tcW w:w="955" w:type="dxa"/>
            <w:tcBorders>
              <w:top w:val="single" w:sz="6" w:space="0" w:color="808080"/>
              <w:left w:val="single" w:sz="6" w:space="0" w:color="808080"/>
              <w:bottom w:val="single" w:sz="6" w:space="0" w:color="808080"/>
              <w:right w:val="single" w:sz="6" w:space="0" w:color="808080"/>
            </w:tcBorders>
          </w:tcPr>
          <w:p w14:paraId="6A4B925C" w14:textId="77777777" w:rsidR="00835238" w:rsidRDefault="00835238">
            <w:pPr>
              <w:spacing w:after="0"/>
              <w:ind w:right="-60"/>
              <w:jc w:val="center"/>
              <w:rPr>
                <w:sz w:val="20"/>
                <w:szCs w:val="20"/>
              </w:rPr>
            </w:pPr>
          </w:p>
        </w:tc>
        <w:tc>
          <w:tcPr>
            <w:tcW w:w="1364" w:type="dxa"/>
            <w:tcBorders>
              <w:top w:val="single" w:sz="6" w:space="0" w:color="808080"/>
              <w:left w:val="single" w:sz="6" w:space="0" w:color="808080"/>
              <w:bottom w:val="single" w:sz="6" w:space="0" w:color="808080"/>
              <w:right w:val="single" w:sz="6" w:space="0" w:color="808080"/>
            </w:tcBorders>
          </w:tcPr>
          <w:p w14:paraId="703AD3EC" w14:textId="77777777" w:rsidR="00835238" w:rsidRDefault="00835238">
            <w:pPr>
              <w:spacing w:after="0"/>
              <w:ind w:right="-60"/>
              <w:jc w:val="center"/>
              <w:rPr>
                <w:sz w:val="20"/>
                <w:szCs w:val="20"/>
              </w:rPr>
            </w:pPr>
          </w:p>
        </w:tc>
        <w:tc>
          <w:tcPr>
            <w:tcW w:w="3494" w:type="dxa"/>
            <w:tcBorders>
              <w:top w:val="single" w:sz="6" w:space="0" w:color="808080"/>
              <w:left w:val="single" w:sz="6" w:space="0" w:color="808080"/>
              <w:bottom w:val="single" w:sz="6" w:space="0" w:color="808080"/>
              <w:right w:val="single" w:sz="6" w:space="0" w:color="808080"/>
            </w:tcBorders>
          </w:tcPr>
          <w:p w14:paraId="1BE0F248" w14:textId="77777777" w:rsidR="00835238" w:rsidRDefault="00835238">
            <w:pPr>
              <w:spacing w:after="0"/>
              <w:ind w:right="-60"/>
              <w:jc w:val="center"/>
              <w:rPr>
                <w:sz w:val="20"/>
                <w:szCs w:val="20"/>
              </w:rPr>
            </w:pPr>
          </w:p>
        </w:tc>
      </w:tr>
      <w:tr w:rsidR="00155420" w14:paraId="35B67DCA" w14:textId="77777777">
        <w:trPr>
          <w:trHeight w:val="304"/>
        </w:trPr>
        <w:tc>
          <w:tcPr>
            <w:tcW w:w="3172" w:type="dxa"/>
            <w:tcBorders>
              <w:top w:val="single" w:sz="6" w:space="0" w:color="808080"/>
              <w:left w:val="single" w:sz="6" w:space="0" w:color="808080"/>
              <w:bottom w:val="single" w:sz="6" w:space="0" w:color="808080"/>
              <w:right w:val="single" w:sz="6" w:space="0" w:color="808080"/>
            </w:tcBorders>
            <w:shd w:val="clear" w:color="auto" w:fill="auto"/>
            <w:vAlign w:val="center"/>
          </w:tcPr>
          <w:p w14:paraId="1E9B9050" w14:textId="77777777" w:rsidR="00155420" w:rsidRDefault="00E84F93">
            <w:pPr>
              <w:spacing w:after="0"/>
              <w:ind w:left="60"/>
              <w:jc w:val="center"/>
              <w:rPr>
                <w:rFonts w:ascii="Times New Roman" w:eastAsia="Times New Roman" w:hAnsi="Times New Roman" w:cs="Times New Roman"/>
                <w:sz w:val="24"/>
                <w:szCs w:val="24"/>
              </w:rPr>
            </w:pPr>
            <w:r>
              <w:rPr>
                <w:i/>
                <w:sz w:val="18"/>
                <w:szCs w:val="18"/>
              </w:rPr>
              <w:t>Add rows as relevant.</w:t>
            </w:r>
          </w:p>
        </w:tc>
        <w:tc>
          <w:tcPr>
            <w:tcW w:w="818" w:type="dxa"/>
            <w:tcBorders>
              <w:top w:val="single" w:sz="6" w:space="0" w:color="808080"/>
              <w:left w:val="single" w:sz="6" w:space="0" w:color="808080"/>
              <w:bottom w:val="single" w:sz="6" w:space="0" w:color="808080"/>
              <w:right w:val="single" w:sz="6" w:space="0" w:color="808080"/>
            </w:tcBorders>
            <w:shd w:val="clear" w:color="auto" w:fill="FFFFFF"/>
            <w:vAlign w:val="center"/>
          </w:tcPr>
          <w:p w14:paraId="50FC0243" w14:textId="77777777" w:rsidR="00155420" w:rsidRDefault="00155420">
            <w:pPr>
              <w:spacing w:after="0"/>
              <w:ind w:right="-60"/>
              <w:jc w:val="center"/>
              <w:rPr>
                <w:rFonts w:ascii="Times New Roman" w:eastAsia="Times New Roman" w:hAnsi="Times New Roman" w:cs="Times New Roman"/>
                <w:sz w:val="24"/>
                <w:szCs w:val="24"/>
              </w:rPr>
            </w:pPr>
          </w:p>
        </w:tc>
        <w:tc>
          <w:tcPr>
            <w:tcW w:w="682" w:type="dxa"/>
            <w:tcBorders>
              <w:top w:val="single" w:sz="6" w:space="0" w:color="808080"/>
              <w:left w:val="single" w:sz="6" w:space="0" w:color="808080"/>
              <w:bottom w:val="single" w:sz="6" w:space="0" w:color="808080"/>
              <w:right w:val="single" w:sz="6" w:space="0" w:color="808080"/>
            </w:tcBorders>
            <w:shd w:val="clear" w:color="auto" w:fill="FFFFFF"/>
            <w:vAlign w:val="center"/>
          </w:tcPr>
          <w:p w14:paraId="6EEF9CD4" w14:textId="77777777" w:rsidR="00155420" w:rsidRDefault="00155420">
            <w:pPr>
              <w:spacing w:after="0"/>
              <w:ind w:right="-60"/>
              <w:jc w:val="center"/>
              <w:rPr>
                <w:rFonts w:ascii="Times New Roman" w:eastAsia="Times New Roman" w:hAnsi="Times New Roman" w:cs="Times New Roman"/>
                <w:sz w:val="24"/>
                <w:szCs w:val="24"/>
              </w:rPr>
            </w:pPr>
          </w:p>
        </w:tc>
        <w:tc>
          <w:tcPr>
            <w:tcW w:w="682" w:type="dxa"/>
            <w:tcBorders>
              <w:top w:val="single" w:sz="6" w:space="0" w:color="808080"/>
              <w:left w:val="single" w:sz="6" w:space="0" w:color="808080"/>
              <w:bottom w:val="single" w:sz="6" w:space="0" w:color="808080"/>
              <w:right w:val="single" w:sz="6" w:space="0" w:color="808080"/>
            </w:tcBorders>
            <w:shd w:val="clear" w:color="auto" w:fill="FFFFFF"/>
            <w:vAlign w:val="center"/>
          </w:tcPr>
          <w:p w14:paraId="79605EB5" w14:textId="77777777" w:rsidR="00155420" w:rsidRDefault="00155420">
            <w:pPr>
              <w:spacing w:after="0"/>
              <w:ind w:right="-60"/>
              <w:jc w:val="center"/>
              <w:rPr>
                <w:rFonts w:ascii="Times New Roman" w:eastAsia="Times New Roman" w:hAnsi="Times New Roman" w:cs="Times New Roman"/>
                <w:sz w:val="24"/>
                <w:szCs w:val="24"/>
              </w:rPr>
            </w:pPr>
          </w:p>
        </w:tc>
        <w:tc>
          <w:tcPr>
            <w:tcW w:w="685" w:type="dxa"/>
            <w:tcBorders>
              <w:top w:val="single" w:sz="6" w:space="0" w:color="808080"/>
              <w:left w:val="single" w:sz="6" w:space="0" w:color="808080"/>
              <w:bottom w:val="single" w:sz="6" w:space="0" w:color="808080"/>
              <w:right w:val="single" w:sz="6" w:space="0" w:color="808080"/>
            </w:tcBorders>
            <w:shd w:val="clear" w:color="auto" w:fill="FFFFFF"/>
            <w:vAlign w:val="center"/>
          </w:tcPr>
          <w:p w14:paraId="011E42F7" w14:textId="77777777" w:rsidR="00155420" w:rsidRDefault="00155420">
            <w:pPr>
              <w:spacing w:after="0"/>
              <w:ind w:right="-60"/>
              <w:jc w:val="center"/>
              <w:rPr>
                <w:rFonts w:ascii="Times New Roman" w:eastAsia="Times New Roman" w:hAnsi="Times New Roman" w:cs="Times New Roman"/>
                <w:sz w:val="24"/>
                <w:szCs w:val="24"/>
              </w:rPr>
            </w:pPr>
          </w:p>
        </w:tc>
        <w:tc>
          <w:tcPr>
            <w:tcW w:w="3277"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FB9EEE" w14:textId="77777777" w:rsidR="00155420" w:rsidRDefault="00155420">
            <w:pPr>
              <w:spacing w:after="0"/>
              <w:ind w:right="-60"/>
              <w:jc w:val="center"/>
              <w:rPr>
                <w:rFonts w:ascii="Times New Roman" w:eastAsia="Times New Roman" w:hAnsi="Times New Roman" w:cs="Times New Roman"/>
                <w:sz w:val="24"/>
                <w:szCs w:val="24"/>
              </w:rPr>
            </w:pPr>
          </w:p>
        </w:tc>
        <w:tc>
          <w:tcPr>
            <w:tcW w:w="955" w:type="dxa"/>
            <w:tcBorders>
              <w:top w:val="single" w:sz="6" w:space="0" w:color="808080"/>
              <w:left w:val="single" w:sz="6" w:space="0" w:color="808080"/>
              <w:bottom w:val="single" w:sz="6" w:space="0" w:color="808080"/>
              <w:right w:val="single" w:sz="6" w:space="0" w:color="808080"/>
            </w:tcBorders>
          </w:tcPr>
          <w:p w14:paraId="500CAF7B" w14:textId="77777777" w:rsidR="00155420" w:rsidRDefault="00155420">
            <w:pPr>
              <w:spacing w:after="0"/>
              <w:ind w:right="-60"/>
              <w:jc w:val="center"/>
              <w:rPr>
                <w:sz w:val="20"/>
                <w:szCs w:val="20"/>
              </w:rPr>
            </w:pPr>
          </w:p>
        </w:tc>
        <w:tc>
          <w:tcPr>
            <w:tcW w:w="1364" w:type="dxa"/>
            <w:tcBorders>
              <w:top w:val="single" w:sz="6" w:space="0" w:color="808080"/>
              <w:left w:val="single" w:sz="6" w:space="0" w:color="808080"/>
              <w:bottom w:val="single" w:sz="6" w:space="0" w:color="808080"/>
              <w:right w:val="single" w:sz="6" w:space="0" w:color="808080"/>
            </w:tcBorders>
          </w:tcPr>
          <w:p w14:paraId="11B4EEAB" w14:textId="77777777" w:rsidR="00155420" w:rsidRDefault="00155420">
            <w:pPr>
              <w:spacing w:after="0"/>
              <w:ind w:right="-60"/>
              <w:jc w:val="center"/>
              <w:rPr>
                <w:sz w:val="20"/>
                <w:szCs w:val="20"/>
              </w:rPr>
            </w:pPr>
          </w:p>
        </w:tc>
        <w:tc>
          <w:tcPr>
            <w:tcW w:w="3494" w:type="dxa"/>
            <w:tcBorders>
              <w:top w:val="single" w:sz="6" w:space="0" w:color="808080"/>
              <w:left w:val="single" w:sz="6" w:space="0" w:color="808080"/>
              <w:bottom w:val="single" w:sz="6" w:space="0" w:color="808080"/>
              <w:right w:val="single" w:sz="6" w:space="0" w:color="808080"/>
            </w:tcBorders>
          </w:tcPr>
          <w:p w14:paraId="6534CD57" w14:textId="77777777" w:rsidR="00155420" w:rsidRDefault="00155420">
            <w:pPr>
              <w:spacing w:after="0"/>
              <w:ind w:right="-60"/>
              <w:jc w:val="center"/>
              <w:rPr>
                <w:sz w:val="20"/>
                <w:szCs w:val="20"/>
              </w:rPr>
            </w:pPr>
          </w:p>
        </w:tc>
      </w:tr>
    </w:tbl>
    <w:p w14:paraId="35047989" w14:textId="77777777" w:rsidR="00155420" w:rsidRDefault="00E84F93">
      <w:pPr>
        <w:pBdr>
          <w:top w:val="nil"/>
          <w:left w:val="nil"/>
          <w:bottom w:val="nil"/>
          <w:right w:val="nil"/>
          <w:between w:val="nil"/>
        </w:pBdr>
        <w:spacing w:line="264" w:lineRule="auto"/>
        <w:rPr>
          <w:i/>
          <w:color w:val="000000"/>
          <w:sz w:val="20"/>
          <w:szCs w:val="20"/>
        </w:rPr>
      </w:pPr>
      <w:r>
        <w:rPr>
          <w:i/>
          <w:color w:val="000000"/>
          <w:sz w:val="20"/>
          <w:szCs w:val="20"/>
        </w:rPr>
        <w:t>Countries should discuss with their country teams if they are considering using a Payment for Results modality as the basis of the funding request.</w:t>
      </w:r>
    </w:p>
    <w:p w14:paraId="07B75DBB" w14:textId="77777777" w:rsidR="00155420" w:rsidRDefault="00155420">
      <w:pPr>
        <w:pBdr>
          <w:top w:val="nil"/>
          <w:left w:val="nil"/>
          <w:bottom w:val="nil"/>
          <w:right w:val="nil"/>
          <w:between w:val="nil"/>
        </w:pBdr>
        <w:spacing w:line="264" w:lineRule="auto"/>
        <w:rPr>
          <w:i/>
          <w:color w:val="000000"/>
          <w:sz w:val="24"/>
          <w:szCs w:val="24"/>
        </w:rPr>
        <w:sectPr w:rsidR="00155420">
          <w:headerReference w:type="default" r:id="rId12"/>
          <w:headerReference w:type="first" r:id="rId13"/>
          <w:footerReference w:type="first" r:id="rId14"/>
          <w:pgSz w:w="16838" w:h="11906" w:orient="landscape"/>
          <w:pgMar w:top="851" w:right="851" w:bottom="1582" w:left="907" w:header="289" w:footer="289" w:gutter="0"/>
          <w:cols w:space="720"/>
          <w:titlePg/>
        </w:sectPr>
      </w:pPr>
    </w:p>
    <w:p w14:paraId="2093840F" w14:textId="77777777" w:rsidR="00155420" w:rsidRDefault="00E84F93">
      <w:pPr>
        <w:pStyle w:val="Heading2"/>
        <w:numPr>
          <w:ilvl w:val="1"/>
          <w:numId w:val="38"/>
        </w:numPr>
      </w:pPr>
      <w:r>
        <w:lastRenderedPageBreak/>
        <w:t>Rationale</w:t>
      </w:r>
    </w:p>
    <w:p w14:paraId="563E04F8" w14:textId="77777777" w:rsidR="00155420" w:rsidRDefault="00E84F93">
      <w:pPr>
        <w:numPr>
          <w:ilvl w:val="2"/>
          <w:numId w:val="38"/>
        </w:numPr>
        <w:pBdr>
          <w:top w:val="nil"/>
          <w:left w:val="nil"/>
          <w:bottom w:val="nil"/>
          <w:right w:val="nil"/>
          <w:between w:val="nil"/>
        </w:pBdr>
        <w:tabs>
          <w:tab w:val="left" w:pos="990"/>
          <w:tab w:val="left" w:pos="1080"/>
        </w:tabs>
        <w:spacing w:line="264" w:lineRule="auto"/>
        <w:rPr>
          <w:b/>
          <w:color w:val="000000"/>
          <w:sz w:val="24"/>
          <w:szCs w:val="24"/>
        </w:rPr>
      </w:pPr>
      <w:r>
        <w:rPr>
          <w:b/>
          <w:color w:val="000000"/>
          <w:sz w:val="24"/>
          <w:szCs w:val="24"/>
        </w:rPr>
        <w:t>Overall approach for selection and prioritization of requested interventions.</w:t>
      </w:r>
    </w:p>
    <w:p w14:paraId="24518FE9" w14:textId="77777777" w:rsidR="00155420" w:rsidRDefault="00E84F93">
      <w:pPr>
        <w:pBdr>
          <w:top w:val="nil"/>
          <w:left w:val="nil"/>
          <w:bottom w:val="nil"/>
          <w:right w:val="nil"/>
          <w:between w:val="nil"/>
        </w:pBdr>
        <w:tabs>
          <w:tab w:val="left" w:pos="990"/>
          <w:tab w:val="left" w:pos="1080"/>
        </w:tabs>
        <w:spacing w:line="264" w:lineRule="auto"/>
        <w:rPr>
          <w:color w:val="000000"/>
          <w:sz w:val="24"/>
          <w:szCs w:val="24"/>
        </w:rPr>
      </w:pPr>
      <w:r>
        <w:rPr>
          <w:color w:val="000000"/>
          <w:sz w:val="24"/>
          <w:szCs w:val="24"/>
        </w:rPr>
        <w:t>The country employed the people-</w:t>
      </w:r>
      <w:proofErr w:type="spellStart"/>
      <w:r>
        <w:rPr>
          <w:color w:val="000000"/>
          <w:sz w:val="24"/>
          <w:szCs w:val="24"/>
        </w:rPr>
        <w:t>centered</w:t>
      </w:r>
      <w:proofErr w:type="spellEnd"/>
      <w:r>
        <w:rPr>
          <w:color w:val="000000"/>
          <w:sz w:val="24"/>
          <w:szCs w:val="24"/>
        </w:rPr>
        <w:t xml:space="preserve"> framework in the TB program evaluation and analysis to inform this funding request. It anchors on reviewing the TB epidemiological data trend, </w:t>
      </w:r>
      <w:proofErr w:type="spellStart"/>
      <w:r>
        <w:rPr>
          <w:color w:val="000000"/>
          <w:sz w:val="24"/>
          <w:szCs w:val="24"/>
        </w:rPr>
        <w:t>analyzing</w:t>
      </w:r>
      <w:proofErr w:type="spellEnd"/>
      <w:r>
        <w:rPr>
          <w:color w:val="000000"/>
          <w:sz w:val="24"/>
          <w:szCs w:val="24"/>
        </w:rPr>
        <w:t xml:space="preserve"> surrounding issues among key and vulnerable populations driving the epidemic, and understanding the he</w:t>
      </w:r>
      <w:r>
        <w:rPr>
          <w:color w:val="000000"/>
          <w:sz w:val="24"/>
          <w:szCs w:val="24"/>
        </w:rPr>
        <w:t>alth systems gaps that impede access to quality TB care.</w:t>
      </w:r>
    </w:p>
    <w:p w14:paraId="680AB41C" w14:textId="77777777" w:rsidR="00155420" w:rsidRDefault="00E84F93">
      <w:pPr>
        <w:pBdr>
          <w:top w:val="nil"/>
          <w:left w:val="nil"/>
          <w:bottom w:val="nil"/>
          <w:right w:val="nil"/>
          <w:between w:val="nil"/>
        </w:pBdr>
        <w:tabs>
          <w:tab w:val="left" w:pos="990"/>
          <w:tab w:val="left" w:pos="1080"/>
        </w:tabs>
        <w:spacing w:line="264" w:lineRule="auto"/>
        <w:rPr>
          <w:color w:val="000000"/>
          <w:sz w:val="24"/>
          <w:szCs w:val="24"/>
        </w:rPr>
      </w:pPr>
      <w:r>
        <w:rPr>
          <w:color w:val="000000"/>
          <w:sz w:val="24"/>
          <w:szCs w:val="24"/>
        </w:rPr>
        <w:t>The Philippine CCM appointed a task force to prepare separate funding requests for TB, HIV, and Malaria. The TB FR development process was led by the DOH-Disease Prevention and Control Bureau, repres</w:t>
      </w:r>
      <w:r>
        <w:rPr>
          <w:color w:val="000000"/>
          <w:sz w:val="24"/>
          <w:szCs w:val="24"/>
        </w:rPr>
        <w:t xml:space="preserve">entatives from TB KAP, PR technical team, WHO Philippines, and several experts from ongoing USAID health projects in the country.         </w:t>
      </w:r>
    </w:p>
    <w:p w14:paraId="7DAC8789" w14:textId="487FE783" w:rsidR="00155420" w:rsidRDefault="00E84F93">
      <w:pPr>
        <w:pBdr>
          <w:top w:val="nil"/>
          <w:left w:val="nil"/>
          <w:bottom w:val="nil"/>
          <w:right w:val="nil"/>
          <w:between w:val="nil"/>
        </w:pBdr>
        <w:tabs>
          <w:tab w:val="left" w:pos="990"/>
          <w:tab w:val="left" w:pos="1080"/>
        </w:tabs>
        <w:spacing w:line="264" w:lineRule="auto"/>
        <w:rPr>
          <w:color w:val="000000"/>
          <w:sz w:val="24"/>
          <w:szCs w:val="24"/>
        </w:rPr>
      </w:pPr>
      <w:r>
        <w:rPr>
          <w:color w:val="000000"/>
          <w:sz w:val="24"/>
          <w:szCs w:val="24"/>
        </w:rPr>
        <w:t>The FR is rooted in the findings and recommendations from a robust gap analysis conducted through the Department of H</w:t>
      </w:r>
      <w:r>
        <w:rPr>
          <w:color w:val="000000"/>
          <w:sz w:val="24"/>
          <w:szCs w:val="24"/>
        </w:rPr>
        <w:t xml:space="preserve">ealth National Perspective Situational Assessment (NPSA) and Joint Program Review (See </w:t>
      </w:r>
      <w:r w:rsidR="005E61FD">
        <w:rPr>
          <w:color w:val="000000"/>
          <w:sz w:val="24"/>
          <w:szCs w:val="24"/>
        </w:rPr>
        <w:t xml:space="preserve">Annex </w:t>
      </w:r>
      <w:r>
        <w:rPr>
          <w:color w:val="000000"/>
          <w:sz w:val="24"/>
          <w:szCs w:val="24"/>
        </w:rPr>
        <w:t xml:space="preserve"> </w:t>
      </w:r>
      <w:r w:rsidR="007C36C5">
        <w:rPr>
          <w:color w:val="000000"/>
          <w:sz w:val="24"/>
          <w:szCs w:val="24"/>
        </w:rPr>
        <w:t>1</w:t>
      </w:r>
      <w:r>
        <w:rPr>
          <w:color w:val="000000"/>
          <w:sz w:val="24"/>
          <w:szCs w:val="24"/>
        </w:rPr>
        <w:t>) undertaken in 2022; and several stakeholder consultations</w:t>
      </w:r>
      <w:r>
        <w:rPr>
          <w:color w:val="000000"/>
          <w:sz w:val="24"/>
          <w:szCs w:val="24"/>
          <w:vertAlign w:val="superscript"/>
        </w:rPr>
        <w:footnoteReference w:id="1"/>
      </w:r>
      <w:r>
        <w:rPr>
          <w:color w:val="000000"/>
          <w:sz w:val="24"/>
          <w:szCs w:val="24"/>
        </w:rPr>
        <w:t xml:space="preserve"> to prioritize the strategies and interventions. </w:t>
      </w:r>
    </w:p>
    <w:p w14:paraId="5ED88C27" w14:textId="77777777" w:rsidR="00155420" w:rsidRDefault="00E84F93">
      <w:pPr>
        <w:pBdr>
          <w:top w:val="nil"/>
          <w:left w:val="nil"/>
          <w:bottom w:val="nil"/>
          <w:right w:val="nil"/>
          <w:between w:val="nil"/>
        </w:pBdr>
        <w:tabs>
          <w:tab w:val="left" w:pos="990"/>
          <w:tab w:val="left" w:pos="1080"/>
        </w:tabs>
        <w:spacing w:line="264" w:lineRule="auto"/>
        <w:rPr>
          <w:color w:val="000000"/>
          <w:sz w:val="24"/>
          <w:szCs w:val="24"/>
        </w:rPr>
      </w:pPr>
      <w:r>
        <w:rPr>
          <w:color w:val="000000"/>
          <w:sz w:val="24"/>
          <w:szCs w:val="24"/>
        </w:rPr>
        <w:t>Preparing the programmatic gap tables and reviewing</w:t>
      </w:r>
      <w:r>
        <w:rPr>
          <w:color w:val="000000"/>
          <w:sz w:val="24"/>
          <w:szCs w:val="24"/>
        </w:rPr>
        <w:t xml:space="preserve"> successful and promising interventions guided the selection of interventions. Much consideration was also placed on the aligned expressed needs of the key affected population participating in the various consultation sessions. </w:t>
      </w:r>
    </w:p>
    <w:p w14:paraId="348597E6" w14:textId="77777777" w:rsidR="00155420" w:rsidRDefault="00E84F93">
      <w:pPr>
        <w:pBdr>
          <w:top w:val="nil"/>
          <w:left w:val="nil"/>
          <w:bottom w:val="nil"/>
          <w:right w:val="nil"/>
          <w:between w:val="nil"/>
        </w:pBdr>
        <w:tabs>
          <w:tab w:val="left" w:pos="990"/>
          <w:tab w:val="left" w:pos="1080"/>
        </w:tabs>
        <w:spacing w:line="264" w:lineRule="auto"/>
        <w:rPr>
          <w:color w:val="000000"/>
          <w:sz w:val="24"/>
          <w:szCs w:val="24"/>
        </w:rPr>
      </w:pPr>
      <w:r>
        <w:rPr>
          <w:color w:val="000000"/>
          <w:sz w:val="24"/>
          <w:szCs w:val="24"/>
        </w:rPr>
        <w:t>The WHO-coordinated peer re</w:t>
      </w:r>
      <w:r>
        <w:rPr>
          <w:color w:val="000000"/>
          <w:sz w:val="24"/>
          <w:szCs w:val="24"/>
        </w:rPr>
        <w:t xml:space="preserve">view was also participated in by the Philippines FR writing teams in February 2023, which enriched the contents of the FR for HIV, TB, and Malaria. The participants and the organizers commended all draft FRs presented by the Philippines delegation. </w:t>
      </w:r>
    </w:p>
    <w:p w14:paraId="04212355" w14:textId="64E7FF07" w:rsidR="00155420" w:rsidRDefault="00E84F93">
      <w:pPr>
        <w:pBdr>
          <w:top w:val="nil"/>
          <w:left w:val="nil"/>
          <w:bottom w:val="nil"/>
          <w:right w:val="nil"/>
          <w:between w:val="nil"/>
        </w:pBdr>
        <w:tabs>
          <w:tab w:val="left" w:pos="990"/>
          <w:tab w:val="left" w:pos="1080"/>
        </w:tabs>
        <w:spacing w:line="264" w:lineRule="auto"/>
        <w:rPr>
          <w:color w:val="000000"/>
          <w:sz w:val="24"/>
          <w:szCs w:val="24"/>
        </w:rPr>
      </w:pPr>
      <w:r>
        <w:rPr>
          <w:color w:val="000000"/>
          <w:sz w:val="24"/>
          <w:szCs w:val="24"/>
        </w:rPr>
        <w:t>The FR</w:t>
      </w:r>
      <w:r>
        <w:rPr>
          <w:color w:val="000000"/>
          <w:sz w:val="24"/>
          <w:szCs w:val="24"/>
        </w:rPr>
        <w:t xml:space="preserve"> development process was conscious of aligning and complementing with the Philippine Health Sector Agenda (</w:t>
      </w:r>
      <w:r w:rsidR="005E61FD">
        <w:rPr>
          <w:color w:val="000000"/>
          <w:sz w:val="24"/>
          <w:szCs w:val="24"/>
        </w:rPr>
        <w:t xml:space="preserve">Annex </w:t>
      </w:r>
      <w:r>
        <w:rPr>
          <w:color w:val="000000"/>
          <w:sz w:val="24"/>
          <w:szCs w:val="24"/>
        </w:rPr>
        <w:t xml:space="preserve"> </w:t>
      </w:r>
      <w:r w:rsidR="007C36C5">
        <w:rPr>
          <w:color w:val="000000"/>
          <w:sz w:val="24"/>
          <w:szCs w:val="24"/>
        </w:rPr>
        <w:t>2</w:t>
      </w:r>
      <w:r>
        <w:rPr>
          <w:color w:val="000000"/>
          <w:sz w:val="24"/>
          <w:szCs w:val="24"/>
        </w:rPr>
        <w:t>) and the DOH Primary Care Strategy (</w:t>
      </w:r>
      <w:r w:rsidR="005E61FD">
        <w:rPr>
          <w:color w:val="000000"/>
          <w:sz w:val="24"/>
          <w:szCs w:val="24"/>
        </w:rPr>
        <w:t xml:space="preserve">Annex </w:t>
      </w:r>
      <w:r>
        <w:rPr>
          <w:color w:val="000000"/>
          <w:sz w:val="24"/>
          <w:szCs w:val="24"/>
        </w:rPr>
        <w:t xml:space="preserve"> </w:t>
      </w:r>
      <w:r w:rsidR="007C36C5">
        <w:rPr>
          <w:color w:val="000000"/>
          <w:sz w:val="24"/>
          <w:szCs w:val="24"/>
        </w:rPr>
        <w:t>3</w:t>
      </w:r>
      <w:r>
        <w:rPr>
          <w:color w:val="000000"/>
          <w:sz w:val="24"/>
          <w:szCs w:val="24"/>
        </w:rPr>
        <w:t xml:space="preserve">) for 2023-2028. </w:t>
      </w:r>
    </w:p>
    <w:p w14:paraId="06552004" w14:textId="463F9207" w:rsidR="00155420" w:rsidRDefault="00E84F93">
      <w:pPr>
        <w:pBdr>
          <w:top w:val="nil"/>
          <w:left w:val="nil"/>
          <w:bottom w:val="nil"/>
          <w:right w:val="nil"/>
          <w:between w:val="nil"/>
        </w:pBdr>
        <w:tabs>
          <w:tab w:val="left" w:pos="990"/>
          <w:tab w:val="left" w:pos="1080"/>
        </w:tabs>
        <w:spacing w:line="264" w:lineRule="auto"/>
        <w:rPr>
          <w:color w:val="000000"/>
          <w:sz w:val="24"/>
          <w:szCs w:val="24"/>
        </w:rPr>
      </w:pPr>
      <w:r>
        <w:rPr>
          <w:color w:val="000000"/>
          <w:sz w:val="24"/>
          <w:szCs w:val="24"/>
        </w:rPr>
        <w:t>Key operational recommendations from the regional Green Light Committee (</w:t>
      </w:r>
      <w:proofErr w:type="spellStart"/>
      <w:r>
        <w:rPr>
          <w:color w:val="000000"/>
          <w:sz w:val="24"/>
          <w:szCs w:val="24"/>
        </w:rPr>
        <w:t>rGLC</w:t>
      </w:r>
      <w:proofErr w:type="spellEnd"/>
      <w:r>
        <w:rPr>
          <w:color w:val="000000"/>
          <w:sz w:val="24"/>
          <w:szCs w:val="24"/>
        </w:rPr>
        <w:t>)</w:t>
      </w:r>
      <w:r>
        <w:rPr>
          <w:color w:val="000000"/>
          <w:sz w:val="24"/>
          <w:szCs w:val="24"/>
        </w:rPr>
        <w:t xml:space="preserve"> mission conducted in December 2022 were adopted in 2023, and recommendations for systems improvement were considered in preparing this FR. (</w:t>
      </w:r>
      <w:r w:rsidR="005E61FD">
        <w:rPr>
          <w:color w:val="000000"/>
          <w:sz w:val="24"/>
          <w:szCs w:val="24"/>
        </w:rPr>
        <w:t xml:space="preserve">Annex </w:t>
      </w:r>
      <w:r>
        <w:rPr>
          <w:color w:val="000000"/>
          <w:sz w:val="24"/>
          <w:szCs w:val="24"/>
        </w:rPr>
        <w:t xml:space="preserve"> </w:t>
      </w:r>
      <w:r w:rsidR="007C36C5">
        <w:rPr>
          <w:color w:val="000000"/>
          <w:sz w:val="24"/>
          <w:szCs w:val="24"/>
        </w:rPr>
        <w:t>4</w:t>
      </w:r>
      <w:r>
        <w:rPr>
          <w:color w:val="000000"/>
          <w:sz w:val="24"/>
          <w:szCs w:val="24"/>
        </w:rPr>
        <w:t>)</w:t>
      </w:r>
    </w:p>
    <w:p w14:paraId="0AB9EC68"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The TB-HIV co-financing plan outlines the TB and HIV program’s targets, strategies, and interventions for</w:t>
      </w:r>
      <w:r>
        <w:rPr>
          <w:color w:val="000000"/>
          <w:sz w:val="24"/>
          <w:szCs w:val="24"/>
        </w:rPr>
        <w:t xml:space="preserve"> 2024 to 2026. This FR is a subset of this document. </w:t>
      </w:r>
    </w:p>
    <w:p w14:paraId="19AF190A"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 xml:space="preserve">In the end, the priority investment being solicited from The Global Fund Grant cycle 2024-2026 focuses on the following: </w:t>
      </w:r>
    </w:p>
    <w:p w14:paraId="6D606481" w14:textId="77777777" w:rsidR="00155420" w:rsidRDefault="00E84F93">
      <w:pPr>
        <w:numPr>
          <w:ilvl w:val="0"/>
          <w:numId w:val="34"/>
        </w:numPr>
        <w:pBdr>
          <w:top w:val="nil"/>
          <w:left w:val="nil"/>
          <w:bottom w:val="nil"/>
          <w:right w:val="nil"/>
          <w:between w:val="nil"/>
        </w:pBdr>
        <w:spacing w:line="264" w:lineRule="auto"/>
      </w:pPr>
      <w:r>
        <w:rPr>
          <w:color w:val="000000"/>
          <w:sz w:val="24"/>
          <w:szCs w:val="24"/>
        </w:rPr>
        <w:t>Scaling up DRTB diagnosis, treatment using new regimens, and care using patient-</w:t>
      </w:r>
      <w:proofErr w:type="spellStart"/>
      <w:r>
        <w:rPr>
          <w:color w:val="000000"/>
          <w:sz w:val="24"/>
          <w:szCs w:val="24"/>
        </w:rPr>
        <w:t>centered</w:t>
      </w:r>
      <w:proofErr w:type="spellEnd"/>
      <w:r>
        <w:rPr>
          <w:color w:val="000000"/>
          <w:sz w:val="24"/>
          <w:szCs w:val="24"/>
        </w:rPr>
        <w:t xml:space="preserve"> care-focused innovations. </w:t>
      </w:r>
    </w:p>
    <w:p w14:paraId="25FC9AD5" w14:textId="77777777" w:rsidR="00155420" w:rsidRDefault="00E84F93">
      <w:pPr>
        <w:numPr>
          <w:ilvl w:val="0"/>
          <w:numId w:val="34"/>
        </w:numPr>
        <w:pBdr>
          <w:top w:val="nil"/>
          <w:left w:val="nil"/>
          <w:bottom w:val="nil"/>
          <w:right w:val="nil"/>
          <w:between w:val="nil"/>
        </w:pBdr>
        <w:spacing w:line="264" w:lineRule="auto"/>
      </w:pPr>
      <w:r>
        <w:rPr>
          <w:color w:val="000000"/>
          <w:sz w:val="24"/>
          <w:szCs w:val="24"/>
        </w:rPr>
        <w:lastRenderedPageBreak/>
        <w:t xml:space="preserve">Scaling up successful interventions in finding and treating all people with TB. </w:t>
      </w:r>
    </w:p>
    <w:p w14:paraId="66CC9B7E" w14:textId="77777777" w:rsidR="00155420" w:rsidRDefault="00E84F93">
      <w:pPr>
        <w:numPr>
          <w:ilvl w:val="0"/>
          <w:numId w:val="34"/>
        </w:numPr>
        <w:pBdr>
          <w:top w:val="nil"/>
          <w:left w:val="nil"/>
          <w:bottom w:val="nil"/>
          <w:right w:val="nil"/>
          <w:between w:val="nil"/>
        </w:pBdr>
        <w:spacing w:line="264" w:lineRule="auto"/>
      </w:pPr>
      <w:r>
        <w:rPr>
          <w:color w:val="000000"/>
          <w:sz w:val="24"/>
          <w:szCs w:val="24"/>
        </w:rPr>
        <w:t xml:space="preserve">Scaling up contact investigation and TB preventive therapy. </w:t>
      </w:r>
    </w:p>
    <w:p w14:paraId="527620DE" w14:textId="77777777" w:rsidR="00155420" w:rsidRDefault="00E84F93">
      <w:pPr>
        <w:numPr>
          <w:ilvl w:val="0"/>
          <w:numId w:val="34"/>
        </w:numPr>
        <w:pBdr>
          <w:top w:val="nil"/>
          <w:left w:val="nil"/>
          <w:bottom w:val="nil"/>
          <w:right w:val="nil"/>
          <w:between w:val="nil"/>
        </w:pBdr>
        <w:spacing w:line="264" w:lineRule="auto"/>
      </w:pPr>
      <w:r>
        <w:rPr>
          <w:color w:val="000000"/>
          <w:sz w:val="24"/>
          <w:szCs w:val="24"/>
        </w:rPr>
        <w:t>Scaling up initiatives to scale up the active engagement of community-based or</w:t>
      </w:r>
      <w:r>
        <w:rPr>
          <w:color w:val="000000"/>
          <w:sz w:val="24"/>
          <w:szCs w:val="24"/>
        </w:rPr>
        <w:t xml:space="preserve">ganizations and the private sector across the TB care cascade. </w:t>
      </w:r>
    </w:p>
    <w:p w14:paraId="18D7B44D" w14:textId="77777777" w:rsidR="00155420" w:rsidRDefault="00E84F93">
      <w:pPr>
        <w:numPr>
          <w:ilvl w:val="0"/>
          <w:numId w:val="34"/>
        </w:numPr>
        <w:pBdr>
          <w:top w:val="nil"/>
          <w:left w:val="nil"/>
          <w:bottom w:val="nil"/>
          <w:right w:val="nil"/>
          <w:between w:val="nil"/>
        </w:pBdr>
        <w:spacing w:line="264" w:lineRule="auto"/>
      </w:pPr>
      <w:r>
        <w:rPr>
          <w:color w:val="000000"/>
          <w:sz w:val="24"/>
          <w:szCs w:val="24"/>
        </w:rPr>
        <w:t>Implementing systems strengthening interventions to accelerate efforts towards universal health care, benefitting TB and other disease programs.</w:t>
      </w:r>
    </w:p>
    <w:p w14:paraId="262CA4AC" w14:textId="77777777" w:rsidR="00155420" w:rsidRDefault="00E84F93">
      <w:pPr>
        <w:pBdr>
          <w:top w:val="nil"/>
          <w:left w:val="nil"/>
          <w:bottom w:val="nil"/>
          <w:right w:val="nil"/>
          <w:between w:val="nil"/>
        </w:pBdr>
        <w:spacing w:line="264" w:lineRule="auto"/>
        <w:ind w:left="720"/>
        <w:rPr>
          <w:color w:val="000000"/>
          <w:sz w:val="24"/>
          <w:szCs w:val="24"/>
        </w:rPr>
      </w:pPr>
      <w:r>
        <w:rPr>
          <w:color w:val="000000"/>
          <w:sz w:val="24"/>
          <w:szCs w:val="24"/>
        </w:rPr>
        <w:t xml:space="preserve">  </w:t>
      </w:r>
    </w:p>
    <w:p w14:paraId="19B624E4" w14:textId="77777777" w:rsidR="00155420" w:rsidRDefault="00E84F93">
      <w:pPr>
        <w:numPr>
          <w:ilvl w:val="2"/>
          <w:numId w:val="38"/>
        </w:numPr>
        <w:pBdr>
          <w:top w:val="nil"/>
          <w:left w:val="nil"/>
          <w:bottom w:val="nil"/>
          <w:right w:val="nil"/>
          <w:between w:val="nil"/>
        </w:pBdr>
        <w:spacing w:line="264" w:lineRule="auto"/>
        <w:rPr>
          <w:b/>
          <w:color w:val="000000"/>
          <w:sz w:val="24"/>
          <w:szCs w:val="24"/>
        </w:rPr>
      </w:pPr>
      <w:r>
        <w:rPr>
          <w:b/>
          <w:color w:val="000000"/>
          <w:sz w:val="24"/>
          <w:szCs w:val="24"/>
        </w:rPr>
        <w:t xml:space="preserve">Decision Process for interventions selected </w:t>
      </w:r>
      <w:r>
        <w:rPr>
          <w:b/>
          <w:color w:val="000000"/>
          <w:sz w:val="24"/>
          <w:szCs w:val="24"/>
        </w:rPr>
        <w:t>for allocation versus those included in the PAAR</w:t>
      </w:r>
    </w:p>
    <w:p w14:paraId="7BB20076" w14:textId="77777777" w:rsidR="00155420" w:rsidRDefault="00155420">
      <w:pPr>
        <w:pBdr>
          <w:top w:val="nil"/>
          <w:left w:val="nil"/>
          <w:bottom w:val="nil"/>
          <w:right w:val="nil"/>
          <w:between w:val="nil"/>
        </w:pBdr>
        <w:spacing w:line="264" w:lineRule="auto"/>
        <w:rPr>
          <w:color w:val="000000"/>
          <w:sz w:val="24"/>
          <w:szCs w:val="24"/>
        </w:rPr>
      </w:pPr>
    </w:p>
    <w:p w14:paraId="76C8B390" w14:textId="16FF0710" w:rsidR="00155420" w:rsidRDefault="00E84F93">
      <w:pPr>
        <w:pBdr>
          <w:top w:val="nil"/>
          <w:left w:val="nil"/>
          <w:bottom w:val="nil"/>
          <w:right w:val="nil"/>
          <w:between w:val="nil"/>
        </w:pBdr>
        <w:tabs>
          <w:tab w:val="left" w:pos="990"/>
          <w:tab w:val="left" w:pos="1080"/>
        </w:tabs>
        <w:spacing w:line="264" w:lineRule="auto"/>
        <w:rPr>
          <w:color w:val="000000"/>
          <w:sz w:val="24"/>
          <w:szCs w:val="24"/>
        </w:rPr>
      </w:pPr>
      <w:r>
        <w:rPr>
          <w:color w:val="000000"/>
          <w:sz w:val="24"/>
          <w:szCs w:val="24"/>
        </w:rPr>
        <w:t xml:space="preserve">Specific for RSSH in support of the ongoing </w:t>
      </w:r>
      <w:r w:rsidR="003C2349">
        <w:rPr>
          <w:color w:val="000000"/>
          <w:sz w:val="24"/>
          <w:szCs w:val="24"/>
        </w:rPr>
        <w:t>healthcare</w:t>
      </w:r>
      <w:r>
        <w:rPr>
          <w:color w:val="000000"/>
          <w:sz w:val="24"/>
          <w:szCs w:val="24"/>
        </w:rPr>
        <w:t xml:space="preserve"> system transition towards implementation of the provisions of the universal </w:t>
      </w:r>
      <w:r w:rsidR="003C2349">
        <w:rPr>
          <w:color w:val="000000"/>
          <w:sz w:val="24"/>
          <w:szCs w:val="24"/>
        </w:rPr>
        <w:t>healthcare</w:t>
      </w:r>
      <w:r>
        <w:rPr>
          <w:color w:val="000000"/>
          <w:sz w:val="24"/>
          <w:szCs w:val="24"/>
        </w:rPr>
        <w:t xml:space="preserve"> law, interventions were prioritized based on critical gaps identified from </w:t>
      </w:r>
      <w:proofErr w:type="spellStart"/>
      <w:r>
        <w:rPr>
          <w:color w:val="000000"/>
          <w:sz w:val="24"/>
          <w:szCs w:val="24"/>
        </w:rPr>
        <w:t>analyzing</w:t>
      </w:r>
      <w:proofErr w:type="spellEnd"/>
      <w:r>
        <w:rPr>
          <w:color w:val="000000"/>
          <w:sz w:val="24"/>
          <w:szCs w:val="24"/>
        </w:rPr>
        <w:t xml:space="preserve"> government commitments vis-à-vis other donors (</w:t>
      </w:r>
      <w:r w:rsidR="005E61FD">
        <w:rPr>
          <w:color w:val="000000"/>
          <w:sz w:val="24"/>
          <w:szCs w:val="24"/>
        </w:rPr>
        <w:t xml:space="preserve">Annex </w:t>
      </w:r>
      <w:r>
        <w:rPr>
          <w:color w:val="000000"/>
          <w:sz w:val="24"/>
          <w:szCs w:val="24"/>
        </w:rPr>
        <w:t xml:space="preserve"> </w:t>
      </w:r>
      <w:r w:rsidR="007C36C5">
        <w:rPr>
          <w:color w:val="000000"/>
          <w:sz w:val="24"/>
          <w:szCs w:val="24"/>
        </w:rPr>
        <w:t>5</w:t>
      </w:r>
      <w:r>
        <w:rPr>
          <w:color w:val="000000"/>
          <w:sz w:val="24"/>
          <w:szCs w:val="24"/>
        </w:rPr>
        <w:t xml:space="preserve">) and those that </w:t>
      </w:r>
      <w:r w:rsidR="006550D6" w:rsidRPr="006550D6">
        <w:rPr>
          <w:color w:val="000000"/>
          <w:sz w:val="24"/>
          <w:szCs w:val="24"/>
        </w:rPr>
        <w:t>the ongoing GFTB grant, the C19RM, and forecasted loans and cooperative agreements can cover</w:t>
      </w:r>
      <w:r>
        <w:rPr>
          <w:color w:val="000000"/>
          <w:sz w:val="24"/>
          <w:szCs w:val="24"/>
        </w:rPr>
        <w:t xml:space="preserve">.     </w:t>
      </w:r>
    </w:p>
    <w:p w14:paraId="0C9D8F88"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 xml:space="preserve">Considering the high investment required to address TB in the Philippines, moderate domestic investment, and TGF allocation for this grant cycle, several excellent and promising interventions were scaled down and included as part of PAAR. This includes: </w:t>
      </w:r>
    </w:p>
    <w:p w14:paraId="1397FD65" w14:textId="77777777" w:rsidR="00155420" w:rsidRDefault="00E84F93">
      <w:pPr>
        <w:numPr>
          <w:ilvl w:val="1"/>
          <w:numId w:val="2"/>
        </w:numPr>
        <w:pBdr>
          <w:top w:val="nil"/>
          <w:left w:val="nil"/>
          <w:bottom w:val="nil"/>
          <w:right w:val="nil"/>
          <w:between w:val="nil"/>
        </w:pBdr>
        <w:spacing w:line="264" w:lineRule="auto"/>
      </w:pPr>
      <w:r>
        <w:rPr>
          <w:color w:val="000000"/>
          <w:sz w:val="24"/>
          <w:szCs w:val="24"/>
        </w:rPr>
        <w:t>Procurement of additional X-ray machines for multi-disease use</w:t>
      </w:r>
    </w:p>
    <w:p w14:paraId="48E0CCE1" w14:textId="77777777" w:rsidR="00155420" w:rsidRDefault="00E84F93">
      <w:pPr>
        <w:numPr>
          <w:ilvl w:val="1"/>
          <w:numId w:val="2"/>
        </w:numPr>
        <w:pBdr>
          <w:top w:val="nil"/>
          <w:left w:val="nil"/>
          <w:bottom w:val="nil"/>
          <w:right w:val="nil"/>
          <w:between w:val="nil"/>
        </w:pBdr>
        <w:spacing w:line="264" w:lineRule="auto"/>
      </w:pPr>
      <w:r>
        <w:rPr>
          <w:color w:val="000000"/>
          <w:sz w:val="24"/>
          <w:szCs w:val="24"/>
        </w:rPr>
        <w:t>Procurement of additional RDTs (</w:t>
      </w:r>
      <w:proofErr w:type="spellStart"/>
      <w:r>
        <w:rPr>
          <w:color w:val="000000"/>
          <w:sz w:val="24"/>
          <w:szCs w:val="24"/>
        </w:rPr>
        <w:t>Xpert</w:t>
      </w:r>
      <w:proofErr w:type="spellEnd"/>
      <w:r>
        <w:rPr>
          <w:color w:val="000000"/>
          <w:sz w:val="24"/>
          <w:szCs w:val="24"/>
        </w:rPr>
        <w:t xml:space="preserve">, IGRA kits, </w:t>
      </w:r>
      <w:proofErr w:type="spellStart"/>
      <w:r>
        <w:rPr>
          <w:color w:val="000000"/>
          <w:sz w:val="24"/>
          <w:szCs w:val="24"/>
        </w:rPr>
        <w:t>Trunat</w:t>
      </w:r>
      <w:proofErr w:type="spellEnd"/>
      <w:r>
        <w:rPr>
          <w:color w:val="000000"/>
          <w:sz w:val="24"/>
          <w:szCs w:val="24"/>
        </w:rPr>
        <w:t xml:space="preserve">) for multi-disease use </w:t>
      </w:r>
    </w:p>
    <w:p w14:paraId="7320AEA0" w14:textId="0AD4F9BD" w:rsidR="00155420" w:rsidRDefault="00E84F93">
      <w:pPr>
        <w:numPr>
          <w:ilvl w:val="1"/>
          <w:numId w:val="2"/>
        </w:numPr>
        <w:pBdr>
          <w:top w:val="nil"/>
          <w:left w:val="nil"/>
          <w:bottom w:val="nil"/>
          <w:right w:val="nil"/>
          <w:between w:val="nil"/>
        </w:pBdr>
        <w:spacing w:line="264" w:lineRule="auto"/>
      </w:pPr>
      <w:r>
        <w:rPr>
          <w:color w:val="000000"/>
          <w:sz w:val="24"/>
          <w:szCs w:val="24"/>
        </w:rPr>
        <w:t xml:space="preserve">Procurement of additional shorter TPT regimen for a </w:t>
      </w:r>
      <w:r w:rsidR="006550D6">
        <w:rPr>
          <w:color w:val="000000"/>
          <w:sz w:val="24"/>
          <w:szCs w:val="24"/>
        </w:rPr>
        <w:t>more extensive</w:t>
      </w:r>
      <w:r>
        <w:rPr>
          <w:color w:val="000000"/>
          <w:sz w:val="24"/>
          <w:szCs w:val="24"/>
        </w:rPr>
        <w:t xml:space="preserve"> scale of implementation </w:t>
      </w:r>
    </w:p>
    <w:p w14:paraId="47D816A0" w14:textId="77777777" w:rsidR="00155420" w:rsidRDefault="00E84F93">
      <w:pPr>
        <w:numPr>
          <w:ilvl w:val="1"/>
          <w:numId w:val="2"/>
        </w:numPr>
        <w:pBdr>
          <w:top w:val="nil"/>
          <w:left w:val="nil"/>
          <w:bottom w:val="nil"/>
          <w:right w:val="nil"/>
          <w:between w:val="nil"/>
        </w:pBdr>
        <w:spacing w:line="264" w:lineRule="auto"/>
      </w:pPr>
      <w:r>
        <w:rPr>
          <w:color w:val="000000"/>
          <w:sz w:val="24"/>
          <w:szCs w:val="24"/>
        </w:rPr>
        <w:t>Procurement of addit</w:t>
      </w:r>
      <w:r>
        <w:rPr>
          <w:color w:val="000000"/>
          <w:sz w:val="24"/>
          <w:szCs w:val="24"/>
        </w:rPr>
        <w:t>ional mobile vans to reach more KVPs</w:t>
      </w:r>
    </w:p>
    <w:p w14:paraId="47E8E48C" w14:textId="1EEDD159" w:rsidR="00155420" w:rsidRDefault="00E84F93">
      <w:pPr>
        <w:numPr>
          <w:ilvl w:val="1"/>
          <w:numId w:val="2"/>
        </w:numPr>
        <w:pBdr>
          <w:top w:val="nil"/>
          <w:left w:val="nil"/>
          <w:bottom w:val="nil"/>
          <w:right w:val="nil"/>
          <w:between w:val="nil"/>
        </w:pBdr>
        <w:spacing w:line="264" w:lineRule="auto"/>
      </w:pPr>
      <w:r>
        <w:rPr>
          <w:color w:val="000000"/>
          <w:sz w:val="24"/>
          <w:szCs w:val="24"/>
        </w:rPr>
        <w:t xml:space="preserve">Procurement of ultraportable X-ray machines for ACF in </w:t>
      </w:r>
      <w:r w:rsidR="00BA5B66">
        <w:rPr>
          <w:color w:val="000000"/>
          <w:sz w:val="24"/>
          <w:szCs w:val="24"/>
        </w:rPr>
        <w:t>isolated areas</w:t>
      </w:r>
    </w:p>
    <w:p w14:paraId="4C94A254" w14:textId="77777777" w:rsidR="00155420" w:rsidRDefault="00E84F93">
      <w:pPr>
        <w:numPr>
          <w:ilvl w:val="1"/>
          <w:numId w:val="2"/>
        </w:numPr>
        <w:pBdr>
          <w:top w:val="nil"/>
          <w:left w:val="nil"/>
          <w:bottom w:val="nil"/>
          <w:right w:val="nil"/>
          <w:between w:val="nil"/>
        </w:pBdr>
        <w:spacing w:line="264" w:lineRule="auto"/>
      </w:pPr>
      <w:r>
        <w:rPr>
          <w:color w:val="000000"/>
          <w:sz w:val="24"/>
          <w:szCs w:val="24"/>
        </w:rPr>
        <w:t>Support the conduct of the 2026 NTPS.</w:t>
      </w:r>
    </w:p>
    <w:p w14:paraId="7D2457B0" w14:textId="77777777" w:rsidR="00155420" w:rsidRDefault="00E84F93">
      <w:pPr>
        <w:numPr>
          <w:ilvl w:val="1"/>
          <w:numId w:val="2"/>
        </w:numPr>
        <w:pBdr>
          <w:top w:val="nil"/>
          <w:left w:val="nil"/>
          <w:bottom w:val="nil"/>
          <w:right w:val="nil"/>
          <w:between w:val="nil"/>
        </w:pBdr>
        <w:spacing w:line="264" w:lineRule="auto"/>
      </w:pPr>
      <w:r>
        <w:rPr>
          <w:color w:val="000000"/>
          <w:sz w:val="24"/>
          <w:szCs w:val="24"/>
        </w:rPr>
        <w:t>Support the conduct of a National TB Stigma Baseline Assessment</w:t>
      </w:r>
    </w:p>
    <w:p w14:paraId="7644FFB5"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 xml:space="preserve">Furthermore, critical interventions to support </w:t>
      </w:r>
      <w:r>
        <w:rPr>
          <w:color w:val="000000"/>
          <w:sz w:val="24"/>
          <w:szCs w:val="24"/>
        </w:rPr>
        <w:t>the ongoing health systems changes in the central and regional offices of the DOH vis-à-vis the implementation of the UHC law provisions were also prioritized to be included in the PAAR as follows:</w:t>
      </w:r>
    </w:p>
    <w:p w14:paraId="5012BDDC" w14:textId="77777777" w:rsidR="00155420" w:rsidRDefault="00E84F93">
      <w:pPr>
        <w:numPr>
          <w:ilvl w:val="1"/>
          <w:numId w:val="2"/>
        </w:numPr>
        <w:pBdr>
          <w:top w:val="nil"/>
          <w:left w:val="nil"/>
          <w:bottom w:val="nil"/>
          <w:right w:val="nil"/>
          <w:between w:val="nil"/>
        </w:pBdr>
        <w:spacing w:line="264" w:lineRule="auto"/>
      </w:pPr>
      <w:r>
        <w:rPr>
          <w:color w:val="000000"/>
          <w:sz w:val="24"/>
          <w:szCs w:val="24"/>
        </w:rPr>
        <w:t>HRH augmentation to the planned Philippine CDC.</w:t>
      </w:r>
    </w:p>
    <w:p w14:paraId="7A0A8B8B" w14:textId="77777777" w:rsidR="00155420" w:rsidRDefault="00E84F93">
      <w:pPr>
        <w:numPr>
          <w:ilvl w:val="1"/>
          <w:numId w:val="2"/>
        </w:numPr>
        <w:pBdr>
          <w:top w:val="nil"/>
          <w:left w:val="nil"/>
          <w:bottom w:val="nil"/>
          <w:right w:val="nil"/>
          <w:between w:val="nil"/>
        </w:pBdr>
        <w:spacing w:line="264" w:lineRule="auto"/>
      </w:pPr>
      <w:r>
        <w:rPr>
          <w:color w:val="000000"/>
          <w:sz w:val="24"/>
          <w:szCs w:val="24"/>
        </w:rPr>
        <w:t xml:space="preserve">Capacity </w:t>
      </w:r>
      <w:r>
        <w:rPr>
          <w:color w:val="000000"/>
          <w:sz w:val="24"/>
          <w:szCs w:val="24"/>
        </w:rPr>
        <w:t>strengthening for CHDs on patient navigation and referral.</w:t>
      </w:r>
    </w:p>
    <w:p w14:paraId="01983F8C" w14:textId="77777777" w:rsidR="00155420" w:rsidRDefault="00E84F93">
      <w:pPr>
        <w:numPr>
          <w:ilvl w:val="1"/>
          <w:numId w:val="2"/>
        </w:numPr>
        <w:pBdr>
          <w:top w:val="nil"/>
          <w:left w:val="nil"/>
          <w:bottom w:val="nil"/>
          <w:right w:val="nil"/>
          <w:between w:val="nil"/>
        </w:pBdr>
        <w:spacing w:line="264" w:lineRule="auto"/>
      </w:pPr>
      <w:r>
        <w:rPr>
          <w:color w:val="000000"/>
          <w:sz w:val="24"/>
          <w:szCs w:val="24"/>
        </w:rPr>
        <w:t>Technical assistance to the development of the Laboratory Development Plan.</w:t>
      </w:r>
    </w:p>
    <w:p w14:paraId="48CA8EA3" w14:textId="277D882D" w:rsidR="00155420" w:rsidRDefault="00E84F93">
      <w:pPr>
        <w:numPr>
          <w:ilvl w:val="1"/>
          <w:numId w:val="2"/>
        </w:numPr>
        <w:pBdr>
          <w:top w:val="nil"/>
          <w:left w:val="nil"/>
          <w:bottom w:val="nil"/>
          <w:right w:val="nil"/>
          <w:between w:val="nil"/>
        </w:pBdr>
        <w:spacing w:line="264" w:lineRule="auto"/>
      </w:pPr>
      <w:r>
        <w:rPr>
          <w:color w:val="000000"/>
          <w:sz w:val="24"/>
          <w:szCs w:val="24"/>
        </w:rPr>
        <w:t xml:space="preserve">Capacity building for UHC IS and non-UHC IS in implementing telemedicine services.  </w:t>
      </w:r>
    </w:p>
    <w:p w14:paraId="1DCEE693" w14:textId="77777777" w:rsidR="00155420" w:rsidRDefault="00E84F93">
      <w:pPr>
        <w:pStyle w:val="Heading2"/>
        <w:numPr>
          <w:ilvl w:val="1"/>
          <w:numId w:val="38"/>
        </w:numPr>
      </w:pPr>
      <w:r>
        <w:t>Context</w:t>
      </w:r>
    </w:p>
    <w:p w14:paraId="25704ECD" w14:textId="77777777" w:rsidR="00155420" w:rsidRDefault="00E84F93">
      <w:pPr>
        <w:pBdr>
          <w:top w:val="nil"/>
          <w:left w:val="nil"/>
          <w:bottom w:val="nil"/>
          <w:right w:val="nil"/>
          <w:between w:val="nil"/>
        </w:pBdr>
        <w:spacing w:line="264" w:lineRule="auto"/>
        <w:rPr>
          <w:color w:val="000000"/>
          <w:sz w:val="24"/>
          <w:szCs w:val="24"/>
          <w:u w:val="single"/>
        </w:rPr>
      </w:pPr>
      <w:r>
        <w:rPr>
          <w:color w:val="000000"/>
          <w:sz w:val="24"/>
          <w:szCs w:val="24"/>
          <w:u w:val="single"/>
        </w:rPr>
        <w:t>The Philippine Health Care S</w:t>
      </w:r>
      <w:r>
        <w:rPr>
          <w:color w:val="000000"/>
          <w:sz w:val="24"/>
          <w:szCs w:val="24"/>
          <w:u w:val="single"/>
        </w:rPr>
        <w:t xml:space="preserve">ystem </w:t>
      </w:r>
    </w:p>
    <w:p w14:paraId="608BC731" w14:textId="2D3FB2F0" w:rsidR="00155420" w:rsidRDefault="00E84F93">
      <w:pPr>
        <w:spacing w:line="276" w:lineRule="auto"/>
        <w:rPr>
          <w:sz w:val="24"/>
          <w:szCs w:val="24"/>
        </w:rPr>
      </w:pPr>
      <w:r>
        <w:rPr>
          <w:sz w:val="24"/>
          <w:szCs w:val="24"/>
        </w:rPr>
        <w:lastRenderedPageBreak/>
        <w:t>The observed outcomes must be contextualized wherein the Philippine healthcare system is undergoing challenging reforms towards attaining UHC, encountering challenges with the onset of the COVID-19 pandemic, barely a year from the legislation of the</w:t>
      </w:r>
      <w:r>
        <w:rPr>
          <w:sz w:val="24"/>
          <w:szCs w:val="24"/>
        </w:rPr>
        <w:t xml:space="preserve"> UHC Act of 2019. (See </w:t>
      </w:r>
      <w:proofErr w:type="gramStart"/>
      <w:r w:rsidR="005E61FD">
        <w:rPr>
          <w:sz w:val="24"/>
          <w:szCs w:val="24"/>
        </w:rPr>
        <w:t xml:space="preserve">Annex </w:t>
      </w:r>
      <w:r>
        <w:rPr>
          <w:sz w:val="24"/>
          <w:szCs w:val="24"/>
        </w:rPr>
        <w:t xml:space="preserve"> </w:t>
      </w:r>
      <w:r w:rsidR="007C36C5">
        <w:rPr>
          <w:sz w:val="24"/>
          <w:szCs w:val="24"/>
        </w:rPr>
        <w:t>6</w:t>
      </w:r>
      <w:proofErr w:type="gramEnd"/>
      <w:r>
        <w:rPr>
          <w:sz w:val="24"/>
          <w:szCs w:val="24"/>
        </w:rPr>
        <w:t xml:space="preserve">) </w:t>
      </w:r>
    </w:p>
    <w:p w14:paraId="6D658FE5" w14:textId="77777777" w:rsidR="00155420" w:rsidRDefault="00E84F93">
      <w:pPr>
        <w:pBdr>
          <w:top w:val="nil"/>
          <w:left w:val="nil"/>
          <w:bottom w:val="nil"/>
          <w:right w:val="nil"/>
          <w:between w:val="nil"/>
        </w:pBdr>
        <w:spacing w:line="264" w:lineRule="auto"/>
        <w:rPr>
          <w:color w:val="000000"/>
          <w:sz w:val="24"/>
          <w:szCs w:val="24"/>
          <w:u w:val="single"/>
        </w:rPr>
      </w:pPr>
      <w:r>
        <w:rPr>
          <w:color w:val="000000"/>
          <w:sz w:val="24"/>
          <w:szCs w:val="24"/>
          <w:u w:val="single"/>
        </w:rPr>
        <w:t>Health Outcomes</w:t>
      </w:r>
    </w:p>
    <w:p w14:paraId="6C4E3003" w14:textId="5CF6ED52" w:rsidR="00155420" w:rsidRDefault="00E84F93">
      <w:pPr>
        <w:spacing w:line="276" w:lineRule="auto"/>
        <w:rPr>
          <w:sz w:val="24"/>
          <w:szCs w:val="24"/>
        </w:rPr>
      </w:pPr>
      <w:r>
        <w:rPr>
          <w:sz w:val="24"/>
          <w:szCs w:val="24"/>
        </w:rPr>
        <w:t>The Philippine health outcomes have continuously improved, but more is needed to attain the targets. It was envisioned back in 2016 for Filipinos to be among the healthiest in Southeast Asia. There is a slo</w:t>
      </w:r>
      <w:r>
        <w:rPr>
          <w:sz w:val="24"/>
          <w:szCs w:val="24"/>
        </w:rPr>
        <w:t>w decline in the maternal mortality ratio, 105 in 2020, versus a target of 90 per 100,000 population by 2022. There is a slow decline in infant mortality, with 21 in 2017 versus a target of 15 per 1000 live births by 2022. There is a slow decline in Tuberc</w:t>
      </w:r>
      <w:r>
        <w:rPr>
          <w:sz w:val="24"/>
          <w:szCs w:val="24"/>
        </w:rPr>
        <w:t xml:space="preserve">ulosis incidence, with 539 in 2020 versus a target of 427 per 100,000 population in 2022. There is a slow decline in stunting among children, with 28.8% in 2019 versus a target mark of 21.4% among children under five in 2022. The country’s health outcomes </w:t>
      </w:r>
      <w:r>
        <w:rPr>
          <w:sz w:val="24"/>
          <w:szCs w:val="24"/>
        </w:rPr>
        <w:t xml:space="preserve">are among the poorest in Southeast Asia, and health outcomes are worse among vulnerable groups. However, life expectancy at birth is now 72, the country’s target for 2022. In 2021, TB incidence was estimated </w:t>
      </w:r>
      <w:r w:rsidR="006550D6">
        <w:rPr>
          <w:sz w:val="24"/>
          <w:szCs w:val="24"/>
        </w:rPr>
        <w:t xml:space="preserve">to go </w:t>
      </w:r>
      <w:r>
        <w:rPr>
          <w:sz w:val="24"/>
          <w:szCs w:val="24"/>
        </w:rPr>
        <w:t xml:space="preserve">upward due to the impact of COVID-19. </w:t>
      </w:r>
    </w:p>
    <w:p w14:paraId="0E94CB9E" w14:textId="77777777" w:rsidR="00155420" w:rsidRDefault="00E84F93">
      <w:pPr>
        <w:pBdr>
          <w:top w:val="nil"/>
          <w:left w:val="nil"/>
          <w:bottom w:val="nil"/>
          <w:right w:val="nil"/>
          <w:between w:val="nil"/>
        </w:pBdr>
        <w:spacing w:line="264" w:lineRule="auto"/>
        <w:rPr>
          <w:color w:val="000000"/>
          <w:sz w:val="24"/>
          <w:szCs w:val="24"/>
          <w:u w:val="single"/>
        </w:rPr>
      </w:pPr>
      <w:r>
        <w:rPr>
          <w:color w:val="000000"/>
          <w:sz w:val="24"/>
          <w:szCs w:val="24"/>
          <w:u w:val="single"/>
        </w:rPr>
        <w:t>Hea</w:t>
      </w:r>
      <w:r>
        <w:rPr>
          <w:color w:val="000000"/>
          <w:sz w:val="24"/>
          <w:szCs w:val="24"/>
          <w:u w:val="single"/>
        </w:rPr>
        <w:t>lth Reforms</w:t>
      </w:r>
    </w:p>
    <w:p w14:paraId="7D542EDB" w14:textId="11B1D188" w:rsidR="00155420" w:rsidRDefault="00E84F93">
      <w:pPr>
        <w:spacing w:line="276" w:lineRule="auto"/>
        <w:rPr>
          <w:sz w:val="24"/>
          <w:szCs w:val="24"/>
        </w:rPr>
      </w:pPr>
      <w:r>
        <w:rPr>
          <w:sz w:val="24"/>
          <w:szCs w:val="24"/>
        </w:rPr>
        <w:t xml:space="preserve">The Philippine Development Plan 2023-2028 (See </w:t>
      </w:r>
      <w:r w:rsidR="005E61FD">
        <w:rPr>
          <w:sz w:val="24"/>
          <w:szCs w:val="24"/>
        </w:rPr>
        <w:t xml:space="preserve">Annex </w:t>
      </w:r>
      <w:r>
        <w:rPr>
          <w:sz w:val="24"/>
          <w:szCs w:val="24"/>
        </w:rPr>
        <w:t xml:space="preserve"> </w:t>
      </w:r>
      <w:r w:rsidR="007C36C5">
        <w:rPr>
          <w:sz w:val="24"/>
          <w:szCs w:val="24"/>
        </w:rPr>
        <w:t>7</w:t>
      </w:r>
      <w:r>
        <w:rPr>
          <w:sz w:val="24"/>
          <w:szCs w:val="24"/>
        </w:rPr>
        <w:t>) is the country’s blueprint for development planning for the next six years. Health is part of promoting human and social development with “Boost Health” as a strategy, which highlights (1) addressing social determinants of health, (2) increasing health l</w:t>
      </w:r>
      <w:r>
        <w:rPr>
          <w:sz w:val="24"/>
          <w:szCs w:val="24"/>
        </w:rPr>
        <w:t xml:space="preserve">iteracy and promoting appropriate health-seeking </w:t>
      </w:r>
      <w:proofErr w:type="spellStart"/>
      <w:r>
        <w:rPr>
          <w:sz w:val="24"/>
          <w:szCs w:val="24"/>
        </w:rPr>
        <w:t>behavior</w:t>
      </w:r>
      <w:proofErr w:type="spellEnd"/>
      <w:r>
        <w:rPr>
          <w:sz w:val="24"/>
          <w:szCs w:val="24"/>
        </w:rPr>
        <w:t>, (3) improving access to quality and efficient health care, and (4) health systems strengthening. It also underlines harnessing private sector engagement, integrated and innovative healthcare delive</w:t>
      </w:r>
      <w:r>
        <w:rPr>
          <w:sz w:val="24"/>
          <w:szCs w:val="24"/>
        </w:rPr>
        <w:t>ry systems, interoperable health information systems, and evidence-informed policy development. The DOH strategy, targets, and interventions to support the PDP are outlined in the Philippines Health Sector Strategy for 2023 to 2028 and the Primary Care Str</w:t>
      </w:r>
      <w:r>
        <w:rPr>
          <w:sz w:val="24"/>
          <w:szCs w:val="24"/>
        </w:rPr>
        <w:t xml:space="preserve">ategy for 2023-2028. </w:t>
      </w:r>
    </w:p>
    <w:p w14:paraId="21968C2F" w14:textId="77777777" w:rsidR="00155420" w:rsidRDefault="00E84F93">
      <w:pPr>
        <w:spacing w:line="276" w:lineRule="auto"/>
        <w:rPr>
          <w:sz w:val="24"/>
          <w:szCs w:val="24"/>
          <w:u w:val="single"/>
        </w:rPr>
      </w:pPr>
      <w:r>
        <w:rPr>
          <w:sz w:val="24"/>
          <w:szCs w:val="24"/>
        </w:rPr>
        <w:t xml:space="preserve"> </w:t>
      </w:r>
      <w:r>
        <w:rPr>
          <w:sz w:val="24"/>
          <w:szCs w:val="24"/>
          <w:u w:val="single"/>
        </w:rPr>
        <w:t>Health Governance</w:t>
      </w:r>
    </w:p>
    <w:p w14:paraId="278CAE08" w14:textId="77777777" w:rsidR="00155420" w:rsidRDefault="00E84F93">
      <w:pPr>
        <w:spacing w:line="276" w:lineRule="auto"/>
        <w:rPr>
          <w:sz w:val="24"/>
          <w:szCs w:val="24"/>
        </w:rPr>
      </w:pPr>
      <w:r>
        <w:rPr>
          <w:sz w:val="24"/>
          <w:szCs w:val="24"/>
        </w:rPr>
        <w:t>As provided by the local government code of 1991, local government units are responsible for the devolved healthcare system, with DOH setting the national policies and standards. DOH also provided technical and fina</w:t>
      </w:r>
      <w:r>
        <w:rPr>
          <w:sz w:val="24"/>
          <w:szCs w:val="24"/>
        </w:rPr>
        <w:t xml:space="preserve">ncial assistance to LGU through its regional offices and the Centers for Health Development (CHD). The DOH also manages more than 70 specialized and end-referral hospitals nationwide.  </w:t>
      </w:r>
    </w:p>
    <w:p w14:paraId="5AFD4345" w14:textId="3EBA6F02" w:rsidR="00155420" w:rsidRDefault="00E84F93">
      <w:pPr>
        <w:spacing w:line="276" w:lineRule="auto"/>
        <w:rPr>
          <w:sz w:val="24"/>
          <w:szCs w:val="24"/>
        </w:rPr>
      </w:pPr>
      <w:r>
        <w:rPr>
          <w:sz w:val="24"/>
          <w:szCs w:val="24"/>
        </w:rPr>
        <w:t>The UHC Law, passed in 2019, further advanced the devolution, transfer</w:t>
      </w:r>
      <w:r>
        <w:rPr>
          <w:sz w:val="24"/>
          <w:szCs w:val="24"/>
        </w:rPr>
        <w:t xml:space="preserve">ring 70% of the annual DOH budget to LGUs beginning in 2023 from 30% prior. This is coupled with the increase in national tax allocation to LGUs which started in 2022, resulting from EO No. 138 (See </w:t>
      </w:r>
      <w:r w:rsidR="005E61FD">
        <w:rPr>
          <w:sz w:val="24"/>
          <w:szCs w:val="24"/>
        </w:rPr>
        <w:t xml:space="preserve">Annex </w:t>
      </w:r>
      <w:r>
        <w:rPr>
          <w:sz w:val="24"/>
          <w:szCs w:val="24"/>
        </w:rPr>
        <w:t xml:space="preserve"> </w:t>
      </w:r>
      <w:r w:rsidR="007C36C5">
        <w:rPr>
          <w:sz w:val="24"/>
          <w:szCs w:val="24"/>
        </w:rPr>
        <w:t>8</w:t>
      </w:r>
      <w:r>
        <w:rPr>
          <w:sz w:val="24"/>
          <w:szCs w:val="24"/>
        </w:rPr>
        <w:t>), which fully devolves the delivery of essential</w:t>
      </w:r>
      <w:r>
        <w:rPr>
          <w:sz w:val="24"/>
          <w:szCs w:val="24"/>
        </w:rPr>
        <w:t xml:space="preserve"> services to LGUs. A Joint Department of Health -National Nutrition Council Devolution Transition Plan for 2022-2024 (</w:t>
      </w:r>
      <w:r w:rsidR="005E61FD">
        <w:rPr>
          <w:sz w:val="24"/>
          <w:szCs w:val="24"/>
        </w:rPr>
        <w:t xml:space="preserve">Annex </w:t>
      </w:r>
      <w:r>
        <w:rPr>
          <w:sz w:val="24"/>
          <w:szCs w:val="24"/>
        </w:rPr>
        <w:t xml:space="preserve"> </w:t>
      </w:r>
      <w:r w:rsidR="007C36C5">
        <w:rPr>
          <w:sz w:val="24"/>
          <w:szCs w:val="24"/>
        </w:rPr>
        <w:t>9</w:t>
      </w:r>
      <w:r>
        <w:rPr>
          <w:sz w:val="24"/>
          <w:szCs w:val="24"/>
        </w:rPr>
        <w:t>) was published to set the strategic direction, functions, standards, support to LGUs, performance matrix, and schedules towards f</w:t>
      </w:r>
      <w:r>
        <w:rPr>
          <w:sz w:val="24"/>
          <w:szCs w:val="24"/>
        </w:rPr>
        <w:t xml:space="preserve">ull devolution.      </w:t>
      </w:r>
    </w:p>
    <w:p w14:paraId="410A8A27" w14:textId="77777777" w:rsidR="00155420" w:rsidRDefault="00E84F93">
      <w:pPr>
        <w:spacing w:line="276" w:lineRule="auto"/>
        <w:rPr>
          <w:sz w:val="24"/>
          <w:szCs w:val="24"/>
        </w:rPr>
      </w:pPr>
      <w:r>
        <w:rPr>
          <w:sz w:val="24"/>
          <w:szCs w:val="24"/>
        </w:rPr>
        <w:lastRenderedPageBreak/>
        <w:t xml:space="preserve">The LGUs are underway in developing policies and mechanisms for technical, managerial, and financial integration. Models for local health systems integration are currently being designed and tested at varying levels of success. </w:t>
      </w:r>
    </w:p>
    <w:p w14:paraId="4C62DD13" w14:textId="77777777" w:rsidR="00155420" w:rsidRDefault="00E84F93">
      <w:pPr>
        <w:spacing w:line="276" w:lineRule="auto"/>
        <w:rPr>
          <w:sz w:val="24"/>
          <w:szCs w:val="24"/>
        </w:rPr>
      </w:pPr>
      <w:r>
        <w:rPr>
          <w:sz w:val="24"/>
          <w:szCs w:val="24"/>
        </w:rPr>
        <w:t>The J</w:t>
      </w:r>
      <w:r>
        <w:rPr>
          <w:sz w:val="24"/>
          <w:szCs w:val="24"/>
        </w:rPr>
        <w:t>PR 2022 found that across all LGUs visited, technical assistance is needed to develop systems and capacities to operate a fully devolved healthcare system—more expertise in CHDs to provide these required TA support services to LGUs. Preliminary feedback fr</w:t>
      </w:r>
      <w:r>
        <w:rPr>
          <w:sz w:val="24"/>
          <w:szCs w:val="24"/>
        </w:rPr>
        <w:t xml:space="preserve">om the ongoing organizational development assessment of DOH and the CHDs by the World Bank is reporting similar findings.      </w:t>
      </w:r>
    </w:p>
    <w:p w14:paraId="07C7F2C1" w14:textId="77777777" w:rsidR="00155420" w:rsidRDefault="00E84F93">
      <w:pPr>
        <w:pBdr>
          <w:top w:val="nil"/>
          <w:left w:val="nil"/>
          <w:bottom w:val="nil"/>
          <w:right w:val="nil"/>
          <w:between w:val="nil"/>
        </w:pBdr>
        <w:spacing w:line="264" w:lineRule="auto"/>
        <w:rPr>
          <w:color w:val="000000"/>
          <w:sz w:val="24"/>
          <w:szCs w:val="24"/>
          <w:u w:val="single"/>
        </w:rPr>
      </w:pPr>
      <w:r>
        <w:rPr>
          <w:color w:val="000000"/>
          <w:sz w:val="24"/>
          <w:szCs w:val="24"/>
          <w:u w:val="single"/>
        </w:rPr>
        <w:t>Health Financing</w:t>
      </w:r>
    </w:p>
    <w:p w14:paraId="1CB88938" w14:textId="77777777" w:rsidR="00155420" w:rsidRDefault="00E84F93">
      <w:pPr>
        <w:spacing w:line="276" w:lineRule="auto"/>
        <w:rPr>
          <w:sz w:val="24"/>
          <w:szCs w:val="24"/>
        </w:rPr>
      </w:pPr>
      <w:r>
        <w:rPr>
          <w:sz w:val="24"/>
          <w:szCs w:val="24"/>
        </w:rPr>
        <w:t>Health financing in the country involves four sources, namely: (1) national and local government, (2) governmen</w:t>
      </w:r>
      <w:r>
        <w:rPr>
          <w:sz w:val="24"/>
          <w:szCs w:val="24"/>
        </w:rPr>
        <w:t xml:space="preserve">t and private insurance, (3) user fees, and (4) donors. </w:t>
      </w:r>
    </w:p>
    <w:p w14:paraId="6E74D82C" w14:textId="77777777" w:rsidR="00155420" w:rsidRDefault="00E84F93">
      <w:pPr>
        <w:spacing w:line="276" w:lineRule="auto"/>
        <w:rPr>
          <w:sz w:val="24"/>
          <w:szCs w:val="24"/>
        </w:rPr>
      </w:pPr>
      <w:r>
        <w:rPr>
          <w:sz w:val="24"/>
          <w:szCs w:val="24"/>
        </w:rPr>
        <w:t xml:space="preserve">Based on the 2020 Philippine National Health Accounts, among the types of revenues of health financing schemes, other domestic revenues, which consist of revenues from households and corporations, </w:t>
      </w:r>
      <w:r>
        <w:rPr>
          <w:sz w:val="24"/>
          <w:szCs w:val="24"/>
        </w:rPr>
        <w:t>accounted for 46% percent of the current health expenditure (CHE). This was followed by transfers from domestic government revenue (allocated to health purposes) with 38.9% of the CHE. Meanwhile, voluntary prepayment and social insurance contributions shar</w:t>
      </w:r>
      <w:r>
        <w:rPr>
          <w:sz w:val="24"/>
          <w:szCs w:val="24"/>
        </w:rPr>
        <w:t>ed 8.9% and 5.5%, respectively. Transfers distributed by the government from foreign origins recorded the lowest revenues, about 0.8%.</w:t>
      </w:r>
    </w:p>
    <w:p w14:paraId="1395FDFB" w14:textId="77777777" w:rsidR="00155420" w:rsidRDefault="00E84F93">
      <w:pPr>
        <w:spacing w:line="276" w:lineRule="auto"/>
        <w:rPr>
          <w:sz w:val="24"/>
          <w:szCs w:val="24"/>
        </w:rPr>
      </w:pPr>
      <w:r>
        <w:rPr>
          <w:sz w:val="24"/>
          <w:szCs w:val="24"/>
        </w:rPr>
        <w:t>The total CHE for the same year reached PHP 895.88 billion, 12.6% higher than in 2019. Health spending financed through g</w:t>
      </w:r>
      <w:r>
        <w:rPr>
          <w:sz w:val="24"/>
          <w:szCs w:val="24"/>
        </w:rPr>
        <w:t>overnment schemes and compulsory contributions to health insurance was recorded as the country's largest source of health financing, with a 45.7% share. Household out-of-pocket came second with 44.7% share, followed by voluntary health contributions with 9</w:t>
      </w:r>
      <w:r>
        <w:rPr>
          <w:sz w:val="24"/>
          <w:szCs w:val="24"/>
        </w:rPr>
        <w:t xml:space="preserve">.6%. </w:t>
      </w:r>
    </w:p>
    <w:p w14:paraId="7C3D5288" w14:textId="77777777" w:rsidR="00155420" w:rsidRDefault="00E84F93">
      <w:pPr>
        <w:spacing w:line="276" w:lineRule="auto"/>
        <w:rPr>
          <w:sz w:val="24"/>
          <w:szCs w:val="24"/>
        </w:rPr>
      </w:pPr>
      <w:r>
        <w:rPr>
          <w:sz w:val="24"/>
          <w:szCs w:val="24"/>
        </w:rPr>
        <w:t>Among healthcare providers, the bulk of spending was spent on hospitals (43.8%), followed by pharmacies (28.2%) and preventive care providers. Regarding health care functions, curative care received the most significant amount of CHE with 51.6%, foll</w:t>
      </w:r>
      <w:r>
        <w:rPr>
          <w:sz w:val="24"/>
          <w:szCs w:val="24"/>
        </w:rPr>
        <w:t>owed by medical goods at 28.2%. Among income quintiles, health spending in the fifth quintile (top quintile) was the highest, with a 34.8% share. Infectious and parasitic diseases contributed 30.9% of disease groups, followed by noncommunicable diseases wi</w:t>
      </w:r>
      <w:r>
        <w:rPr>
          <w:sz w:val="24"/>
          <w:szCs w:val="24"/>
        </w:rPr>
        <w:t xml:space="preserve">th a 30.5% share. The female population accounted for more than half (54.3%) of CHE. Population ages 65 and over shared 14% - the highest health care spending. </w:t>
      </w:r>
    </w:p>
    <w:p w14:paraId="57942F21" w14:textId="72A2D874" w:rsidR="00155420" w:rsidRDefault="00E84F93">
      <w:pPr>
        <w:pBdr>
          <w:top w:val="nil"/>
          <w:left w:val="nil"/>
          <w:bottom w:val="nil"/>
          <w:right w:val="nil"/>
          <w:between w:val="nil"/>
        </w:pBdr>
        <w:spacing w:line="264" w:lineRule="auto"/>
        <w:rPr>
          <w:color w:val="000000"/>
          <w:sz w:val="24"/>
          <w:szCs w:val="24"/>
        </w:rPr>
      </w:pPr>
      <w:r>
        <w:rPr>
          <w:color w:val="000000"/>
          <w:sz w:val="24"/>
          <w:szCs w:val="24"/>
        </w:rPr>
        <w:t>For the National TB Program, the national; government funds 100% of the anti-TB drugs for DS TB</w:t>
      </w:r>
      <w:r>
        <w:rPr>
          <w:color w:val="000000"/>
          <w:sz w:val="24"/>
          <w:szCs w:val="24"/>
        </w:rPr>
        <w:t xml:space="preserve">, TB in children, and TPT. In 2022, the government procured 100% of the GeneXpert cartridge requirement. For 2023, the government procured </w:t>
      </w:r>
      <w:proofErr w:type="spellStart"/>
      <w:r>
        <w:rPr>
          <w:color w:val="000000"/>
          <w:sz w:val="24"/>
          <w:szCs w:val="24"/>
        </w:rPr>
        <w:t>Bedaquiline</w:t>
      </w:r>
      <w:proofErr w:type="spellEnd"/>
      <w:r>
        <w:rPr>
          <w:color w:val="000000"/>
          <w:sz w:val="24"/>
          <w:szCs w:val="24"/>
        </w:rPr>
        <w:t xml:space="preserve"> for 22% of the requirements to achieve the country’s target. X-ray is included in the PhilHealth Konsulta</w:t>
      </w:r>
      <w:r>
        <w:rPr>
          <w:color w:val="000000"/>
          <w:sz w:val="24"/>
          <w:szCs w:val="24"/>
        </w:rPr>
        <w:t xml:space="preserve"> package beginning </w:t>
      </w:r>
      <w:r w:rsidR="006550D6">
        <w:rPr>
          <w:color w:val="000000"/>
          <w:sz w:val="24"/>
          <w:szCs w:val="24"/>
        </w:rPr>
        <w:t xml:space="preserve">in </w:t>
      </w:r>
      <w:r>
        <w:rPr>
          <w:color w:val="000000"/>
          <w:sz w:val="24"/>
          <w:szCs w:val="24"/>
        </w:rPr>
        <w:t xml:space="preserve">2022, thus accessible for all Filipinos; however, knowledge of this benefit could be better. Access to X-rays is limited just because the country does not have enough X-ray machines to cover the population. The 2017 NTPS reports poor </w:t>
      </w:r>
      <w:r>
        <w:rPr>
          <w:color w:val="000000"/>
          <w:sz w:val="24"/>
          <w:szCs w:val="24"/>
        </w:rPr>
        <w:t xml:space="preserve">health-seeking </w:t>
      </w:r>
      <w:proofErr w:type="spellStart"/>
      <w:r w:rsidR="006550D6">
        <w:rPr>
          <w:color w:val="000000"/>
          <w:sz w:val="24"/>
          <w:szCs w:val="24"/>
        </w:rPr>
        <w:t>behavior</w:t>
      </w:r>
      <w:proofErr w:type="spellEnd"/>
      <w:r>
        <w:rPr>
          <w:color w:val="000000"/>
          <w:sz w:val="24"/>
          <w:szCs w:val="24"/>
          <w:vertAlign w:val="superscript"/>
        </w:rPr>
        <w:footnoteReference w:id="2"/>
      </w:r>
      <w:r>
        <w:rPr>
          <w:color w:val="000000"/>
          <w:sz w:val="24"/>
          <w:szCs w:val="24"/>
        </w:rPr>
        <w:t xml:space="preserve"> </w:t>
      </w:r>
      <w:r>
        <w:rPr>
          <w:sz w:val="24"/>
          <w:szCs w:val="24"/>
        </w:rPr>
        <w:t xml:space="preserve">and </w:t>
      </w:r>
      <w:proofErr w:type="spellStart"/>
      <w:r>
        <w:rPr>
          <w:sz w:val="24"/>
          <w:szCs w:val="24"/>
        </w:rPr>
        <w:t>PhilHealth</w:t>
      </w:r>
      <w:proofErr w:type="spellEnd"/>
      <w:r>
        <w:rPr>
          <w:color w:val="000000"/>
          <w:sz w:val="24"/>
          <w:szCs w:val="24"/>
        </w:rPr>
        <w:t xml:space="preserve"> is not actively promoting its benefit packages to the general public.      </w:t>
      </w:r>
    </w:p>
    <w:p w14:paraId="6AE0EB6A" w14:textId="310E61F5" w:rsidR="00155420" w:rsidRDefault="00E84F93">
      <w:pPr>
        <w:pBdr>
          <w:top w:val="nil"/>
          <w:left w:val="nil"/>
          <w:bottom w:val="nil"/>
          <w:right w:val="nil"/>
          <w:between w:val="nil"/>
        </w:pBdr>
        <w:spacing w:line="264" w:lineRule="auto"/>
        <w:rPr>
          <w:color w:val="000000"/>
          <w:sz w:val="24"/>
          <w:szCs w:val="24"/>
        </w:rPr>
      </w:pPr>
      <w:r>
        <w:rPr>
          <w:color w:val="000000"/>
          <w:sz w:val="24"/>
          <w:szCs w:val="24"/>
        </w:rPr>
        <w:lastRenderedPageBreak/>
        <w:t>In addition to the Konsulta package, PhilHealth maintains the Out-patient TB Benefit Package from PhilHealth. However, the JPR 2022 found th</w:t>
      </w:r>
      <w:r>
        <w:rPr>
          <w:color w:val="000000"/>
          <w:sz w:val="24"/>
          <w:szCs w:val="24"/>
        </w:rPr>
        <w:t xml:space="preserve">at most TB care facilities are no longer submitting </w:t>
      </w:r>
      <w:r>
        <w:rPr>
          <w:sz w:val="24"/>
          <w:szCs w:val="24"/>
        </w:rPr>
        <w:t>reimbursements due</w:t>
      </w:r>
      <w:r>
        <w:rPr>
          <w:color w:val="000000"/>
          <w:sz w:val="24"/>
          <w:szCs w:val="24"/>
        </w:rPr>
        <w:t xml:space="preserve"> to the lack of workforce to handle the cumbersome reimbursement process and </w:t>
      </w:r>
      <w:r w:rsidR="006550D6">
        <w:rPr>
          <w:color w:val="000000"/>
          <w:sz w:val="24"/>
          <w:szCs w:val="24"/>
        </w:rPr>
        <w:t xml:space="preserve">the </w:t>
      </w:r>
      <w:r>
        <w:rPr>
          <w:color w:val="000000"/>
          <w:sz w:val="24"/>
          <w:szCs w:val="24"/>
        </w:rPr>
        <w:t xml:space="preserve">non-transparent utilization of reimbursements in the past. </w:t>
      </w:r>
    </w:p>
    <w:p w14:paraId="51B426F6" w14:textId="77777777" w:rsidR="00155420" w:rsidRDefault="00E84F93">
      <w:pPr>
        <w:pBdr>
          <w:top w:val="nil"/>
          <w:left w:val="nil"/>
          <w:bottom w:val="nil"/>
          <w:right w:val="nil"/>
          <w:between w:val="nil"/>
        </w:pBdr>
        <w:spacing w:line="264" w:lineRule="auto"/>
        <w:rPr>
          <w:color w:val="000000"/>
          <w:sz w:val="24"/>
          <w:szCs w:val="24"/>
          <w:u w:val="single"/>
        </w:rPr>
      </w:pPr>
      <w:r>
        <w:rPr>
          <w:color w:val="000000"/>
          <w:sz w:val="24"/>
          <w:szCs w:val="24"/>
          <w:u w:val="single"/>
        </w:rPr>
        <w:t xml:space="preserve">Health Service Delivery </w:t>
      </w:r>
    </w:p>
    <w:p w14:paraId="0747831D" w14:textId="1C4B41A2" w:rsidR="00155420" w:rsidRDefault="00E84F93">
      <w:pPr>
        <w:pBdr>
          <w:top w:val="nil"/>
          <w:left w:val="nil"/>
          <w:bottom w:val="nil"/>
          <w:right w:val="nil"/>
          <w:between w:val="nil"/>
        </w:pBdr>
        <w:spacing w:line="264" w:lineRule="auto"/>
        <w:rPr>
          <w:color w:val="000000"/>
          <w:sz w:val="24"/>
          <w:szCs w:val="24"/>
        </w:rPr>
      </w:pPr>
      <w:r>
        <w:rPr>
          <w:color w:val="000000"/>
          <w:sz w:val="24"/>
          <w:szCs w:val="24"/>
        </w:rPr>
        <w:t>To realize the envis</w:t>
      </w:r>
      <w:r>
        <w:rPr>
          <w:color w:val="000000"/>
          <w:sz w:val="24"/>
          <w:szCs w:val="24"/>
        </w:rPr>
        <w:t>ioned service delivery model provided by the UHC Law, the DOH has published the Philippine Health Facility Development Plan for 2020-2040 (</w:t>
      </w:r>
      <w:r w:rsidR="005E61FD">
        <w:rPr>
          <w:color w:val="000000"/>
          <w:sz w:val="24"/>
          <w:szCs w:val="24"/>
        </w:rPr>
        <w:t xml:space="preserve">Annex </w:t>
      </w:r>
      <w:r>
        <w:rPr>
          <w:color w:val="000000"/>
          <w:sz w:val="24"/>
          <w:szCs w:val="24"/>
        </w:rPr>
        <w:t xml:space="preserve"> </w:t>
      </w:r>
      <w:r w:rsidR="007C36C5">
        <w:rPr>
          <w:color w:val="000000"/>
          <w:sz w:val="24"/>
          <w:szCs w:val="24"/>
        </w:rPr>
        <w:t>10</w:t>
      </w:r>
      <w:r>
        <w:rPr>
          <w:color w:val="000000"/>
          <w:sz w:val="24"/>
          <w:szCs w:val="24"/>
        </w:rPr>
        <w:t xml:space="preserve">) and the Human Resources for Health Masterplan </w:t>
      </w:r>
      <w:r w:rsidR="006550D6">
        <w:rPr>
          <w:color w:val="000000"/>
          <w:sz w:val="24"/>
          <w:szCs w:val="24"/>
        </w:rPr>
        <w:t xml:space="preserve">for </w:t>
      </w:r>
      <w:r>
        <w:rPr>
          <w:color w:val="000000"/>
          <w:sz w:val="24"/>
          <w:szCs w:val="24"/>
        </w:rPr>
        <w:t>2020-2040 (</w:t>
      </w:r>
      <w:r w:rsidR="005E61FD">
        <w:rPr>
          <w:color w:val="000000"/>
          <w:sz w:val="24"/>
          <w:szCs w:val="24"/>
        </w:rPr>
        <w:t xml:space="preserve">Annex </w:t>
      </w:r>
      <w:r>
        <w:rPr>
          <w:color w:val="000000"/>
          <w:sz w:val="24"/>
          <w:szCs w:val="24"/>
        </w:rPr>
        <w:t xml:space="preserve"> </w:t>
      </w:r>
      <w:r w:rsidR="007C36C5">
        <w:rPr>
          <w:color w:val="000000"/>
          <w:sz w:val="24"/>
          <w:szCs w:val="24"/>
        </w:rPr>
        <w:t>11</w:t>
      </w:r>
      <w:r>
        <w:rPr>
          <w:color w:val="000000"/>
          <w:sz w:val="24"/>
          <w:szCs w:val="24"/>
        </w:rPr>
        <w:t xml:space="preserve">). </w:t>
      </w:r>
    </w:p>
    <w:p w14:paraId="5D7D978C"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 xml:space="preserve">Implementing the DOH Primary Care Strategy for 2023-2028 is anchored on omnibus health guidelines and relevant clinical practice guidelines across the life stages.    </w:t>
      </w:r>
    </w:p>
    <w:p w14:paraId="362BAF8D" w14:textId="77777777" w:rsidR="00155420" w:rsidRDefault="00E84F93">
      <w:pPr>
        <w:spacing w:line="276" w:lineRule="auto"/>
        <w:rPr>
          <w:sz w:val="24"/>
          <w:szCs w:val="24"/>
        </w:rPr>
      </w:pPr>
      <w:r>
        <w:rPr>
          <w:sz w:val="24"/>
          <w:szCs w:val="24"/>
        </w:rPr>
        <w:t>Health data recording and reporting are moving into electronic platforms but must be mor</w:t>
      </w:r>
      <w:r>
        <w:rPr>
          <w:sz w:val="24"/>
          <w:szCs w:val="24"/>
        </w:rPr>
        <w:t>e cohesive and vertical. DOH is working on setting up an integrated primary healthcare information management system to address this fragmentation.</w:t>
      </w:r>
    </w:p>
    <w:p w14:paraId="44FA77F5" w14:textId="388EDB62" w:rsidR="00155420" w:rsidRDefault="00E84F93">
      <w:pPr>
        <w:spacing w:line="276" w:lineRule="auto"/>
        <w:rPr>
          <w:sz w:val="24"/>
          <w:szCs w:val="24"/>
        </w:rPr>
      </w:pPr>
      <w:r>
        <w:rPr>
          <w:sz w:val="24"/>
          <w:szCs w:val="24"/>
        </w:rPr>
        <w:t>The procurement and supply chain management system for health products and commodities at the national and l</w:t>
      </w:r>
      <w:r>
        <w:rPr>
          <w:sz w:val="24"/>
          <w:szCs w:val="24"/>
        </w:rPr>
        <w:t>ocal levels has much room for improvement. With the full devolution of health services, capacity strengthening is needed by LGUs for health-related procurement. An electronic logistics management information system (eLMIS) has been established, and a train</w:t>
      </w:r>
      <w:r>
        <w:rPr>
          <w:sz w:val="24"/>
          <w:szCs w:val="24"/>
        </w:rPr>
        <w:t xml:space="preserve">ing pool </w:t>
      </w:r>
      <w:r w:rsidR="00954301">
        <w:rPr>
          <w:sz w:val="24"/>
          <w:szCs w:val="24"/>
        </w:rPr>
        <w:t xml:space="preserve">for </w:t>
      </w:r>
      <w:r>
        <w:rPr>
          <w:sz w:val="24"/>
          <w:szCs w:val="24"/>
        </w:rPr>
        <w:t xml:space="preserve">the CHDs are being organized to be </w:t>
      </w:r>
      <w:r w:rsidR="00954301">
        <w:rPr>
          <w:sz w:val="24"/>
          <w:szCs w:val="24"/>
        </w:rPr>
        <w:t>entirely</w:t>
      </w:r>
      <w:r>
        <w:rPr>
          <w:sz w:val="24"/>
          <w:szCs w:val="24"/>
        </w:rPr>
        <w:t xml:space="preserve"> trained by the end of 2023 to support </w:t>
      </w:r>
      <w:r w:rsidR="00954301">
        <w:rPr>
          <w:sz w:val="24"/>
          <w:szCs w:val="24"/>
        </w:rPr>
        <w:t xml:space="preserve">the </w:t>
      </w:r>
      <w:r>
        <w:rPr>
          <w:sz w:val="24"/>
          <w:szCs w:val="24"/>
        </w:rPr>
        <w:t xml:space="preserve">eLMIS rollout to LGUs in 2024.    </w:t>
      </w:r>
    </w:p>
    <w:p w14:paraId="57D8D3A2" w14:textId="77777777" w:rsidR="00155420" w:rsidRDefault="00E84F93">
      <w:pPr>
        <w:spacing w:line="276" w:lineRule="auto"/>
        <w:rPr>
          <w:sz w:val="24"/>
          <w:szCs w:val="24"/>
          <w:u w:val="single"/>
        </w:rPr>
      </w:pPr>
      <w:r>
        <w:rPr>
          <w:sz w:val="24"/>
          <w:szCs w:val="24"/>
          <w:u w:val="single"/>
        </w:rPr>
        <w:t>TB Policy and Practice</w:t>
      </w:r>
    </w:p>
    <w:p w14:paraId="343BE1B1" w14:textId="79743B30" w:rsidR="00155420" w:rsidRDefault="00E84F93">
      <w:pPr>
        <w:rPr>
          <w:sz w:val="24"/>
          <w:szCs w:val="24"/>
        </w:rPr>
      </w:pPr>
      <w:r>
        <w:rPr>
          <w:sz w:val="24"/>
          <w:szCs w:val="24"/>
        </w:rPr>
        <w:t>The National TB Program (NTP) is anchored on Republic Act No. 10767, entitled the “Comprehensive Tu</w:t>
      </w:r>
      <w:r>
        <w:rPr>
          <w:sz w:val="24"/>
          <w:szCs w:val="24"/>
        </w:rPr>
        <w:t xml:space="preserve">berculosis Elimination Plan Act,” or the TB Law (See </w:t>
      </w:r>
      <w:r w:rsidR="00BA5B66">
        <w:rPr>
          <w:sz w:val="24"/>
          <w:szCs w:val="24"/>
        </w:rPr>
        <w:t>Annex 12</w:t>
      </w:r>
      <w:r>
        <w:rPr>
          <w:sz w:val="24"/>
          <w:szCs w:val="24"/>
        </w:rPr>
        <w:t>). The critical approaches and strategies are provided in Updated Philippines Strategic TB Elimination Plan Phase 1 for 2020-2023. The new strategy, targets, and interventions to support the TB p</w:t>
      </w:r>
      <w:r>
        <w:rPr>
          <w:sz w:val="24"/>
          <w:szCs w:val="24"/>
        </w:rPr>
        <w:t xml:space="preserve">rogram are reflected in the TB-HIV Co-financing plan for 2024-2026.  </w:t>
      </w:r>
    </w:p>
    <w:p w14:paraId="784E1618" w14:textId="5E12B1A9" w:rsidR="00155420" w:rsidRDefault="00E84F93">
      <w:pPr>
        <w:rPr>
          <w:sz w:val="24"/>
          <w:szCs w:val="24"/>
        </w:rPr>
      </w:pPr>
      <w:r>
        <w:rPr>
          <w:sz w:val="24"/>
          <w:szCs w:val="24"/>
        </w:rPr>
        <w:t>The operational policies and procedures are provided in the 6</w:t>
      </w:r>
      <w:r>
        <w:rPr>
          <w:sz w:val="24"/>
          <w:szCs w:val="24"/>
          <w:vertAlign w:val="superscript"/>
        </w:rPr>
        <w:t>th</w:t>
      </w:r>
      <w:r>
        <w:rPr>
          <w:sz w:val="24"/>
          <w:szCs w:val="24"/>
        </w:rPr>
        <w:t xml:space="preserve"> edition of the NTP manual of procedures (MOP) released in 2020 (See </w:t>
      </w:r>
      <w:r w:rsidR="00BA5B66">
        <w:rPr>
          <w:sz w:val="24"/>
          <w:szCs w:val="24"/>
        </w:rPr>
        <w:t>Annex 13</w:t>
      </w:r>
      <w:r>
        <w:rPr>
          <w:sz w:val="24"/>
          <w:szCs w:val="24"/>
        </w:rPr>
        <w:t xml:space="preserve">). The MOP focuses on a technical approach to </w:t>
      </w:r>
      <w:r>
        <w:rPr>
          <w:sz w:val="24"/>
          <w:szCs w:val="24"/>
        </w:rPr>
        <w:t>the TB care cascade while emphasizing the patient-</w:t>
      </w:r>
      <w:proofErr w:type="spellStart"/>
      <w:r>
        <w:rPr>
          <w:sz w:val="24"/>
          <w:szCs w:val="24"/>
        </w:rPr>
        <w:t>centered</w:t>
      </w:r>
      <w:proofErr w:type="spellEnd"/>
      <w:r>
        <w:rPr>
          <w:sz w:val="24"/>
          <w:szCs w:val="24"/>
        </w:rPr>
        <w:t xml:space="preserve"> care (PCC) approach. It provides detailed policies and procedures for frontline healthcare workers managing drug-susceptible tuberculosis (DS-TB) and drug-resistant tuberculosis (DR-TB).</w:t>
      </w:r>
    </w:p>
    <w:p w14:paraId="66B28BE8" w14:textId="77777777" w:rsidR="00155420" w:rsidRDefault="00E84F93">
      <w:pPr>
        <w:rPr>
          <w:sz w:val="24"/>
          <w:szCs w:val="24"/>
        </w:rPr>
      </w:pPr>
      <w:r>
        <w:rPr>
          <w:sz w:val="24"/>
          <w:szCs w:val="24"/>
        </w:rPr>
        <w:t>Case-findi</w:t>
      </w:r>
      <w:r>
        <w:rPr>
          <w:sz w:val="24"/>
          <w:szCs w:val="24"/>
        </w:rPr>
        <w:t xml:space="preserve">ng strategies include systematic screening in all health facilities, active case-finding in targeted communities, workplaces, and congregate settings, and contact tracing. All healthcare workers are also targeted for regular TB screening. </w:t>
      </w:r>
    </w:p>
    <w:p w14:paraId="6AAE206A" w14:textId="34C6C170" w:rsidR="00155420" w:rsidRDefault="00E84F93">
      <w:pPr>
        <w:rPr>
          <w:sz w:val="24"/>
          <w:szCs w:val="24"/>
        </w:rPr>
      </w:pPr>
      <w:r>
        <w:rPr>
          <w:sz w:val="24"/>
          <w:szCs w:val="24"/>
        </w:rPr>
        <w:t>Presumptive TB c</w:t>
      </w:r>
      <w:r>
        <w:rPr>
          <w:sz w:val="24"/>
          <w:szCs w:val="24"/>
        </w:rPr>
        <w:t xml:space="preserve">ases are diagnosed using a rapid diagnostic test, such as GeneXpert MTB/RIF, as the primary diagnostic test for pulmonary and extrapulmonary TB in adults and children. TB LAMP shall be the alternative diagnostic </w:t>
      </w:r>
      <w:r w:rsidR="00954301">
        <w:rPr>
          <w:sz w:val="24"/>
          <w:szCs w:val="24"/>
        </w:rPr>
        <w:t>test</w:t>
      </w:r>
      <w:r>
        <w:rPr>
          <w:sz w:val="24"/>
          <w:szCs w:val="24"/>
        </w:rPr>
        <w:t>, especially when processing large sampl</w:t>
      </w:r>
      <w:r>
        <w:rPr>
          <w:sz w:val="24"/>
          <w:szCs w:val="24"/>
        </w:rPr>
        <w:t>e loads, like active case-finding activities. Tuberculin skin test (TST) shall only be used as an adjuvant when in doubt about making a clinical diagnosis of TB in children. A TB Medical Advisory Committee (TB MAC) established for every region shall suppor</w:t>
      </w:r>
      <w:r>
        <w:rPr>
          <w:sz w:val="24"/>
          <w:szCs w:val="24"/>
        </w:rPr>
        <w:t xml:space="preserve">t clinical diagnosis for difficult DS-TB and DR-TB cases. </w:t>
      </w:r>
    </w:p>
    <w:p w14:paraId="351E7A3F" w14:textId="77777777" w:rsidR="00155420" w:rsidRDefault="00E84F93">
      <w:pPr>
        <w:rPr>
          <w:sz w:val="24"/>
          <w:szCs w:val="24"/>
        </w:rPr>
      </w:pPr>
      <w:r>
        <w:rPr>
          <w:sz w:val="24"/>
          <w:szCs w:val="24"/>
        </w:rPr>
        <w:t xml:space="preserve">Based on client eligibility, DS-TB cases follow the standard treatment regimen (2HRZE/4HR for PTB or 2HRZE/10HR for TB in CNS &amp; bones/joints). They are monitored through follow-up </w:t>
      </w:r>
      <w:r>
        <w:rPr>
          <w:sz w:val="24"/>
          <w:szCs w:val="24"/>
        </w:rPr>
        <w:lastRenderedPageBreak/>
        <w:t xml:space="preserve">smear microscopy </w:t>
      </w:r>
      <w:r>
        <w:rPr>
          <w:sz w:val="24"/>
          <w:szCs w:val="24"/>
        </w:rPr>
        <w:t xml:space="preserve">and clinical assessment. PCC supports treatment adherence approaches, tapping healthcare workers, community volunteers, and family members. </w:t>
      </w:r>
    </w:p>
    <w:p w14:paraId="6D448067" w14:textId="3E38A5D6" w:rsidR="00155420" w:rsidRDefault="00E84F93">
      <w:pPr>
        <w:rPr>
          <w:sz w:val="24"/>
          <w:szCs w:val="24"/>
        </w:rPr>
      </w:pPr>
      <w:r>
        <w:rPr>
          <w:sz w:val="24"/>
          <w:szCs w:val="24"/>
        </w:rPr>
        <w:t>Multidrug-resistant tuberculosis (MDR-TB) and rifampicin-resistant tuberculosis (RR-TB) cases follow standard treat</w:t>
      </w:r>
      <w:r>
        <w:rPr>
          <w:sz w:val="24"/>
          <w:szCs w:val="24"/>
        </w:rPr>
        <w:t>ment regimens based on patient eligibility and exclusion criteria. Beginning July 2023, BPaL and B</w:t>
      </w:r>
      <w:r w:rsidR="00D76F5A">
        <w:rPr>
          <w:sz w:val="24"/>
          <w:szCs w:val="24"/>
        </w:rPr>
        <w:t>P</w:t>
      </w:r>
      <w:r>
        <w:rPr>
          <w:sz w:val="24"/>
          <w:szCs w:val="24"/>
        </w:rPr>
        <w:t xml:space="preserve">aLM are the standard </w:t>
      </w:r>
      <w:r w:rsidR="00954301">
        <w:rPr>
          <w:sz w:val="24"/>
          <w:szCs w:val="24"/>
        </w:rPr>
        <w:t>regimens</w:t>
      </w:r>
      <w:r>
        <w:rPr>
          <w:sz w:val="24"/>
          <w:szCs w:val="24"/>
        </w:rPr>
        <w:t xml:space="preserve"> for eligible clients. The first- and second-line genotypic DST, either Line Probe Assay (LPA) or Xpert MTB/RIF and Xpert MTB/XD</w:t>
      </w:r>
      <w:r>
        <w:rPr>
          <w:sz w:val="24"/>
          <w:szCs w:val="24"/>
        </w:rPr>
        <w:t>R, are done before MDR-TB, RR-TB, pre-XDR-TB, and XDR-TB treatment. In addition to the PCC approaches to support treatment adherence, patients are provided with patient enablers like transportation allowances and conditional cash transfers. Treatment monit</w:t>
      </w:r>
      <w:r>
        <w:rPr>
          <w:sz w:val="24"/>
          <w:szCs w:val="24"/>
        </w:rPr>
        <w:t xml:space="preserve">oring includes clinical, microbiologic, and laboratory investigations. </w:t>
      </w:r>
    </w:p>
    <w:p w14:paraId="77FECE20" w14:textId="7DEF74D2" w:rsidR="00155420" w:rsidRDefault="00E84F93">
      <w:pPr>
        <w:rPr>
          <w:sz w:val="24"/>
          <w:szCs w:val="24"/>
        </w:rPr>
      </w:pPr>
      <w:r>
        <w:rPr>
          <w:sz w:val="24"/>
          <w:szCs w:val="24"/>
        </w:rPr>
        <w:t>For all TB cases, adverse drug reactions are reported using the Food and Drug Administration (FDA) ADR reporting, while writing for programmatic aDSM (active Drug Safety Monitoring and</w:t>
      </w:r>
      <w:r>
        <w:rPr>
          <w:sz w:val="24"/>
          <w:szCs w:val="24"/>
        </w:rPr>
        <w:t xml:space="preserve"> Management) is through the Pharmacovigilance Monitoring System (PViMS).  All TB patients aged 15 years and above are offered provider-initiated HIV </w:t>
      </w:r>
      <w:proofErr w:type="spellStart"/>
      <w:r w:rsidR="00954301">
        <w:rPr>
          <w:sz w:val="24"/>
          <w:szCs w:val="24"/>
        </w:rPr>
        <w:t>counseling</w:t>
      </w:r>
      <w:proofErr w:type="spellEnd"/>
      <w:r>
        <w:rPr>
          <w:sz w:val="24"/>
          <w:szCs w:val="24"/>
        </w:rPr>
        <w:t xml:space="preserve"> and testing (PICT), and all patients aged 25 and above are screened for diabetes. </w:t>
      </w:r>
    </w:p>
    <w:p w14:paraId="0536923F" w14:textId="77777777" w:rsidR="00155420" w:rsidRDefault="00E84F93">
      <w:pPr>
        <w:rPr>
          <w:sz w:val="24"/>
          <w:szCs w:val="24"/>
        </w:rPr>
      </w:pPr>
      <w:r>
        <w:rPr>
          <w:sz w:val="24"/>
          <w:szCs w:val="24"/>
        </w:rPr>
        <w:t xml:space="preserve">Tuberculosis </w:t>
      </w:r>
      <w:r>
        <w:rPr>
          <w:sz w:val="24"/>
          <w:szCs w:val="24"/>
        </w:rPr>
        <w:t xml:space="preserve">preventive treatment (TPT) is offered to TB contacts, people living with HIV (PLHIV), and TB risk groups. Before TPT, TST is required except for PLHIV, children under five years old who are household contacts of a bacteriologically confirmed PTB case, and </w:t>
      </w:r>
      <w:r>
        <w:rPr>
          <w:sz w:val="24"/>
          <w:szCs w:val="24"/>
        </w:rPr>
        <w:t xml:space="preserve">children aged five years old and above who are household contacts of a bacteriologically confirmed PTB patient and with other TB risk factors. The shorter regimen (3HP and 3HR) for TPT was introduced in 2023. </w:t>
      </w:r>
    </w:p>
    <w:p w14:paraId="19952EAA" w14:textId="77777777" w:rsidR="00155420" w:rsidRDefault="00E84F93">
      <w:pPr>
        <w:rPr>
          <w:sz w:val="24"/>
          <w:szCs w:val="24"/>
        </w:rPr>
      </w:pPr>
      <w:r>
        <w:rPr>
          <w:sz w:val="24"/>
          <w:szCs w:val="24"/>
        </w:rPr>
        <w:t>TB data are managed using the NTP recording an</w:t>
      </w:r>
      <w:r>
        <w:rPr>
          <w:sz w:val="24"/>
          <w:szCs w:val="24"/>
        </w:rPr>
        <w:t xml:space="preserve">d reporting forms with the utmost confidentiality. The Integrated TB Information System (ITIS) is the official TB electronic system, bearing the official TB register and TPT register to be maintained in all health facilities.  </w:t>
      </w:r>
    </w:p>
    <w:p w14:paraId="0B2BF6F1" w14:textId="77777777" w:rsidR="00155420" w:rsidRDefault="00E84F93">
      <w:pPr>
        <w:rPr>
          <w:sz w:val="24"/>
          <w:szCs w:val="24"/>
        </w:rPr>
      </w:pPr>
      <w:r>
        <w:rPr>
          <w:sz w:val="24"/>
          <w:szCs w:val="24"/>
        </w:rPr>
        <w:t xml:space="preserve">TB health promotion at the national and local levels is currently being done as part of the DOH’s </w:t>
      </w:r>
      <w:r>
        <w:rPr>
          <w:i/>
          <w:sz w:val="24"/>
          <w:szCs w:val="24"/>
        </w:rPr>
        <w:t>Healthy Pilipinas</w:t>
      </w:r>
      <w:r>
        <w:rPr>
          <w:sz w:val="24"/>
          <w:szCs w:val="24"/>
        </w:rPr>
        <w:t xml:space="preserve"> campaign. Chest X-ray screening is an out-of-pocket expense, but the DOH and TGFATM grant support Chest X-ray vouchers for systematic and ac</w:t>
      </w:r>
      <w:r>
        <w:rPr>
          <w:sz w:val="24"/>
          <w:szCs w:val="24"/>
        </w:rPr>
        <w:t>tive TB case finding. TB diagnosis using GeneXpert MTB/Rif is accessible in public and TGFATM grant-supported private facilities. First and second-line DST is also free and is provided by one LPA laboratory and five Xpert XDR laboratories. DS-TB standard r</w:t>
      </w:r>
      <w:r>
        <w:rPr>
          <w:sz w:val="24"/>
          <w:szCs w:val="24"/>
        </w:rPr>
        <w:t>egimens for adults and children, including TST, are free, procured by the DOH, and augmented by the LGUs, as needed. DR-TB regimens and ancillary medicines are also free but almost entirely funded by the TGFATM grant. DR-TB patients are provided enablers f</w:t>
      </w:r>
      <w:r>
        <w:rPr>
          <w:sz w:val="24"/>
          <w:szCs w:val="24"/>
        </w:rPr>
        <w:t xml:space="preserve">rom the TGFATM grant, and some LGUs have adopted the practice to prevent catastrophic patient costs. TPT is also free but with a </w:t>
      </w:r>
      <w:proofErr w:type="spellStart"/>
      <w:r>
        <w:rPr>
          <w:sz w:val="24"/>
          <w:szCs w:val="24"/>
        </w:rPr>
        <w:t>meager</w:t>
      </w:r>
      <w:proofErr w:type="spellEnd"/>
      <w:r>
        <w:rPr>
          <w:sz w:val="24"/>
          <w:szCs w:val="24"/>
        </w:rPr>
        <w:t xml:space="preserve"> coverage rate.  </w:t>
      </w:r>
    </w:p>
    <w:p w14:paraId="30AD4475" w14:textId="1B12F235" w:rsidR="00155420" w:rsidRDefault="00E84F93">
      <w:pPr>
        <w:rPr>
          <w:sz w:val="24"/>
          <w:szCs w:val="24"/>
        </w:rPr>
      </w:pPr>
      <w:r>
        <w:rPr>
          <w:sz w:val="24"/>
          <w:szCs w:val="24"/>
        </w:rPr>
        <w:t>The NTP Laboratory Network comprises 961 GeneXpert MTB/Rif machines operating in 872 rapid TB diagnosti</w:t>
      </w:r>
      <w:r>
        <w:rPr>
          <w:sz w:val="24"/>
          <w:szCs w:val="24"/>
        </w:rPr>
        <w:t xml:space="preserve">c laboratories (RTDL), eight phenotypic drug susceptibility testing laboratories, one LPA, 29 TB culture centers, and five operational Xpert XDR sites. As of February 2023, an additional five Xpert XDR sites are being </w:t>
      </w:r>
      <w:r w:rsidR="00954301">
        <w:rPr>
          <w:sz w:val="24"/>
          <w:szCs w:val="24"/>
        </w:rPr>
        <w:t>set up,</w:t>
      </w:r>
      <w:r>
        <w:rPr>
          <w:sz w:val="24"/>
          <w:szCs w:val="24"/>
        </w:rPr>
        <w:t xml:space="preserve"> and 10 are ongoing procurement</w:t>
      </w:r>
      <w:r>
        <w:rPr>
          <w:sz w:val="24"/>
          <w:szCs w:val="24"/>
        </w:rPr>
        <w:t xml:space="preserve">. Additional 100 Xpert machines capable of XDR TB testing were approved under C19RM and will be operational by the end of 2023. </w:t>
      </w:r>
    </w:p>
    <w:p w14:paraId="02280C3B" w14:textId="40E29566" w:rsidR="00155420" w:rsidRDefault="00E84F93">
      <w:pPr>
        <w:rPr>
          <w:sz w:val="24"/>
          <w:szCs w:val="24"/>
        </w:rPr>
      </w:pPr>
      <w:r>
        <w:rPr>
          <w:sz w:val="24"/>
          <w:szCs w:val="24"/>
        </w:rPr>
        <w:t>There are also 300 x-ray voucher service providers contracted through the ongoing GFTB grant. The WHO is conducting an optimiza</w:t>
      </w:r>
      <w:r>
        <w:rPr>
          <w:sz w:val="24"/>
          <w:szCs w:val="24"/>
        </w:rPr>
        <w:t xml:space="preserve">tion study for GeneXpert and X-ray multi-disease use to determine the total need for the country. Results will be completed by the end of 2023.   </w:t>
      </w:r>
    </w:p>
    <w:p w14:paraId="5569F119" w14:textId="0DD84412" w:rsidR="00155420" w:rsidRDefault="00E84F93">
      <w:pPr>
        <w:rPr>
          <w:sz w:val="24"/>
          <w:szCs w:val="24"/>
        </w:rPr>
      </w:pPr>
      <w:r>
        <w:rPr>
          <w:sz w:val="24"/>
          <w:szCs w:val="24"/>
        </w:rPr>
        <w:t xml:space="preserve">There are 3,300 TB DOTS facilities, of which 2,331 are health centers. There are 198 satellite and treatment </w:t>
      </w:r>
      <w:r>
        <w:rPr>
          <w:sz w:val="24"/>
          <w:szCs w:val="24"/>
        </w:rPr>
        <w:t>centers nationwide supporting DR-TB patients. This will be reduced in 2024</w:t>
      </w:r>
      <w:r w:rsidR="00954301">
        <w:rPr>
          <w:sz w:val="24"/>
          <w:szCs w:val="24"/>
        </w:rPr>
        <w:t>,</w:t>
      </w:r>
      <w:r>
        <w:rPr>
          <w:sz w:val="24"/>
          <w:szCs w:val="24"/>
        </w:rPr>
        <w:t xml:space="preserve"> resulting from iDOTS Phase 2 implementation, whereby 17 regional TB MAC will be optimized. By the end of 2023, all TB-DOTS facilities </w:t>
      </w:r>
      <w:r w:rsidR="00954301">
        <w:rPr>
          <w:sz w:val="24"/>
          <w:szCs w:val="24"/>
        </w:rPr>
        <w:t>will provide</w:t>
      </w:r>
      <w:r>
        <w:rPr>
          <w:sz w:val="24"/>
          <w:szCs w:val="24"/>
        </w:rPr>
        <w:t xml:space="preserve"> TB-HIV services. </w:t>
      </w:r>
    </w:p>
    <w:p w14:paraId="5C5338BB" w14:textId="77777777" w:rsidR="00155420" w:rsidRDefault="00E84F93">
      <w:pPr>
        <w:pBdr>
          <w:top w:val="nil"/>
          <w:left w:val="nil"/>
          <w:bottom w:val="nil"/>
          <w:right w:val="nil"/>
          <w:between w:val="nil"/>
        </w:pBdr>
        <w:spacing w:line="264" w:lineRule="auto"/>
        <w:rPr>
          <w:color w:val="000000"/>
          <w:sz w:val="24"/>
          <w:szCs w:val="24"/>
          <w:u w:val="single"/>
        </w:rPr>
      </w:pPr>
      <w:r>
        <w:rPr>
          <w:color w:val="000000"/>
          <w:sz w:val="24"/>
          <w:szCs w:val="24"/>
          <w:u w:val="single"/>
        </w:rPr>
        <w:lastRenderedPageBreak/>
        <w:t>TB Epidemiology</w:t>
      </w:r>
    </w:p>
    <w:p w14:paraId="7FB436F2" w14:textId="01E2240F" w:rsidR="00155420" w:rsidRDefault="00E84F93">
      <w:pPr>
        <w:rPr>
          <w:rFonts w:ascii="Times New Roman" w:eastAsia="Times New Roman" w:hAnsi="Times New Roman" w:cs="Times New Roman"/>
          <w:sz w:val="24"/>
          <w:szCs w:val="24"/>
        </w:rPr>
      </w:pPr>
      <w:r>
        <w:rPr>
          <w:color w:val="000000"/>
          <w:sz w:val="24"/>
          <w:szCs w:val="24"/>
        </w:rPr>
        <w:t>The DOH-Epidemiology Bureau May 2022 Field Health Surveillance Information System (FHSIS) preliminary data identifies Tuberculosis (all forms) as the 8</w:t>
      </w:r>
      <w:r>
        <w:rPr>
          <w:color w:val="000000"/>
          <w:sz w:val="14"/>
          <w:szCs w:val="14"/>
          <w:vertAlign w:val="superscript"/>
        </w:rPr>
        <w:t>th</w:t>
      </w:r>
      <w:r>
        <w:rPr>
          <w:color w:val="000000"/>
          <w:sz w:val="24"/>
          <w:szCs w:val="24"/>
        </w:rPr>
        <w:t xml:space="preserve"> leading cause of morbidity for 2021. The World Health Organization (WHO) Global TB Report reflects th</w:t>
      </w:r>
      <w:r>
        <w:rPr>
          <w:color w:val="000000"/>
          <w:sz w:val="24"/>
          <w:szCs w:val="24"/>
        </w:rPr>
        <w:t xml:space="preserve">at in 2020, the country’s TB incidence rate </w:t>
      </w:r>
      <w:r w:rsidR="00954301">
        <w:rPr>
          <w:color w:val="000000"/>
          <w:sz w:val="24"/>
          <w:szCs w:val="24"/>
        </w:rPr>
        <w:t>was</w:t>
      </w:r>
      <w:r>
        <w:rPr>
          <w:color w:val="000000"/>
          <w:sz w:val="24"/>
          <w:szCs w:val="24"/>
        </w:rPr>
        <w:t xml:space="preserve"> highest in Southeast Asia (539 per 100,000) and is four times the global TB incidence (127 per 100,000).  The TB incidence</w:t>
      </w:r>
      <w:r w:rsidR="00954301">
        <w:rPr>
          <w:color w:val="000000"/>
          <w:sz w:val="24"/>
          <w:szCs w:val="24"/>
        </w:rPr>
        <w:t xml:space="preserve"> was </w:t>
      </w:r>
      <w:r>
        <w:rPr>
          <w:color w:val="000000"/>
          <w:sz w:val="24"/>
          <w:szCs w:val="24"/>
        </w:rPr>
        <w:t>reduced by 9% between 2018 to 2020.  However, the estimated TB incidence rate for</w:t>
      </w:r>
      <w:r>
        <w:rPr>
          <w:color w:val="000000"/>
          <w:sz w:val="24"/>
          <w:szCs w:val="24"/>
        </w:rPr>
        <w:t xml:space="preserve"> the Philippines in 2021 increased again to 650/100,000 </w:t>
      </w:r>
      <w:r w:rsidR="00954301">
        <w:rPr>
          <w:color w:val="000000"/>
          <w:sz w:val="24"/>
          <w:szCs w:val="24"/>
        </w:rPr>
        <w:t>due to</w:t>
      </w:r>
      <w:r>
        <w:rPr>
          <w:color w:val="000000"/>
          <w:sz w:val="24"/>
          <w:szCs w:val="24"/>
        </w:rPr>
        <w:t xml:space="preserve"> the disruption in TB services during the COVID-19 pandemic. The WHO also conducted a TB Epidemiologic review in 2022 which showed that a </w:t>
      </w:r>
      <w:r w:rsidR="00954301">
        <w:rPr>
          <w:color w:val="000000"/>
          <w:sz w:val="24"/>
          <w:szCs w:val="24"/>
        </w:rPr>
        <w:t>more significant</w:t>
      </w:r>
      <w:r>
        <w:rPr>
          <w:color w:val="000000"/>
          <w:sz w:val="24"/>
          <w:szCs w:val="24"/>
        </w:rPr>
        <w:t xml:space="preserve"> number of cases were missed among males</w:t>
      </w:r>
      <w:r>
        <w:rPr>
          <w:color w:val="000000"/>
          <w:sz w:val="24"/>
          <w:szCs w:val="24"/>
        </w:rPr>
        <w:t xml:space="preserve"> compared to females (with 59% of estimated male TB cases missed in 2021) and that the case detection gap was huge among 0-14-year-old children of both sexes, with more than 70% missed in 2021.</w:t>
      </w:r>
    </w:p>
    <w:p w14:paraId="3FACDA06" w14:textId="4A36AF98" w:rsidR="00155420" w:rsidRDefault="00954301">
      <w:pPr>
        <w:rPr>
          <w:rFonts w:ascii="Times New Roman" w:eastAsia="Times New Roman" w:hAnsi="Times New Roman" w:cs="Times New Roman"/>
          <w:sz w:val="24"/>
          <w:szCs w:val="24"/>
        </w:rPr>
      </w:pPr>
      <w:r>
        <w:rPr>
          <w:color w:val="000000"/>
          <w:sz w:val="24"/>
          <w:szCs w:val="24"/>
        </w:rPr>
        <w:t>The latest WHO estimates for RR/MDRTB is 19 per 100,000 population (WHO GTBR 2022).  The epidemiologic review showed an increasing trend in the proportion of newly diagnosed patients among DR-TB cases, from 17% in 2018 to 36% in 2021,</w:t>
      </w:r>
      <w:r w:rsidRPr="00954301">
        <w:rPr>
          <w:color w:val="000000"/>
          <w:sz w:val="24"/>
          <w:szCs w:val="24"/>
        </w:rPr>
        <w:t xml:space="preserve"> indicating improved programmatic performance, particularly in detecting</w:t>
      </w:r>
      <w:r>
        <w:rPr>
          <w:color w:val="000000"/>
          <w:sz w:val="24"/>
          <w:szCs w:val="24"/>
        </w:rPr>
        <w:t xml:space="preserve"> DR-TB by scaling up Xpert usage among new cases.</w:t>
      </w:r>
    </w:p>
    <w:p w14:paraId="6534F89C" w14:textId="77777777" w:rsidR="00155420" w:rsidRDefault="00E84F93">
      <w:pPr>
        <w:pBdr>
          <w:top w:val="nil"/>
          <w:left w:val="nil"/>
          <w:bottom w:val="nil"/>
          <w:right w:val="nil"/>
          <w:between w:val="nil"/>
        </w:pBdr>
        <w:spacing w:line="264" w:lineRule="auto"/>
        <w:rPr>
          <w:color w:val="000000"/>
          <w:sz w:val="24"/>
          <w:szCs w:val="24"/>
          <w:u w:val="single"/>
        </w:rPr>
      </w:pPr>
      <w:r>
        <w:rPr>
          <w:color w:val="000000"/>
          <w:sz w:val="24"/>
          <w:szCs w:val="24"/>
          <w:u w:val="single"/>
        </w:rPr>
        <w:t xml:space="preserve">Case Notification Rates </w:t>
      </w:r>
    </w:p>
    <w:p w14:paraId="3C32701C" w14:textId="77777777" w:rsidR="00155420" w:rsidRDefault="00E84F93">
      <w:pPr>
        <w:jc w:val="center"/>
        <w:rPr>
          <w:sz w:val="24"/>
          <w:szCs w:val="24"/>
        </w:rPr>
      </w:pPr>
      <w:r>
        <w:rPr>
          <w:noProof/>
          <w:sz w:val="24"/>
          <w:szCs w:val="24"/>
          <w:lang w:val="en-PH"/>
        </w:rPr>
        <w:drawing>
          <wp:inline distT="114300" distB="114300" distL="114300" distR="114300" wp14:anchorId="1EFA260D" wp14:editId="14695EEE">
            <wp:extent cx="6071175" cy="3606339"/>
            <wp:effectExtent l="152400" t="114300" r="120650" b="165735"/>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6071175" cy="36063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603AA2D" w14:textId="385A06A7" w:rsidR="00155420" w:rsidRDefault="00E84F93">
      <w:pPr>
        <w:rPr>
          <w:sz w:val="24"/>
          <w:szCs w:val="24"/>
        </w:rPr>
      </w:pPr>
      <w:r>
        <w:rPr>
          <w:sz w:val="24"/>
          <w:szCs w:val="24"/>
        </w:rPr>
        <w:t xml:space="preserve">DS and DR TB notifications have </w:t>
      </w:r>
      <w:r w:rsidR="00954301">
        <w:rPr>
          <w:sz w:val="24"/>
          <w:szCs w:val="24"/>
        </w:rPr>
        <w:t>recovered</w:t>
      </w:r>
      <w:r>
        <w:rPr>
          <w:sz w:val="24"/>
          <w:szCs w:val="24"/>
        </w:rPr>
        <w:t xml:space="preserve"> from the drop observed in 2020 during the mandatory lockdowns alongside the COVID-19 pandemic. In 2022, the Philippines met 80% of the national targe</w:t>
      </w:r>
      <w:r>
        <w:rPr>
          <w:sz w:val="24"/>
          <w:szCs w:val="24"/>
        </w:rPr>
        <w:t xml:space="preserve">t for TB notifications (all forms), and 70% of the national target for DR TB case notifications. </w:t>
      </w:r>
    </w:p>
    <w:p w14:paraId="05A46F8C" w14:textId="77777777" w:rsidR="00155420" w:rsidRDefault="00E84F93">
      <w:pPr>
        <w:jc w:val="center"/>
        <w:rPr>
          <w:sz w:val="24"/>
          <w:szCs w:val="24"/>
        </w:rPr>
      </w:pPr>
      <w:r>
        <w:rPr>
          <w:sz w:val="24"/>
          <w:szCs w:val="24"/>
        </w:rPr>
        <w:t xml:space="preserve"> </w:t>
      </w:r>
    </w:p>
    <w:p w14:paraId="1057F041" w14:textId="4BAC348B" w:rsidR="00155420" w:rsidRDefault="00E84F93">
      <w:pPr>
        <w:rPr>
          <w:rFonts w:ascii="Times New Roman" w:eastAsia="Times New Roman" w:hAnsi="Times New Roman" w:cs="Times New Roman"/>
          <w:sz w:val="24"/>
          <w:szCs w:val="24"/>
        </w:rPr>
      </w:pPr>
      <w:r>
        <w:rPr>
          <w:color w:val="000000"/>
          <w:sz w:val="24"/>
          <w:szCs w:val="24"/>
        </w:rPr>
        <w:lastRenderedPageBreak/>
        <w:t xml:space="preserve">In 2022, 476,754 new and relapse TB cases were notified for a case notification rate of 427 per 100,000 (pop. 111,572,254).  Mandatory </w:t>
      </w:r>
      <w:r w:rsidR="00954301">
        <w:rPr>
          <w:color w:val="000000"/>
          <w:sz w:val="24"/>
          <w:szCs w:val="24"/>
        </w:rPr>
        <w:t xml:space="preserve">notified cases are </w:t>
      </w:r>
      <w:r>
        <w:rPr>
          <w:color w:val="000000"/>
          <w:sz w:val="24"/>
          <w:szCs w:val="24"/>
        </w:rPr>
        <w:t>21</w:t>
      </w:r>
      <w:r>
        <w:rPr>
          <w:color w:val="000000"/>
          <w:sz w:val="24"/>
          <w:szCs w:val="24"/>
        </w:rPr>
        <w:t>% (99,340) of notified TB cases (new and Relapse</w:t>
      </w:r>
      <w:r w:rsidR="00954301">
        <w:rPr>
          <w:color w:val="000000"/>
          <w:sz w:val="24"/>
          <w:szCs w:val="24"/>
        </w:rPr>
        <w:t>,</w:t>
      </w:r>
      <w:r>
        <w:rPr>
          <w:color w:val="000000"/>
          <w:sz w:val="24"/>
          <w:szCs w:val="24"/>
        </w:rPr>
        <w:t>) and children were at 8% (37,260).  </w:t>
      </w:r>
    </w:p>
    <w:p w14:paraId="18A8AF67" w14:textId="4B98C6CF" w:rsidR="00155420" w:rsidRDefault="00E84F93">
      <w:pPr>
        <w:rPr>
          <w:rFonts w:ascii="Times New Roman" w:eastAsia="Times New Roman" w:hAnsi="Times New Roman" w:cs="Times New Roman"/>
          <w:sz w:val="24"/>
          <w:szCs w:val="24"/>
        </w:rPr>
      </w:pPr>
      <w:r>
        <w:rPr>
          <w:color w:val="000000"/>
          <w:sz w:val="24"/>
          <w:szCs w:val="24"/>
        </w:rPr>
        <w:t xml:space="preserve">Total TB cases (all types) </w:t>
      </w:r>
      <w:r w:rsidR="00954301">
        <w:rPr>
          <w:color w:val="000000"/>
          <w:sz w:val="24"/>
          <w:szCs w:val="24"/>
        </w:rPr>
        <w:t>were</w:t>
      </w:r>
      <w:r>
        <w:rPr>
          <w:color w:val="000000"/>
          <w:sz w:val="24"/>
          <w:szCs w:val="24"/>
        </w:rPr>
        <w:t xml:space="preserve"> at 486,064</w:t>
      </w:r>
      <w:r w:rsidR="00954301">
        <w:rPr>
          <w:color w:val="000000"/>
          <w:sz w:val="24"/>
          <w:szCs w:val="24"/>
        </w:rPr>
        <w:t>,</w:t>
      </w:r>
      <w:r>
        <w:rPr>
          <w:color w:val="000000"/>
          <w:sz w:val="24"/>
          <w:szCs w:val="24"/>
        </w:rPr>
        <w:t xml:space="preserve"> of which 86% were new (420,082) and 14% were retreatment (65,982), including relapse.  Among all pulmonary TB cases, 46% (220,605/ 476,768) were </w:t>
      </w:r>
      <w:r w:rsidR="00954301">
        <w:rPr>
          <w:color w:val="000000"/>
          <w:sz w:val="24"/>
          <w:szCs w:val="24"/>
        </w:rPr>
        <w:t>bacteriologically confirmed</w:t>
      </w:r>
      <w:r>
        <w:rPr>
          <w:color w:val="000000"/>
          <w:sz w:val="24"/>
          <w:szCs w:val="24"/>
        </w:rPr>
        <w:t>.  </w:t>
      </w:r>
    </w:p>
    <w:p w14:paraId="1A5DC854" w14:textId="77777777" w:rsidR="00155420" w:rsidRDefault="00E84F93">
      <w:pPr>
        <w:rPr>
          <w:rFonts w:ascii="Times New Roman" w:eastAsia="Times New Roman" w:hAnsi="Times New Roman" w:cs="Times New Roman"/>
          <w:sz w:val="24"/>
          <w:szCs w:val="24"/>
        </w:rPr>
      </w:pPr>
      <w:r>
        <w:rPr>
          <w:color w:val="000000"/>
          <w:sz w:val="24"/>
          <w:szCs w:val="24"/>
        </w:rPr>
        <w:t>TB Law mandates notification of TB cases, and implementation is guided by the D</w:t>
      </w:r>
      <w:r>
        <w:rPr>
          <w:color w:val="000000"/>
          <w:sz w:val="24"/>
          <w:szCs w:val="24"/>
        </w:rPr>
        <w:t>OH DM 2023-70. These policies will be critical to scaling up mandatory case notification and treatment outcome reporting in the country among non-NTP providers. </w:t>
      </w:r>
    </w:p>
    <w:p w14:paraId="1ADB040D" w14:textId="0EDC6F1B" w:rsidR="00155420" w:rsidRDefault="00E84F93">
      <w:pPr>
        <w:rPr>
          <w:rFonts w:ascii="Times New Roman" w:eastAsia="Times New Roman" w:hAnsi="Times New Roman" w:cs="Times New Roman"/>
          <w:sz w:val="24"/>
          <w:szCs w:val="24"/>
        </w:rPr>
      </w:pPr>
      <w:r>
        <w:rPr>
          <w:color w:val="000000"/>
          <w:sz w:val="24"/>
          <w:szCs w:val="24"/>
        </w:rPr>
        <w:t xml:space="preserve">In 2022, the annual laboratory report showed  RRTB rates among new TB cases </w:t>
      </w:r>
      <w:r w:rsidR="00954301">
        <w:rPr>
          <w:color w:val="000000"/>
          <w:sz w:val="24"/>
          <w:szCs w:val="24"/>
        </w:rPr>
        <w:t>were</w:t>
      </w:r>
      <w:r>
        <w:rPr>
          <w:color w:val="000000"/>
          <w:sz w:val="24"/>
          <w:szCs w:val="24"/>
        </w:rPr>
        <w:t xml:space="preserve"> 2% (3,923/ 19</w:t>
      </w:r>
      <w:r>
        <w:rPr>
          <w:color w:val="000000"/>
          <w:sz w:val="24"/>
          <w:szCs w:val="24"/>
        </w:rPr>
        <w:t>6,105) and 15% (4,314/ 28,811) among retreatment cases.  The number of TB cases with RR-TB or MDR TB notified in 2022 is 8,166/10</w:t>
      </w:r>
      <w:r w:rsidR="00954301">
        <w:rPr>
          <w:color w:val="000000"/>
          <w:sz w:val="24"/>
          <w:szCs w:val="24"/>
        </w:rPr>
        <w:t>,</w:t>
      </w:r>
      <w:r>
        <w:rPr>
          <w:color w:val="000000"/>
          <w:sz w:val="24"/>
          <w:szCs w:val="24"/>
        </w:rPr>
        <w:t>655 (78%).</w:t>
      </w:r>
    </w:p>
    <w:p w14:paraId="5F372FC7" w14:textId="77777777" w:rsidR="00155420" w:rsidRDefault="00E84F93">
      <w:pPr>
        <w:pBdr>
          <w:top w:val="nil"/>
          <w:left w:val="nil"/>
          <w:bottom w:val="nil"/>
          <w:right w:val="nil"/>
          <w:between w:val="nil"/>
        </w:pBdr>
        <w:spacing w:line="264" w:lineRule="auto"/>
        <w:rPr>
          <w:color w:val="000000"/>
          <w:sz w:val="24"/>
          <w:szCs w:val="24"/>
          <w:u w:val="single"/>
        </w:rPr>
      </w:pPr>
      <w:r>
        <w:rPr>
          <w:color w:val="000000"/>
          <w:sz w:val="24"/>
          <w:szCs w:val="24"/>
          <w:u w:val="single"/>
        </w:rPr>
        <w:t>Treatment Success Rate</w:t>
      </w:r>
    </w:p>
    <w:p w14:paraId="6330C2F4" w14:textId="77777777" w:rsidR="00155420" w:rsidRDefault="00E84F93">
      <w:pPr>
        <w:pBdr>
          <w:top w:val="nil"/>
          <w:left w:val="nil"/>
          <w:bottom w:val="nil"/>
          <w:right w:val="nil"/>
          <w:between w:val="nil"/>
        </w:pBdr>
        <w:spacing w:line="264" w:lineRule="auto"/>
        <w:jc w:val="center"/>
        <w:rPr>
          <w:sz w:val="24"/>
          <w:szCs w:val="24"/>
          <w:u w:val="single"/>
        </w:rPr>
      </w:pPr>
      <w:r>
        <w:rPr>
          <w:noProof/>
          <w:sz w:val="24"/>
          <w:szCs w:val="24"/>
          <w:u w:val="single"/>
          <w:lang w:val="en-PH"/>
        </w:rPr>
        <w:drawing>
          <wp:inline distT="114300" distB="114300" distL="114300" distR="114300" wp14:anchorId="7704D43F" wp14:editId="69DBCBDC">
            <wp:extent cx="6407427" cy="3614189"/>
            <wp:effectExtent l="133350" t="114300" r="127000" b="158115"/>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6407427" cy="36141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B3E66D" w14:textId="59AD5D8A" w:rsidR="00155420" w:rsidRDefault="00E84F93">
      <w:pPr>
        <w:pBdr>
          <w:top w:val="nil"/>
          <w:left w:val="nil"/>
          <w:bottom w:val="nil"/>
          <w:right w:val="nil"/>
          <w:between w:val="nil"/>
        </w:pBdr>
        <w:spacing w:line="264" w:lineRule="auto"/>
        <w:rPr>
          <w:sz w:val="24"/>
          <w:szCs w:val="24"/>
        </w:rPr>
      </w:pPr>
      <w:r>
        <w:rPr>
          <w:sz w:val="24"/>
          <w:szCs w:val="24"/>
        </w:rPr>
        <w:t xml:space="preserve">The figure above shows </w:t>
      </w:r>
      <w:r w:rsidR="00954301">
        <w:rPr>
          <w:sz w:val="24"/>
          <w:szCs w:val="24"/>
        </w:rPr>
        <w:t xml:space="preserve">that the </w:t>
      </w:r>
      <w:r>
        <w:rPr>
          <w:sz w:val="24"/>
          <w:szCs w:val="24"/>
        </w:rPr>
        <w:t>DS TB TSR</w:t>
      </w:r>
      <w:r w:rsidR="00954301">
        <w:rPr>
          <w:sz w:val="24"/>
          <w:szCs w:val="24"/>
        </w:rPr>
        <w:t xml:space="preserve"> </w:t>
      </w:r>
      <w:r>
        <w:rPr>
          <w:sz w:val="24"/>
          <w:szCs w:val="24"/>
        </w:rPr>
        <w:t xml:space="preserve">for </w:t>
      </w:r>
      <w:r w:rsidR="00954301">
        <w:rPr>
          <w:sz w:val="24"/>
          <w:szCs w:val="24"/>
        </w:rPr>
        <w:t xml:space="preserve">the </w:t>
      </w:r>
      <w:r>
        <w:rPr>
          <w:sz w:val="24"/>
          <w:szCs w:val="24"/>
        </w:rPr>
        <w:t>2021 treatment cohort met 85</w:t>
      </w:r>
      <w:r w:rsidR="00954301">
        <w:rPr>
          <w:sz w:val="24"/>
          <w:szCs w:val="24"/>
        </w:rPr>
        <w:t>% of the target—an</w:t>
      </w:r>
      <w:r>
        <w:rPr>
          <w:sz w:val="24"/>
          <w:szCs w:val="24"/>
        </w:rPr>
        <w:t xml:space="preserve"> increase </w:t>
      </w:r>
      <w:r w:rsidR="00954301">
        <w:rPr>
          <w:sz w:val="24"/>
          <w:szCs w:val="24"/>
        </w:rPr>
        <w:t>of</w:t>
      </w:r>
      <w:r>
        <w:rPr>
          <w:sz w:val="24"/>
          <w:szCs w:val="24"/>
        </w:rPr>
        <w:t xml:space="preserve"> 1 percentage point from the 2020 cohort.  </w:t>
      </w:r>
    </w:p>
    <w:p w14:paraId="709BD0FE" w14:textId="2E4FA32C" w:rsidR="00155420" w:rsidRDefault="00E84F93">
      <w:pPr>
        <w:pBdr>
          <w:top w:val="nil"/>
          <w:left w:val="nil"/>
          <w:bottom w:val="nil"/>
          <w:right w:val="nil"/>
          <w:between w:val="nil"/>
        </w:pBdr>
        <w:spacing w:line="264" w:lineRule="auto"/>
        <w:rPr>
          <w:sz w:val="24"/>
          <w:szCs w:val="24"/>
        </w:rPr>
      </w:pPr>
      <w:r>
        <w:rPr>
          <w:sz w:val="24"/>
          <w:szCs w:val="24"/>
        </w:rPr>
        <w:t xml:space="preserve">The figure below shows </w:t>
      </w:r>
      <w:r w:rsidR="00954301">
        <w:rPr>
          <w:sz w:val="24"/>
          <w:szCs w:val="24"/>
        </w:rPr>
        <w:t xml:space="preserve">that the </w:t>
      </w:r>
      <w:r>
        <w:rPr>
          <w:sz w:val="24"/>
          <w:szCs w:val="24"/>
        </w:rPr>
        <w:t>DR TB TSR</w:t>
      </w:r>
      <w:r w:rsidR="00954301">
        <w:rPr>
          <w:sz w:val="24"/>
          <w:szCs w:val="24"/>
        </w:rPr>
        <w:t xml:space="preserve"> </w:t>
      </w:r>
      <w:r>
        <w:rPr>
          <w:sz w:val="24"/>
          <w:szCs w:val="24"/>
        </w:rPr>
        <w:t xml:space="preserve">for </w:t>
      </w:r>
      <w:r w:rsidR="00954301">
        <w:rPr>
          <w:sz w:val="24"/>
          <w:szCs w:val="24"/>
        </w:rPr>
        <w:t xml:space="preserve">the </w:t>
      </w:r>
      <w:r>
        <w:rPr>
          <w:sz w:val="24"/>
          <w:szCs w:val="24"/>
        </w:rPr>
        <w:t>2020</w:t>
      </w:r>
      <w:r w:rsidR="00954301">
        <w:rPr>
          <w:sz w:val="24"/>
          <w:szCs w:val="24"/>
        </w:rPr>
        <w:t xml:space="preserve"> </w:t>
      </w:r>
      <w:r>
        <w:rPr>
          <w:sz w:val="24"/>
          <w:szCs w:val="24"/>
        </w:rPr>
        <w:t>treatment cohort met 94%</w:t>
      </w:r>
      <w:r w:rsidR="00954301">
        <w:rPr>
          <w:sz w:val="24"/>
          <w:szCs w:val="24"/>
        </w:rPr>
        <w:t xml:space="preserve"> </w:t>
      </w:r>
      <w:r>
        <w:rPr>
          <w:sz w:val="24"/>
          <w:szCs w:val="24"/>
        </w:rPr>
        <w:t xml:space="preserve">of </w:t>
      </w:r>
      <w:r w:rsidR="00954301">
        <w:rPr>
          <w:sz w:val="24"/>
          <w:szCs w:val="24"/>
        </w:rPr>
        <w:t xml:space="preserve">the </w:t>
      </w:r>
      <w:r>
        <w:rPr>
          <w:sz w:val="24"/>
          <w:szCs w:val="24"/>
        </w:rPr>
        <w:t>target, which is an improvement of 6 percentage poin</w:t>
      </w:r>
      <w:r w:rsidR="00954301">
        <w:rPr>
          <w:sz w:val="24"/>
          <w:szCs w:val="24"/>
        </w:rPr>
        <w:t>t</w:t>
      </w:r>
      <w:r>
        <w:rPr>
          <w:sz w:val="24"/>
          <w:szCs w:val="24"/>
        </w:rPr>
        <w:t xml:space="preserve">s from </w:t>
      </w:r>
      <w:r w:rsidR="00954301">
        <w:rPr>
          <w:sz w:val="24"/>
          <w:szCs w:val="24"/>
        </w:rPr>
        <w:t xml:space="preserve">the </w:t>
      </w:r>
      <w:r>
        <w:rPr>
          <w:sz w:val="24"/>
          <w:szCs w:val="24"/>
        </w:rPr>
        <w:t xml:space="preserve">2020 treatment cohort. </w:t>
      </w:r>
    </w:p>
    <w:p w14:paraId="24AD819B" w14:textId="77777777" w:rsidR="00155420" w:rsidRDefault="00E84F93">
      <w:pPr>
        <w:pBdr>
          <w:top w:val="nil"/>
          <w:left w:val="nil"/>
          <w:bottom w:val="nil"/>
          <w:right w:val="nil"/>
          <w:between w:val="nil"/>
        </w:pBdr>
        <w:spacing w:line="264" w:lineRule="auto"/>
        <w:rPr>
          <w:sz w:val="24"/>
          <w:szCs w:val="24"/>
        </w:rPr>
      </w:pPr>
      <w:r>
        <w:rPr>
          <w:noProof/>
          <w:sz w:val="24"/>
          <w:szCs w:val="24"/>
          <w:lang w:val="en-PH"/>
        </w:rPr>
        <w:lastRenderedPageBreak/>
        <w:drawing>
          <wp:inline distT="114300" distB="114300" distL="114300" distR="114300" wp14:anchorId="7690C1FF" wp14:editId="560CE095">
            <wp:extent cx="6479230" cy="3657600"/>
            <wp:effectExtent l="152400" t="114300" r="131445" b="17145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6479230" cy="3657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F51EF5A" w14:textId="4D6644EA" w:rsidR="00155420" w:rsidRDefault="00E84F93">
      <w:pPr>
        <w:pBdr>
          <w:top w:val="nil"/>
          <w:left w:val="nil"/>
          <w:bottom w:val="nil"/>
          <w:right w:val="nil"/>
          <w:between w:val="nil"/>
        </w:pBdr>
        <w:spacing w:line="264" w:lineRule="auto"/>
        <w:rPr>
          <w:color w:val="000000"/>
          <w:sz w:val="24"/>
          <w:szCs w:val="24"/>
        </w:rPr>
      </w:pPr>
      <w:r>
        <w:rPr>
          <w:color w:val="000000"/>
          <w:sz w:val="24"/>
          <w:szCs w:val="24"/>
        </w:rPr>
        <w:t xml:space="preserve">In 2022, treatment coverage was 66% (at </w:t>
      </w:r>
      <w:r w:rsidR="00954301">
        <w:rPr>
          <w:color w:val="000000"/>
          <w:sz w:val="24"/>
          <w:szCs w:val="24"/>
        </w:rPr>
        <w:t xml:space="preserve">the </w:t>
      </w:r>
      <w:r>
        <w:rPr>
          <w:color w:val="000000"/>
          <w:sz w:val="24"/>
          <w:szCs w:val="24"/>
        </w:rPr>
        <w:t>estimated incidence of 650), and all forms’ success rate for the 2021 cohort was 79% (243,270/ 309,181) versus the 90% target. The low TSR directly results from increased mandatory notifications from non-NTP prov</w:t>
      </w:r>
      <w:r>
        <w:rPr>
          <w:color w:val="000000"/>
          <w:sz w:val="24"/>
          <w:szCs w:val="24"/>
        </w:rPr>
        <w:t>iders that also failed to report treatment outcomes, wherein TSR for MN cases was only 22% (15,560/ 71,182). The ITIS lite was operational to capture treatment outcomes reporting from mandatory case notifications in January 2022.</w:t>
      </w:r>
    </w:p>
    <w:p w14:paraId="75581394" w14:textId="77777777" w:rsidR="00155420" w:rsidRDefault="00E84F93">
      <w:pPr>
        <w:pBdr>
          <w:top w:val="nil"/>
          <w:left w:val="nil"/>
          <w:bottom w:val="nil"/>
          <w:right w:val="nil"/>
          <w:between w:val="nil"/>
        </w:pBdr>
        <w:spacing w:line="264" w:lineRule="auto"/>
        <w:rPr>
          <w:sz w:val="24"/>
          <w:szCs w:val="24"/>
          <w:u w:val="single"/>
        </w:rPr>
      </w:pPr>
      <w:r>
        <w:rPr>
          <w:sz w:val="24"/>
          <w:szCs w:val="24"/>
          <w:u w:val="single"/>
        </w:rPr>
        <w:t xml:space="preserve">Contact Investigation and </w:t>
      </w:r>
      <w:r>
        <w:rPr>
          <w:sz w:val="24"/>
          <w:szCs w:val="24"/>
          <w:u w:val="single"/>
        </w:rPr>
        <w:t>TPT</w:t>
      </w:r>
    </w:p>
    <w:p w14:paraId="4EF40455" w14:textId="77777777" w:rsidR="00155420" w:rsidRDefault="00E84F93">
      <w:pPr>
        <w:pBdr>
          <w:top w:val="nil"/>
          <w:left w:val="nil"/>
          <w:bottom w:val="nil"/>
          <w:right w:val="nil"/>
          <w:between w:val="nil"/>
        </w:pBdr>
        <w:spacing w:line="264" w:lineRule="auto"/>
        <w:rPr>
          <w:sz w:val="24"/>
          <w:szCs w:val="24"/>
          <w:u w:val="single"/>
        </w:rPr>
      </w:pPr>
      <w:r>
        <w:rPr>
          <w:noProof/>
          <w:sz w:val="24"/>
          <w:szCs w:val="24"/>
          <w:u w:val="single"/>
          <w:lang w:val="en-PH"/>
        </w:rPr>
        <w:lastRenderedPageBreak/>
        <w:drawing>
          <wp:inline distT="114300" distB="114300" distL="114300" distR="114300" wp14:anchorId="09976BF6" wp14:editId="643C0720">
            <wp:extent cx="6479230" cy="4051300"/>
            <wp:effectExtent l="152400" t="114300" r="131445" b="15875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6479230" cy="4051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571C8E" w14:textId="77777777" w:rsidR="00155420" w:rsidRDefault="00E84F93">
      <w:pPr>
        <w:pBdr>
          <w:top w:val="nil"/>
          <w:left w:val="nil"/>
          <w:bottom w:val="nil"/>
          <w:right w:val="nil"/>
          <w:between w:val="nil"/>
        </w:pBdr>
        <w:spacing w:line="264" w:lineRule="auto"/>
        <w:rPr>
          <w:sz w:val="24"/>
          <w:szCs w:val="24"/>
        </w:rPr>
      </w:pPr>
      <w:r>
        <w:rPr>
          <w:sz w:val="24"/>
          <w:szCs w:val="24"/>
        </w:rPr>
        <w:t>TB investigation among contacts of bacteriologically confirmed TB cases is not captured in the Integrated TB Information System (ITIS). In 2022, only 13% were reported to be evaluated for TB, which is far below the national target of 80%. In absolute</w:t>
      </w:r>
      <w:r>
        <w:rPr>
          <w:sz w:val="24"/>
          <w:szCs w:val="24"/>
        </w:rPr>
        <w:t xml:space="preserve"> values, a 400% increase was seen in 2022 (49,558) versus 2021 (8,830). </w:t>
      </w:r>
    </w:p>
    <w:p w14:paraId="62EF27BC" w14:textId="77777777" w:rsidR="00155420" w:rsidRDefault="00E84F93">
      <w:pPr>
        <w:pBdr>
          <w:top w:val="nil"/>
          <w:left w:val="nil"/>
          <w:bottom w:val="nil"/>
          <w:right w:val="nil"/>
          <w:between w:val="nil"/>
        </w:pBdr>
        <w:spacing w:line="264" w:lineRule="auto"/>
        <w:rPr>
          <w:sz w:val="24"/>
          <w:szCs w:val="24"/>
        </w:rPr>
      </w:pPr>
      <w:r>
        <w:rPr>
          <w:sz w:val="24"/>
          <w:szCs w:val="24"/>
        </w:rPr>
        <w:lastRenderedPageBreak/>
        <w:t xml:space="preserve"> </w:t>
      </w:r>
      <w:r>
        <w:rPr>
          <w:noProof/>
          <w:sz w:val="24"/>
          <w:szCs w:val="24"/>
          <w:lang w:val="en-PH"/>
        </w:rPr>
        <w:drawing>
          <wp:inline distT="114300" distB="114300" distL="114300" distR="114300" wp14:anchorId="7D4E3033" wp14:editId="51B8B8B2">
            <wp:extent cx="6479230" cy="4051300"/>
            <wp:effectExtent l="152400" t="114300" r="131445" b="15875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6479230" cy="4051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D44154" w14:textId="77777777" w:rsidR="00155420" w:rsidRDefault="00E84F93">
      <w:pPr>
        <w:pBdr>
          <w:top w:val="nil"/>
          <w:left w:val="nil"/>
          <w:bottom w:val="nil"/>
          <w:right w:val="nil"/>
          <w:between w:val="nil"/>
        </w:pBdr>
        <w:spacing w:line="264" w:lineRule="auto"/>
        <w:rPr>
          <w:sz w:val="24"/>
          <w:szCs w:val="24"/>
        </w:rPr>
      </w:pPr>
      <w:r>
        <w:rPr>
          <w:sz w:val="24"/>
          <w:szCs w:val="24"/>
        </w:rPr>
        <w:t xml:space="preserve">Under reporting in contact investigation probably contributes to low </w:t>
      </w:r>
      <w:proofErr w:type="spellStart"/>
      <w:r>
        <w:rPr>
          <w:sz w:val="24"/>
          <w:szCs w:val="24"/>
        </w:rPr>
        <w:t>enrollment</w:t>
      </w:r>
      <w:proofErr w:type="spellEnd"/>
      <w:r>
        <w:rPr>
          <w:sz w:val="24"/>
          <w:szCs w:val="24"/>
        </w:rPr>
        <w:t xml:space="preserve"> to TPT among the eligible population. The JPR 2022 reports that a contributing factor for TPT uptake</w:t>
      </w:r>
      <w:r>
        <w:rPr>
          <w:sz w:val="24"/>
          <w:szCs w:val="24"/>
        </w:rPr>
        <w:t xml:space="preserve"> is the low acceptance of health care workers and eligible population to take TPT. In 2022, TPT </w:t>
      </w:r>
      <w:proofErr w:type="spellStart"/>
      <w:r>
        <w:rPr>
          <w:sz w:val="24"/>
          <w:szCs w:val="24"/>
        </w:rPr>
        <w:t>enrollment</w:t>
      </w:r>
      <w:proofErr w:type="spellEnd"/>
      <w:r>
        <w:rPr>
          <w:sz w:val="24"/>
          <w:szCs w:val="24"/>
        </w:rPr>
        <w:t xml:space="preserve"> is only 17% of the national target. </w:t>
      </w:r>
    </w:p>
    <w:p w14:paraId="68DAD874" w14:textId="77777777" w:rsidR="00155420" w:rsidRDefault="00E84F93">
      <w:pPr>
        <w:pBdr>
          <w:top w:val="nil"/>
          <w:left w:val="nil"/>
          <w:bottom w:val="nil"/>
          <w:right w:val="nil"/>
          <w:between w:val="nil"/>
        </w:pBdr>
        <w:spacing w:line="264" w:lineRule="auto"/>
        <w:rPr>
          <w:sz w:val="24"/>
          <w:szCs w:val="24"/>
        </w:rPr>
      </w:pPr>
      <w:r>
        <w:rPr>
          <w:sz w:val="24"/>
          <w:szCs w:val="24"/>
        </w:rPr>
        <w:t xml:space="preserve"> </w:t>
      </w:r>
    </w:p>
    <w:p w14:paraId="2EAEC909" w14:textId="77777777" w:rsidR="00155420" w:rsidRDefault="00E84F93">
      <w:pPr>
        <w:pBdr>
          <w:top w:val="nil"/>
          <w:left w:val="nil"/>
          <w:bottom w:val="nil"/>
          <w:right w:val="nil"/>
          <w:between w:val="nil"/>
        </w:pBdr>
        <w:spacing w:line="264" w:lineRule="auto"/>
        <w:rPr>
          <w:color w:val="000000"/>
          <w:sz w:val="24"/>
          <w:szCs w:val="24"/>
          <w:u w:val="single"/>
        </w:rPr>
      </w:pPr>
      <w:r>
        <w:rPr>
          <w:color w:val="000000"/>
          <w:sz w:val="24"/>
          <w:szCs w:val="24"/>
          <w:u w:val="single"/>
        </w:rPr>
        <w:t>TB-HIV Co-infection</w:t>
      </w:r>
    </w:p>
    <w:p w14:paraId="02633185"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PICT is offered to all TB patients. In 2022, 79% of TB patients had HIV results (</w:t>
      </w:r>
      <w:r>
        <w:rPr>
          <w:sz w:val="24"/>
          <w:szCs w:val="24"/>
        </w:rPr>
        <w:t>0.85% pos</w:t>
      </w:r>
      <w:r>
        <w:rPr>
          <w:sz w:val="24"/>
          <w:szCs w:val="24"/>
        </w:rPr>
        <w:t>itivity rate)</w:t>
      </w:r>
      <w:r>
        <w:rPr>
          <w:color w:val="000000"/>
          <w:sz w:val="24"/>
          <w:szCs w:val="24"/>
        </w:rPr>
        <w:t>, 96% of TB with HIV were enrolled in ART, and 75% of PLHIV on ART were given TPT.</w:t>
      </w:r>
    </w:p>
    <w:p w14:paraId="326F673A" w14:textId="77777777" w:rsidR="00155420" w:rsidRDefault="00E84F93">
      <w:pPr>
        <w:pBdr>
          <w:top w:val="nil"/>
          <w:left w:val="nil"/>
          <w:bottom w:val="nil"/>
          <w:right w:val="nil"/>
          <w:between w:val="nil"/>
        </w:pBdr>
        <w:spacing w:line="264" w:lineRule="auto"/>
        <w:rPr>
          <w:color w:val="000000"/>
          <w:sz w:val="24"/>
          <w:szCs w:val="24"/>
        </w:rPr>
      </w:pPr>
      <w:r>
        <w:rPr>
          <w:sz w:val="24"/>
          <w:szCs w:val="24"/>
        </w:rPr>
        <w:t xml:space="preserve">Among PLHIV, TPT is provided to 72% of PLHIVs in 2022. Default regimen is isoniazid which has a high refusal rate due to adverse drug reactions.  </w:t>
      </w:r>
    </w:p>
    <w:p w14:paraId="76D7E07B" w14:textId="77777777" w:rsidR="00155420" w:rsidRDefault="00E84F93">
      <w:pPr>
        <w:pBdr>
          <w:top w:val="nil"/>
          <w:left w:val="nil"/>
          <w:bottom w:val="nil"/>
          <w:right w:val="nil"/>
          <w:between w:val="nil"/>
        </w:pBdr>
        <w:spacing w:line="264" w:lineRule="auto"/>
        <w:rPr>
          <w:color w:val="000000"/>
          <w:sz w:val="24"/>
          <w:szCs w:val="24"/>
          <w:u w:val="single"/>
        </w:rPr>
      </w:pPr>
      <w:r>
        <w:rPr>
          <w:color w:val="000000"/>
          <w:sz w:val="24"/>
          <w:szCs w:val="24"/>
          <w:u w:val="single"/>
        </w:rPr>
        <w:t>Key and Vulne</w:t>
      </w:r>
      <w:r>
        <w:rPr>
          <w:color w:val="000000"/>
          <w:sz w:val="24"/>
          <w:szCs w:val="24"/>
          <w:u w:val="single"/>
        </w:rPr>
        <w:t xml:space="preserve">rable Population </w:t>
      </w:r>
    </w:p>
    <w:p w14:paraId="52CBB94E"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 xml:space="preserve">The NTP identifies the KVPs as TB contacts, urban and rural poor, elderly, children, people deprived of liberty, PLHIVs, and people with </w:t>
      </w:r>
      <w:r>
        <w:rPr>
          <w:sz w:val="24"/>
          <w:szCs w:val="24"/>
        </w:rPr>
        <w:t>comorbidities</w:t>
      </w:r>
      <w:r>
        <w:rPr>
          <w:color w:val="000000"/>
          <w:sz w:val="24"/>
          <w:szCs w:val="24"/>
        </w:rPr>
        <w:t xml:space="preserve">. </w:t>
      </w:r>
    </w:p>
    <w:p w14:paraId="6C90D174"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Contact tracing/investigation is done among TB contacts. Systematic screening is done</w:t>
      </w:r>
      <w:r>
        <w:rPr>
          <w:color w:val="000000"/>
          <w:sz w:val="24"/>
          <w:szCs w:val="24"/>
        </w:rPr>
        <w:t xml:space="preserve"> for poor communities, the elderly, and children. All jails and prisons have TB programs in place, with varying levels of implementation. TB &amp; Diabetes programs are implemented in some hospitals.   </w:t>
      </w:r>
    </w:p>
    <w:p w14:paraId="0AC05378" w14:textId="77777777" w:rsidR="00155420" w:rsidRDefault="00E84F93">
      <w:pPr>
        <w:pBdr>
          <w:top w:val="nil"/>
          <w:left w:val="nil"/>
          <w:bottom w:val="nil"/>
          <w:right w:val="nil"/>
          <w:between w:val="nil"/>
        </w:pBdr>
        <w:spacing w:line="264" w:lineRule="auto"/>
        <w:rPr>
          <w:color w:val="000000"/>
          <w:sz w:val="24"/>
          <w:szCs w:val="24"/>
          <w:u w:val="single"/>
        </w:rPr>
      </w:pPr>
      <w:r>
        <w:rPr>
          <w:color w:val="000000"/>
          <w:sz w:val="24"/>
          <w:szCs w:val="24"/>
          <w:u w:val="single"/>
        </w:rPr>
        <w:t>Inequities and Barriers</w:t>
      </w:r>
    </w:p>
    <w:p w14:paraId="0F4ECDAE"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lastRenderedPageBreak/>
        <w:t>The Philippines, an archipelago o</w:t>
      </w:r>
      <w:r>
        <w:rPr>
          <w:color w:val="000000"/>
          <w:sz w:val="24"/>
          <w:szCs w:val="24"/>
        </w:rPr>
        <w:t xml:space="preserve">f more than 7000 islands, makes accessing TB screening and diagnosis difficult. Geographically Isolated and Depressed Areas (GIDA) are also present in big cities and provinces. </w:t>
      </w:r>
    </w:p>
    <w:p w14:paraId="5D3550B2"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TB care models for increased access among males are available but must be scal</w:t>
      </w:r>
      <w:r>
        <w:rPr>
          <w:color w:val="000000"/>
          <w:sz w:val="24"/>
          <w:szCs w:val="24"/>
        </w:rPr>
        <w:t xml:space="preserve">ed up. </w:t>
      </w:r>
    </w:p>
    <w:p w14:paraId="61659740"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 xml:space="preserve">The CLM system and redress mechanism for TB are being tested in six regions and will be evaluated by the end of 2023.  Part of the FR is scaling-up enhanced models from 2024 to 2026 nationwide. </w:t>
      </w:r>
    </w:p>
    <w:p w14:paraId="1168633F"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In 2023, NTP providers will be upskilled in the condu</w:t>
      </w:r>
      <w:r>
        <w:rPr>
          <w:color w:val="000000"/>
          <w:sz w:val="24"/>
          <w:szCs w:val="24"/>
        </w:rPr>
        <w:t xml:space="preserve">ct of gender analysis and the use of gender data in health planning. </w:t>
      </w:r>
    </w:p>
    <w:p w14:paraId="6CB41810" w14:textId="77777777" w:rsidR="00155420" w:rsidRDefault="00E84F93">
      <w:pPr>
        <w:pBdr>
          <w:top w:val="nil"/>
          <w:left w:val="nil"/>
          <w:bottom w:val="nil"/>
          <w:right w:val="nil"/>
          <w:between w:val="nil"/>
        </w:pBdr>
        <w:spacing w:line="264" w:lineRule="auto"/>
        <w:rPr>
          <w:color w:val="000000"/>
          <w:sz w:val="24"/>
          <w:szCs w:val="24"/>
          <w:u w:val="single"/>
        </w:rPr>
      </w:pPr>
      <w:r>
        <w:rPr>
          <w:color w:val="000000"/>
          <w:sz w:val="24"/>
          <w:szCs w:val="24"/>
        </w:rPr>
        <w:t xml:space="preserve"> </w:t>
      </w:r>
      <w:r>
        <w:rPr>
          <w:color w:val="000000"/>
          <w:sz w:val="24"/>
          <w:szCs w:val="24"/>
          <w:u w:val="single"/>
        </w:rPr>
        <w:t>COVID-19 Impact</w:t>
      </w:r>
    </w:p>
    <w:p w14:paraId="540C1625"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The onset of the COVID-19 pandemic in 2020 and the concomitant mobility restrictions hampered the implementation of the NTP. The 2020-2021 performance set back the count</w:t>
      </w:r>
      <w:r>
        <w:rPr>
          <w:color w:val="000000"/>
          <w:sz w:val="24"/>
          <w:szCs w:val="24"/>
        </w:rPr>
        <w:t xml:space="preserve">ry by one year and recovered to pre-pandemic performance levels by the end of 2022. </w:t>
      </w:r>
    </w:p>
    <w:p w14:paraId="6EBA7EDA"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The NTP Adaptive Plan developed in 2020, which provided measures for TB care delivery while complementing the ongoing COVID-19 response, served as the implementation roadm</w:t>
      </w:r>
      <w:r>
        <w:rPr>
          <w:color w:val="000000"/>
          <w:sz w:val="24"/>
          <w:szCs w:val="24"/>
        </w:rPr>
        <w:t xml:space="preserve">ap for the fast recovery of the program.   </w:t>
      </w:r>
    </w:p>
    <w:p w14:paraId="03A1633D" w14:textId="77777777" w:rsidR="00155420" w:rsidRDefault="00E84F93">
      <w:pPr>
        <w:pBdr>
          <w:top w:val="nil"/>
          <w:left w:val="nil"/>
          <w:bottom w:val="nil"/>
          <w:right w:val="nil"/>
          <w:between w:val="nil"/>
        </w:pBdr>
        <w:spacing w:line="264" w:lineRule="auto"/>
        <w:rPr>
          <w:b/>
          <w:color w:val="000000"/>
          <w:sz w:val="24"/>
          <w:szCs w:val="24"/>
          <w:u w:val="single"/>
        </w:rPr>
      </w:pPr>
      <w:r>
        <w:rPr>
          <w:b/>
          <w:color w:val="000000"/>
          <w:sz w:val="24"/>
          <w:szCs w:val="24"/>
          <w:u w:val="single"/>
        </w:rPr>
        <w:t xml:space="preserve">Status </w:t>
      </w:r>
      <w:r>
        <w:rPr>
          <w:b/>
          <w:sz w:val="24"/>
          <w:szCs w:val="24"/>
          <w:u w:val="single"/>
        </w:rPr>
        <w:t>u</w:t>
      </w:r>
      <w:r>
        <w:rPr>
          <w:b/>
          <w:color w:val="000000"/>
          <w:sz w:val="24"/>
          <w:szCs w:val="24"/>
          <w:u w:val="single"/>
        </w:rPr>
        <w:t xml:space="preserve">pdate on </w:t>
      </w:r>
      <w:r>
        <w:rPr>
          <w:b/>
          <w:sz w:val="24"/>
          <w:szCs w:val="24"/>
          <w:u w:val="single"/>
        </w:rPr>
        <w:t>a</w:t>
      </w:r>
      <w:r>
        <w:rPr>
          <w:b/>
          <w:color w:val="000000"/>
          <w:sz w:val="24"/>
          <w:szCs w:val="24"/>
          <w:u w:val="single"/>
        </w:rPr>
        <w:t>ctions to address TRP comments on the GF TB Grant 2021-2023</w:t>
      </w:r>
    </w:p>
    <w:p w14:paraId="6168E051" w14:textId="77777777" w:rsidR="00155420" w:rsidRDefault="00E84F93">
      <w:pPr>
        <w:numPr>
          <w:ilvl w:val="0"/>
          <w:numId w:val="37"/>
        </w:numPr>
        <w:pBdr>
          <w:top w:val="nil"/>
          <w:left w:val="nil"/>
          <w:bottom w:val="nil"/>
          <w:right w:val="nil"/>
          <w:between w:val="nil"/>
        </w:pBdr>
        <w:spacing w:line="264" w:lineRule="auto"/>
      </w:pPr>
      <w:r>
        <w:rPr>
          <w:color w:val="000000"/>
          <w:sz w:val="24"/>
          <w:szCs w:val="24"/>
        </w:rPr>
        <w:t>The ITIS can provide sex-disaggregation data for analysis. A comprehensive TB-Gender integration plan is being implemented. Interventions to increase access to TB care among males are ongoing, particularly by setting up TB programs in male-dominated formal</w:t>
      </w:r>
      <w:r>
        <w:rPr>
          <w:color w:val="000000"/>
          <w:sz w:val="24"/>
          <w:szCs w:val="24"/>
        </w:rPr>
        <w:t xml:space="preserve"> and informal workplaces. HRG learning sessions have been developed and provided to healthcare workers, media professionals, and correction officers. Skills building among NTP managers is also being provided on how to conduct gender analysis and use gender</w:t>
      </w:r>
      <w:r>
        <w:rPr>
          <w:color w:val="000000"/>
          <w:sz w:val="24"/>
          <w:szCs w:val="24"/>
        </w:rPr>
        <w:t xml:space="preserve"> data for planning.  </w:t>
      </w:r>
    </w:p>
    <w:p w14:paraId="0F72765E" w14:textId="77777777" w:rsidR="00155420" w:rsidRDefault="00E84F93">
      <w:pPr>
        <w:numPr>
          <w:ilvl w:val="0"/>
          <w:numId w:val="37"/>
        </w:numPr>
        <w:pBdr>
          <w:top w:val="nil"/>
          <w:left w:val="nil"/>
          <w:bottom w:val="nil"/>
          <w:right w:val="nil"/>
          <w:between w:val="nil"/>
        </w:pBdr>
        <w:spacing w:line="264" w:lineRule="auto"/>
      </w:pPr>
      <w:r>
        <w:rPr>
          <w:color w:val="000000"/>
          <w:sz w:val="24"/>
          <w:szCs w:val="24"/>
        </w:rPr>
        <w:t>Private sector engagement has been a priority in the current grant by implementing mandatory case notification among private providers (hospital-based and standalone physicians) using molecular diagnosis for TB. ITIS lite has been dev</w:t>
      </w:r>
      <w:r>
        <w:rPr>
          <w:color w:val="000000"/>
          <w:sz w:val="24"/>
          <w:szCs w:val="24"/>
        </w:rPr>
        <w:t>eloped for this purpose and is the current platform for private-sector reporting. Specimen transport riders have been scaled up to increase private sector access to RDTs. Incentives are being provided for mandatory case notification and treatment outcome r</w:t>
      </w:r>
      <w:r>
        <w:rPr>
          <w:color w:val="000000"/>
          <w:sz w:val="24"/>
          <w:szCs w:val="24"/>
        </w:rPr>
        <w:t>eporting. Case notification officers were deployed to support NTP MOP 6</w:t>
      </w:r>
      <w:r>
        <w:rPr>
          <w:color w:val="000000"/>
          <w:sz w:val="24"/>
          <w:szCs w:val="24"/>
          <w:vertAlign w:val="superscript"/>
        </w:rPr>
        <w:t>th</w:t>
      </w:r>
      <w:r>
        <w:rPr>
          <w:color w:val="000000"/>
          <w:sz w:val="24"/>
          <w:szCs w:val="24"/>
        </w:rPr>
        <w:t xml:space="preserve"> edition adoption among private care providers. In this FR, additional interventions focus on supporting the accreditation of private care providers to become part of the primary care</w:t>
      </w:r>
      <w:r>
        <w:rPr>
          <w:color w:val="000000"/>
          <w:sz w:val="24"/>
          <w:szCs w:val="24"/>
        </w:rPr>
        <w:t xml:space="preserve"> network to access free anti-TB medicines and commodities and be able to reimburse from the PhilHealth comprehensive outpatient benefit packages for TB.    </w:t>
      </w:r>
    </w:p>
    <w:p w14:paraId="3533C00D" w14:textId="77777777" w:rsidR="00155420" w:rsidRDefault="00E84F93">
      <w:pPr>
        <w:numPr>
          <w:ilvl w:val="0"/>
          <w:numId w:val="37"/>
        </w:numPr>
        <w:pBdr>
          <w:top w:val="nil"/>
          <w:left w:val="nil"/>
          <w:bottom w:val="nil"/>
          <w:right w:val="nil"/>
          <w:between w:val="nil"/>
        </w:pBdr>
        <w:spacing w:line="264" w:lineRule="auto"/>
      </w:pPr>
      <w:r>
        <w:rPr>
          <w:color w:val="000000"/>
          <w:sz w:val="24"/>
          <w:szCs w:val="24"/>
        </w:rPr>
        <w:t xml:space="preserve">No focused studies have been conducted to </w:t>
      </w:r>
      <w:proofErr w:type="spellStart"/>
      <w:r>
        <w:rPr>
          <w:color w:val="000000"/>
          <w:sz w:val="24"/>
          <w:szCs w:val="24"/>
        </w:rPr>
        <w:t>analyze</w:t>
      </w:r>
      <w:proofErr w:type="spellEnd"/>
      <w:r>
        <w:rPr>
          <w:color w:val="000000"/>
          <w:sz w:val="24"/>
          <w:szCs w:val="24"/>
        </w:rPr>
        <w:t xml:space="preserve"> the drivers for DR TB cases. Due to the pandemic,</w:t>
      </w:r>
      <w:r>
        <w:rPr>
          <w:color w:val="000000"/>
          <w:sz w:val="24"/>
          <w:szCs w:val="24"/>
        </w:rPr>
        <w:t xml:space="preserve"> the focus in 2021 was the COVID-19 emergency response, and in 2022 &amp; 2023, catching up to bring the TB program performance back to pre-pandemic levels and beyond. </w:t>
      </w:r>
    </w:p>
    <w:p w14:paraId="1D5B8CA4" w14:textId="77777777" w:rsidR="00155420" w:rsidRDefault="00E84F93">
      <w:pPr>
        <w:numPr>
          <w:ilvl w:val="0"/>
          <w:numId w:val="37"/>
        </w:numPr>
        <w:pBdr>
          <w:top w:val="nil"/>
          <w:left w:val="nil"/>
          <w:bottom w:val="nil"/>
          <w:right w:val="nil"/>
          <w:between w:val="nil"/>
        </w:pBdr>
        <w:spacing w:line="264" w:lineRule="auto"/>
      </w:pPr>
      <w:r>
        <w:rPr>
          <w:color w:val="000000"/>
          <w:sz w:val="24"/>
          <w:szCs w:val="24"/>
        </w:rPr>
        <w:t>The electronic Logistics Information Management (eLMIS) has been completed. By the end of 2</w:t>
      </w:r>
      <w:r>
        <w:rPr>
          <w:color w:val="000000"/>
          <w:sz w:val="24"/>
          <w:szCs w:val="24"/>
        </w:rPr>
        <w:t xml:space="preserve">023, all regions would have </w:t>
      </w:r>
      <w:r>
        <w:rPr>
          <w:sz w:val="24"/>
          <w:szCs w:val="24"/>
        </w:rPr>
        <w:t>trained eLMIS trainers</w:t>
      </w:r>
      <w:r>
        <w:rPr>
          <w:color w:val="000000"/>
          <w:sz w:val="24"/>
          <w:szCs w:val="24"/>
        </w:rPr>
        <w:t xml:space="preserve">. Rollout to LGUs will begin in </w:t>
      </w:r>
      <w:r>
        <w:rPr>
          <w:color w:val="000000"/>
          <w:sz w:val="24"/>
          <w:szCs w:val="24"/>
        </w:rPr>
        <w:lastRenderedPageBreak/>
        <w:t xml:space="preserve">2024. The FDA already has an operational online drug registration system to reduce turnaround time. The ongoing GF Grant has augmented the FDA common service laboratory with </w:t>
      </w:r>
      <w:r>
        <w:rPr>
          <w:color w:val="000000"/>
          <w:sz w:val="24"/>
          <w:szCs w:val="24"/>
        </w:rPr>
        <w:t>two High-Performance Liquid Chromatography machines. USAID continuously supported the DOH (particularly the SCM office) on product selection, registration, quantification, budget allocation, and piloting various procurement options.  With the devolution-tr</w:t>
      </w:r>
      <w:r>
        <w:rPr>
          <w:color w:val="000000"/>
          <w:sz w:val="24"/>
          <w:szCs w:val="24"/>
        </w:rPr>
        <w:t xml:space="preserve">ansition plan underway, this FR focuses on capacity building for LGUs to manage their PSCM systems since the function will be fully devolved beginning 2024 for individual-based services.   </w:t>
      </w:r>
    </w:p>
    <w:p w14:paraId="5C2F21DB" w14:textId="77777777" w:rsidR="00155420" w:rsidRDefault="00E84F93">
      <w:pPr>
        <w:numPr>
          <w:ilvl w:val="0"/>
          <w:numId w:val="37"/>
        </w:numPr>
        <w:pBdr>
          <w:top w:val="nil"/>
          <w:left w:val="nil"/>
          <w:bottom w:val="nil"/>
          <w:right w:val="nil"/>
          <w:between w:val="nil"/>
        </w:pBdr>
        <w:spacing w:line="264" w:lineRule="auto"/>
      </w:pPr>
      <w:r>
        <w:rPr>
          <w:color w:val="000000"/>
          <w:sz w:val="24"/>
          <w:szCs w:val="24"/>
        </w:rPr>
        <w:t>The focus of the DOH in the last three years was responding to COV</w:t>
      </w:r>
      <w:r>
        <w:rPr>
          <w:color w:val="000000"/>
          <w:sz w:val="24"/>
          <w:szCs w:val="24"/>
        </w:rPr>
        <w:t>ID-19, and everything else took a back seat, including the development of the health information system. With the UHC Law and the implementation of EO 138, DOH central and regional offices are undergoing major structural, and systems changes as part of the</w:t>
      </w:r>
      <w:r>
        <w:rPr>
          <w:color w:val="000000"/>
          <w:sz w:val="24"/>
          <w:szCs w:val="24"/>
        </w:rPr>
        <w:t xml:space="preserve"> devolution transition. Concrete plans to review and revise the DOH enterprise architecture are currently being discussed. In addition, the law to establish a Philippine CDC is about to be approved. It will have a health epidemiology and surveillance cente</w:t>
      </w:r>
      <w:r>
        <w:rPr>
          <w:color w:val="000000"/>
          <w:sz w:val="24"/>
          <w:szCs w:val="24"/>
        </w:rPr>
        <w:t>r and should be considered in the plans. In this FR, support is to maintain the ITIS and support the designing of the DOH enterprise architecture to leverage the ITIS and other functioning information systems. On a related note, several digital solutions w</w:t>
      </w:r>
      <w:r>
        <w:rPr>
          <w:color w:val="000000"/>
          <w:sz w:val="24"/>
          <w:szCs w:val="24"/>
        </w:rPr>
        <w:t xml:space="preserve">ere tested and mainstreamed in the NTP including: </w:t>
      </w:r>
      <w:proofErr w:type="spellStart"/>
      <w:r>
        <w:rPr>
          <w:color w:val="000000"/>
          <w:sz w:val="24"/>
          <w:szCs w:val="24"/>
        </w:rPr>
        <w:t>CureAI</w:t>
      </w:r>
      <w:proofErr w:type="spellEnd"/>
      <w:r>
        <w:rPr>
          <w:color w:val="000000"/>
          <w:sz w:val="24"/>
          <w:szCs w:val="24"/>
        </w:rPr>
        <w:t xml:space="preserve">, </w:t>
      </w:r>
      <w:proofErr w:type="spellStart"/>
      <w:r>
        <w:rPr>
          <w:color w:val="000000"/>
          <w:sz w:val="24"/>
          <w:szCs w:val="24"/>
        </w:rPr>
        <w:t>Everwell</w:t>
      </w:r>
      <w:proofErr w:type="spellEnd"/>
      <w:r>
        <w:rPr>
          <w:color w:val="000000"/>
          <w:sz w:val="24"/>
          <w:szCs w:val="24"/>
        </w:rPr>
        <w:t xml:space="preserve"> Hub smart pillbox, and one Impact App. Support for these are included in this FR.   </w:t>
      </w:r>
    </w:p>
    <w:p w14:paraId="1732A3D4" w14:textId="77777777" w:rsidR="00155420" w:rsidRDefault="00E84F93">
      <w:pPr>
        <w:pStyle w:val="Heading2"/>
        <w:numPr>
          <w:ilvl w:val="1"/>
          <w:numId w:val="38"/>
        </w:numPr>
      </w:pPr>
      <w:r>
        <w:t>Lessons Learned</w:t>
      </w:r>
    </w:p>
    <w:p w14:paraId="0CC3CA9E" w14:textId="4060E4E9" w:rsidR="00155420" w:rsidRDefault="00E84F93">
      <w:pPr>
        <w:numPr>
          <w:ilvl w:val="0"/>
          <w:numId w:val="19"/>
        </w:numPr>
        <w:pBdr>
          <w:top w:val="nil"/>
          <w:left w:val="nil"/>
          <w:bottom w:val="nil"/>
          <w:right w:val="nil"/>
          <w:between w:val="nil"/>
        </w:pBdr>
        <w:spacing w:line="264" w:lineRule="auto"/>
      </w:pPr>
      <w:r>
        <w:rPr>
          <w:color w:val="000000"/>
          <w:sz w:val="24"/>
          <w:szCs w:val="24"/>
        </w:rPr>
        <w:t>USAID TB Innovations &amp; Health Systems Strengthening Project conducted an independent ana</w:t>
      </w:r>
      <w:r>
        <w:rPr>
          <w:color w:val="000000"/>
          <w:sz w:val="24"/>
          <w:szCs w:val="24"/>
        </w:rPr>
        <w:t>lysis of selected case-finding models in 2021 for the Philippines NTP (</w:t>
      </w:r>
      <w:r w:rsidR="00D76F5A">
        <w:rPr>
          <w:color w:val="000000"/>
          <w:sz w:val="24"/>
          <w:szCs w:val="24"/>
        </w:rPr>
        <w:t>Annex 14</w:t>
      </w:r>
      <w:r>
        <w:rPr>
          <w:color w:val="000000"/>
          <w:sz w:val="24"/>
          <w:szCs w:val="24"/>
        </w:rPr>
        <w:t xml:space="preserve">) with the recommendations for specific scenarios as detailed below.  </w:t>
      </w:r>
    </w:p>
    <w:p w14:paraId="4E40D7A1" w14:textId="77777777" w:rsidR="00155420" w:rsidRDefault="00E84F93">
      <w:pPr>
        <w:numPr>
          <w:ilvl w:val="1"/>
          <w:numId w:val="19"/>
        </w:numPr>
        <w:pBdr>
          <w:top w:val="nil"/>
          <w:left w:val="nil"/>
          <w:bottom w:val="nil"/>
          <w:right w:val="nil"/>
          <w:between w:val="nil"/>
        </w:pBdr>
        <w:spacing w:line="264" w:lineRule="auto"/>
      </w:pPr>
      <w:r>
        <w:rPr>
          <w:color w:val="000000"/>
          <w:sz w:val="24"/>
          <w:szCs w:val="24"/>
        </w:rPr>
        <w:t>For all jails/prisons, institutionalize TB active case finding, testing, and treatment as part of inmates’</w:t>
      </w:r>
      <w:r>
        <w:rPr>
          <w:color w:val="000000"/>
          <w:sz w:val="24"/>
          <w:szCs w:val="24"/>
        </w:rPr>
        <w:t xml:space="preserve"> routine health care packages. </w:t>
      </w:r>
      <w:r>
        <w:rPr>
          <w:color w:val="FF0000"/>
          <w:sz w:val="24"/>
          <w:szCs w:val="24"/>
        </w:rPr>
        <w:t>[Adopted in Module 4: KVP]</w:t>
      </w:r>
    </w:p>
    <w:p w14:paraId="289D193A" w14:textId="77777777" w:rsidR="00155420" w:rsidRDefault="00E84F93">
      <w:pPr>
        <w:numPr>
          <w:ilvl w:val="1"/>
          <w:numId w:val="19"/>
        </w:numPr>
        <w:pBdr>
          <w:top w:val="nil"/>
          <w:left w:val="nil"/>
          <w:bottom w:val="nil"/>
          <w:right w:val="nil"/>
          <w:between w:val="nil"/>
        </w:pBdr>
        <w:spacing w:line="264" w:lineRule="auto"/>
      </w:pPr>
      <w:r>
        <w:rPr>
          <w:color w:val="000000"/>
          <w:sz w:val="24"/>
          <w:szCs w:val="24"/>
        </w:rPr>
        <w:t>For public and private TB care facilities, integrate the CXR voucher system to improve case finding.</w:t>
      </w:r>
      <w:r>
        <w:rPr>
          <w:color w:val="FF0000"/>
          <w:sz w:val="24"/>
          <w:szCs w:val="24"/>
        </w:rPr>
        <w:t xml:space="preserve"> [Adopted in Module 3: CWOPS]</w:t>
      </w:r>
    </w:p>
    <w:p w14:paraId="2DDD8277" w14:textId="77777777" w:rsidR="00155420" w:rsidRDefault="00E84F93">
      <w:pPr>
        <w:numPr>
          <w:ilvl w:val="1"/>
          <w:numId w:val="19"/>
        </w:numPr>
        <w:pBdr>
          <w:top w:val="nil"/>
          <w:left w:val="nil"/>
          <w:bottom w:val="nil"/>
          <w:right w:val="nil"/>
          <w:between w:val="nil"/>
        </w:pBdr>
        <w:spacing w:line="264" w:lineRule="auto"/>
      </w:pPr>
      <w:r>
        <w:rPr>
          <w:color w:val="000000"/>
          <w:sz w:val="24"/>
          <w:szCs w:val="24"/>
        </w:rPr>
        <w:t>For workplaces, focus only on active case finding in industries with</w:t>
      </w:r>
      <w:r>
        <w:rPr>
          <w:color w:val="000000"/>
          <w:sz w:val="24"/>
          <w:szCs w:val="24"/>
        </w:rPr>
        <w:t xml:space="preserve"> a workforce at high risk of TB infection (miners, asbestos handlers, health care workers, etc.) </w:t>
      </w:r>
    </w:p>
    <w:p w14:paraId="25E2D225" w14:textId="77777777" w:rsidR="00155420" w:rsidRDefault="00E84F93">
      <w:pPr>
        <w:numPr>
          <w:ilvl w:val="1"/>
          <w:numId w:val="19"/>
        </w:numPr>
        <w:pBdr>
          <w:top w:val="nil"/>
          <w:left w:val="nil"/>
          <w:bottom w:val="nil"/>
          <w:right w:val="nil"/>
          <w:between w:val="nil"/>
        </w:pBdr>
        <w:spacing w:line="264" w:lineRule="auto"/>
      </w:pPr>
      <w:r>
        <w:rPr>
          <w:color w:val="000000"/>
          <w:sz w:val="24"/>
          <w:szCs w:val="24"/>
        </w:rPr>
        <w:t xml:space="preserve">For high-risk groups, pursue a one-stop-shop model in settings where they congregate. </w:t>
      </w:r>
      <w:r>
        <w:rPr>
          <w:color w:val="FF0000"/>
          <w:sz w:val="24"/>
          <w:szCs w:val="24"/>
        </w:rPr>
        <w:t>[Adopted in Module 5: TB/HIV]</w:t>
      </w:r>
    </w:p>
    <w:p w14:paraId="09A490CA" w14:textId="77777777" w:rsidR="00155420" w:rsidRDefault="00E84F93">
      <w:pPr>
        <w:numPr>
          <w:ilvl w:val="1"/>
          <w:numId w:val="19"/>
        </w:numPr>
        <w:pBdr>
          <w:top w:val="nil"/>
          <w:left w:val="nil"/>
          <w:bottom w:val="nil"/>
          <w:right w:val="nil"/>
          <w:between w:val="nil"/>
        </w:pBdr>
        <w:spacing w:line="264" w:lineRule="auto"/>
      </w:pPr>
      <w:r>
        <w:rPr>
          <w:color w:val="000000"/>
          <w:sz w:val="24"/>
          <w:szCs w:val="24"/>
        </w:rPr>
        <w:t xml:space="preserve">For high-population density communities &amp; GIDA areas, pursue one-stop-shop models, practically bringing the TB service package to their doorstep. </w:t>
      </w:r>
      <w:r>
        <w:rPr>
          <w:color w:val="FF0000"/>
          <w:sz w:val="24"/>
          <w:szCs w:val="24"/>
        </w:rPr>
        <w:t>[Adopted in Module 4:KVP]</w:t>
      </w:r>
    </w:p>
    <w:p w14:paraId="09534378" w14:textId="71F6B4D7" w:rsidR="00155420" w:rsidRDefault="00E84F93">
      <w:pPr>
        <w:numPr>
          <w:ilvl w:val="0"/>
          <w:numId w:val="19"/>
        </w:numPr>
        <w:pBdr>
          <w:top w:val="nil"/>
          <w:left w:val="nil"/>
          <w:bottom w:val="nil"/>
          <w:right w:val="nil"/>
          <w:between w:val="nil"/>
        </w:pBdr>
        <w:spacing w:line="264" w:lineRule="auto"/>
      </w:pPr>
      <w:r>
        <w:rPr>
          <w:color w:val="000000"/>
          <w:sz w:val="24"/>
          <w:szCs w:val="24"/>
        </w:rPr>
        <w:t xml:space="preserve">USAID </w:t>
      </w:r>
      <w:proofErr w:type="spellStart"/>
      <w:r>
        <w:rPr>
          <w:color w:val="000000"/>
          <w:sz w:val="24"/>
          <w:szCs w:val="24"/>
        </w:rPr>
        <w:t>CLAimHealth</w:t>
      </w:r>
      <w:proofErr w:type="spellEnd"/>
      <w:r>
        <w:rPr>
          <w:color w:val="000000"/>
          <w:sz w:val="24"/>
          <w:szCs w:val="24"/>
        </w:rPr>
        <w:t xml:space="preserve"> Project conducted a study in 2022 to determine the cost-effectiven</w:t>
      </w:r>
      <w:r>
        <w:rPr>
          <w:color w:val="000000"/>
          <w:sz w:val="24"/>
          <w:szCs w:val="24"/>
        </w:rPr>
        <w:t>ess of CXR with AI-Powered Computer-Aided Detection (</w:t>
      </w:r>
      <w:r w:rsidR="00D76F5A">
        <w:rPr>
          <w:color w:val="000000"/>
          <w:sz w:val="24"/>
          <w:szCs w:val="24"/>
        </w:rPr>
        <w:t>Annex 15</w:t>
      </w:r>
      <w:r>
        <w:rPr>
          <w:color w:val="000000"/>
          <w:sz w:val="24"/>
          <w:szCs w:val="24"/>
        </w:rPr>
        <w:t>). The result supports AI for CXR screening for TB is encouraged primarily because it is relatively cheaper and faster. However, financing for initial investment and determining acceptability amo</w:t>
      </w:r>
      <w:r>
        <w:rPr>
          <w:color w:val="000000"/>
          <w:sz w:val="24"/>
          <w:szCs w:val="24"/>
        </w:rPr>
        <w:t xml:space="preserve">ng practitioners should be considered. </w:t>
      </w:r>
      <w:r>
        <w:rPr>
          <w:color w:val="FF0000"/>
          <w:sz w:val="24"/>
          <w:szCs w:val="24"/>
        </w:rPr>
        <w:t>[Adopted in Modules 3 and 4]</w:t>
      </w:r>
      <w:r>
        <w:rPr>
          <w:color w:val="000000"/>
          <w:sz w:val="24"/>
          <w:szCs w:val="24"/>
        </w:rPr>
        <w:t xml:space="preserve"> </w:t>
      </w:r>
    </w:p>
    <w:p w14:paraId="5A4FFAE7" w14:textId="6D6209C7" w:rsidR="00155420" w:rsidRDefault="00E84F93">
      <w:pPr>
        <w:numPr>
          <w:ilvl w:val="0"/>
          <w:numId w:val="19"/>
        </w:numPr>
        <w:pBdr>
          <w:top w:val="nil"/>
          <w:left w:val="nil"/>
          <w:bottom w:val="nil"/>
          <w:right w:val="nil"/>
          <w:between w:val="nil"/>
        </w:pBdr>
        <w:spacing w:line="264" w:lineRule="auto"/>
      </w:pPr>
      <w:r>
        <w:rPr>
          <w:color w:val="000000"/>
          <w:sz w:val="24"/>
          <w:szCs w:val="24"/>
        </w:rPr>
        <w:lastRenderedPageBreak/>
        <w:t>The WHO Philippines reviewed the specimen and commodity transport riders (STRIDERS) and reported that it significantly increased access to RDT for TB (</w:t>
      </w:r>
      <w:r w:rsidR="00D76F5A">
        <w:rPr>
          <w:color w:val="000000"/>
          <w:sz w:val="24"/>
          <w:szCs w:val="24"/>
        </w:rPr>
        <w:t>Annex 16</w:t>
      </w:r>
      <w:r>
        <w:rPr>
          <w:color w:val="000000"/>
          <w:sz w:val="24"/>
          <w:szCs w:val="24"/>
        </w:rPr>
        <w:t xml:space="preserve">). </w:t>
      </w:r>
      <w:r>
        <w:rPr>
          <w:color w:val="FF0000"/>
          <w:sz w:val="24"/>
          <w:szCs w:val="24"/>
        </w:rPr>
        <w:t>[Adopted in Module 12: RS</w:t>
      </w:r>
      <w:r>
        <w:rPr>
          <w:color w:val="FF0000"/>
          <w:sz w:val="24"/>
          <w:szCs w:val="24"/>
        </w:rPr>
        <w:t>SH/PP Laboratory Systems]</w:t>
      </w:r>
    </w:p>
    <w:p w14:paraId="4959657B" w14:textId="249759A7" w:rsidR="00155420" w:rsidRDefault="00E84F93">
      <w:pPr>
        <w:numPr>
          <w:ilvl w:val="0"/>
          <w:numId w:val="19"/>
        </w:numPr>
        <w:pBdr>
          <w:top w:val="nil"/>
          <w:left w:val="nil"/>
          <w:bottom w:val="nil"/>
          <w:right w:val="nil"/>
          <w:between w:val="nil"/>
        </w:pBdr>
        <w:spacing w:line="264" w:lineRule="auto"/>
      </w:pPr>
      <w:r>
        <w:rPr>
          <w:color w:val="000000"/>
          <w:sz w:val="24"/>
          <w:szCs w:val="24"/>
        </w:rPr>
        <w:t>Findings from the BPAL operational research (</w:t>
      </w:r>
      <w:r w:rsidR="00D76F5A">
        <w:rPr>
          <w:color w:val="000000"/>
          <w:sz w:val="24"/>
          <w:szCs w:val="24"/>
        </w:rPr>
        <w:t>Annex 17</w:t>
      </w:r>
      <w:r>
        <w:rPr>
          <w:color w:val="000000"/>
          <w:sz w:val="24"/>
          <w:szCs w:val="24"/>
        </w:rPr>
        <w:t xml:space="preserve">) confirm that patients' shorter treatment regimen for DRTB has been well received, resulting in an improved treatment success rate of 76% in 2021.  </w:t>
      </w:r>
      <w:r>
        <w:rPr>
          <w:color w:val="FF0000"/>
          <w:sz w:val="24"/>
          <w:szCs w:val="24"/>
        </w:rPr>
        <w:t>[Adopted in Module 1: DRTB D</w:t>
      </w:r>
      <w:r>
        <w:rPr>
          <w:color w:val="FF0000"/>
          <w:sz w:val="24"/>
          <w:szCs w:val="24"/>
        </w:rPr>
        <w:t>TS]</w:t>
      </w:r>
      <w:r>
        <w:rPr>
          <w:color w:val="000000"/>
          <w:sz w:val="24"/>
          <w:szCs w:val="24"/>
        </w:rPr>
        <w:t xml:space="preserve"> </w:t>
      </w:r>
    </w:p>
    <w:p w14:paraId="0596F94D" w14:textId="77777777" w:rsidR="00155420" w:rsidRDefault="00E84F93">
      <w:pPr>
        <w:numPr>
          <w:ilvl w:val="0"/>
          <w:numId w:val="19"/>
        </w:numPr>
        <w:pBdr>
          <w:top w:val="nil"/>
          <w:left w:val="nil"/>
          <w:bottom w:val="nil"/>
          <w:right w:val="nil"/>
          <w:between w:val="nil"/>
        </w:pBdr>
        <w:spacing w:line="264" w:lineRule="auto"/>
      </w:pPr>
      <w:r>
        <w:rPr>
          <w:color w:val="000000"/>
          <w:sz w:val="24"/>
          <w:szCs w:val="24"/>
        </w:rPr>
        <w:t>The 1</w:t>
      </w:r>
      <w:r>
        <w:rPr>
          <w:color w:val="000000"/>
          <w:sz w:val="24"/>
          <w:szCs w:val="24"/>
          <w:vertAlign w:val="superscript"/>
        </w:rPr>
        <w:t>st</w:t>
      </w:r>
      <w:r>
        <w:rPr>
          <w:color w:val="000000"/>
          <w:sz w:val="24"/>
          <w:szCs w:val="24"/>
        </w:rPr>
        <w:t xml:space="preserve"> monitoring mission on the implementation of iDOTS Phase 2 confirm that DR TB care can be integrated with DS Tb care in primary care facilities. </w:t>
      </w:r>
      <w:r>
        <w:rPr>
          <w:color w:val="FF0000"/>
          <w:sz w:val="24"/>
          <w:szCs w:val="24"/>
        </w:rPr>
        <w:t>[Adopted in Module 1: DRTB DTS]</w:t>
      </w:r>
    </w:p>
    <w:p w14:paraId="0BE6BBBE" w14:textId="12AA98E5" w:rsidR="00155420" w:rsidRDefault="00E84F93">
      <w:pPr>
        <w:numPr>
          <w:ilvl w:val="0"/>
          <w:numId w:val="19"/>
        </w:numPr>
        <w:pBdr>
          <w:top w:val="nil"/>
          <w:left w:val="nil"/>
          <w:bottom w:val="nil"/>
          <w:right w:val="nil"/>
          <w:between w:val="nil"/>
        </w:pBdr>
        <w:spacing w:line="264" w:lineRule="auto"/>
      </w:pPr>
      <w:r>
        <w:rPr>
          <w:color w:val="000000"/>
          <w:sz w:val="24"/>
          <w:szCs w:val="24"/>
        </w:rPr>
        <w:t xml:space="preserve">KNCV </w:t>
      </w:r>
      <w:r>
        <w:rPr>
          <w:sz w:val="24"/>
          <w:szCs w:val="24"/>
        </w:rPr>
        <w:t>implemented the Adherence</w:t>
      </w:r>
      <w:r>
        <w:rPr>
          <w:color w:val="000000"/>
          <w:sz w:val="24"/>
          <w:szCs w:val="24"/>
        </w:rPr>
        <w:t xml:space="preserve"> Support Coalition to End TB (ASCENT)</w:t>
      </w:r>
      <w:r>
        <w:rPr>
          <w:color w:val="000000"/>
          <w:sz w:val="24"/>
          <w:szCs w:val="24"/>
        </w:rPr>
        <w:t xml:space="preserve"> project to facilitate the global uptake of digital adherence tools (DAT) and generate evidence for optimal use and scale-up. For the Philippines, DAT implementation is patient-friendly and feasible to scale up. (</w:t>
      </w:r>
      <w:r w:rsidR="00D76F5A">
        <w:rPr>
          <w:color w:val="000000"/>
          <w:sz w:val="24"/>
          <w:szCs w:val="24"/>
        </w:rPr>
        <w:t>Annex 18</w:t>
      </w:r>
      <w:r>
        <w:rPr>
          <w:color w:val="000000"/>
          <w:sz w:val="24"/>
          <w:szCs w:val="24"/>
        </w:rPr>
        <w:t>)</w:t>
      </w:r>
      <w:r>
        <w:rPr>
          <w:color w:val="FF0000"/>
          <w:sz w:val="24"/>
          <w:szCs w:val="24"/>
        </w:rPr>
        <w:t xml:space="preserve"> [Adopted in Module 1: DRTB DTS]</w:t>
      </w:r>
    </w:p>
    <w:p w14:paraId="2DBD276A" w14:textId="77777777" w:rsidR="00155420" w:rsidRDefault="00E84F93">
      <w:pPr>
        <w:numPr>
          <w:ilvl w:val="0"/>
          <w:numId w:val="19"/>
        </w:numPr>
        <w:pBdr>
          <w:top w:val="nil"/>
          <w:left w:val="nil"/>
          <w:bottom w:val="nil"/>
          <w:right w:val="nil"/>
          <w:between w:val="nil"/>
        </w:pBdr>
        <w:spacing w:line="264" w:lineRule="auto"/>
      </w:pPr>
      <w:r>
        <w:rPr>
          <w:color w:val="000000"/>
          <w:sz w:val="24"/>
          <w:szCs w:val="24"/>
        </w:rPr>
        <w:t xml:space="preserve">The WHO recommends adoption of shorter TB preventive Therapy and initial implementation in 2022 showed better acceptance of 3HP among target clients. </w:t>
      </w:r>
      <w:r>
        <w:rPr>
          <w:color w:val="FF0000"/>
          <w:sz w:val="24"/>
          <w:szCs w:val="24"/>
        </w:rPr>
        <w:t>[Adopted in Module 2: TB/DR TB Prevention]</w:t>
      </w:r>
    </w:p>
    <w:p w14:paraId="4C9DDA9C" w14:textId="77777777" w:rsidR="00155420" w:rsidRDefault="00E84F93">
      <w:pPr>
        <w:numPr>
          <w:ilvl w:val="0"/>
          <w:numId w:val="19"/>
        </w:numPr>
        <w:pBdr>
          <w:top w:val="nil"/>
          <w:left w:val="nil"/>
          <w:bottom w:val="nil"/>
          <w:right w:val="nil"/>
          <w:between w:val="nil"/>
        </w:pBdr>
        <w:spacing w:line="264" w:lineRule="auto"/>
      </w:pPr>
      <w:r>
        <w:rPr>
          <w:color w:val="000000"/>
          <w:sz w:val="24"/>
          <w:szCs w:val="24"/>
        </w:rPr>
        <w:t xml:space="preserve">The WHO recommends the introduction of IGRA and </w:t>
      </w:r>
      <w:proofErr w:type="spellStart"/>
      <w:r>
        <w:rPr>
          <w:color w:val="000000"/>
          <w:sz w:val="24"/>
          <w:szCs w:val="24"/>
        </w:rPr>
        <w:t>TruNat</w:t>
      </w:r>
      <w:proofErr w:type="spellEnd"/>
      <w:r>
        <w:rPr>
          <w:color w:val="000000"/>
          <w:sz w:val="24"/>
          <w:szCs w:val="24"/>
        </w:rPr>
        <w:t xml:space="preserve">. </w:t>
      </w:r>
      <w:r>
        <w:rPr>
          <w:color w:val="FF0000"/>
          <w:sz w:val="24"/>
          <w:szCs w:val="24"/>
        </w:rPr>
        <w:t>[PAAR]</w:t>
      </w:r>
      <w:r>
        <w:rPr>
          <w:color w:val="000000"/>
          <w:sz w:val="24"/>
          <w:szCs w:val="24"/>
        </w:rPr>
        <w:t xml:space="preserve"> </w:t>
      </w:r>
      <w:r>
        <w:rPr>
          <w:color w:val="000000"/>
          <w:sz w:val="24"/>
          <w:szCs w:val="24"/>
        </w:rPr>
        <w:t xml:space="preserve">   </w:t>
      </w:r>
    </w:p>
    <w:p w14:paraId="5ED868FD" w14:textId="77777777" w:rsidR="00155420" w:rsidRDefault="00E84F93">
      <w:pPr>
        <w:numPr>
          <w:ilvl w:val="0"/>
          <w:numId w:val="19"/>
        </w:numPr>
        <w:pBdr>
          <w:top w:val="nil"/>
          <w:left w:val="nil"/>
          <w:bottom w:val="nil"/>
          <w:right w:val="nil"/>
          <w:between w:val="nil"/>
        </w:pBdr>
        <w:spacing w:line="264" w:lineRule="auto"/>
      </w:pPr>
      <w:r>
        <w:rPr>
          <w:color w:val="000000"/>
          <w:sz w:val="24"/>
          <w:szCs w:val="24"/>
        </w:rPr>
        <w:t xml:space="preserve">The </w:t>
      </w:r>
      <w:proofErr w:type="spellStart"/>
      <w:r>
        <w:rPr>
          <w:color w:val="000000"/>
          <w:sz w:val="24"/>
          <w:szCs w:val="24"/>
        </w:rPr>
        <w:t>rGLC</w:t>
      </w:r>
      <w:proofErr w:type="spellEnd"/>
      <w:r>
        <w:rPr>
          <w:color w:val="000000"/>
          <w:sz w:val="24"/>
          <w:szCs w:val="24"/>
        </w:rPr>
        <w:t xml:space="preserve"> recommended scale up mandatory case notification and outcome reporting in their 2022 mission. </w:t>
      </w:r>
      <w:r>
        <w:rPr>
          <w:color w:val="FF0000"/>
          <w:sz w:val="24"/>
          <w:szCs w:val="24"/>
        </w:rPr>
        <w:t>[Adopted in Module 3: CWOPS-Private Sector]</w:t>
      </w:r>
    </w:p>
    <w:p w14:paraId="2F409557" w14:textId="77777777" w:rsidR="00155420" w:rsidRDefault="00E84F93">
      <w:pPr>
        <w:numPr>
          <w:ilvl w:val="0"/>
          <w:numId w:val="19"/>
        </w:numPr>
        <w:pBdr>
          <w:top w:val="nil"/>
          <w:left w:val="nil"/>
          <w:bottom w:val="nil"/>
          <w:right w:val="nil"/>
          <w:between w:val="nil"/>
        </w:pBdr>
        <w:spacing w:line="264" w:lineRule="auto"/>
        <w:rPr>
          <w:color w:val="000000"/>
          <w:sz w:val="24"/>
          <w:szCs w:val="24"/>
        </w:rPr>
      </w:pPr>
      <w:r>
        <w:rPr>
          <w:color w:val="000000"/>
          <w:sz w:val="24"/>
          <w:szCs w:val="24"/>
        </w:rPr>
        <w:t>The JPR 2022 recommended increasing private sector access to RDTs for TB diagnosis. This recommendation a</w:t>
      </w:r>
      <w:r>
        <w:rPr>
          <w:color w:val="000000"/>
          <w:sz w:val="24"/>
          <w:szCs w:val="24"/>
        </w:rPr>
        <w:t>lso responds to address high proportion of clinically diagnosed TB cases among notified cases from the private sector.</w:t>
      </w:r>
      <w:r>
        <w:rPr>
          <w:color w:val="FF0000"/>
          <w:sz w:val="24"/>
          <w:szCs w:val="24"/>
        </w:rPr>
        <w:t xml:space="preserve"> [Adopted in Module 3: CWOPS-Private Sector]</w:t>
      </w:r>
    </w:p>
    <w:p w14:paraId="5BAE05DE" w14:textId="77777777" w:rsidR="00155420" w:rsidRDefault="00E84F93">
      <w:pPr>
        <w:pStyle w:val="Heading2"/>
        <w:numPr>
          <w:ilvl w:val="1"/>
          <w:numId w:val="38"/>
        </w:numPr>
      </w:pPr>
      <w:r>
        <w:t>Focus of Application Requirements</w:t>
      </w:r>
    </w:p>
    <w:p w14:paraId="3E23F8A1"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 xml:space="preserve">The FR is consistent with GF’s new strategy for TB. </w:t>
      </w:r>
      <w:r>
        <w:rPr>
          <w:color w:val="000000"/>
          <w:sz w:val="24"/>
          <w:szCs w:val="24"/>
        </w:rPr>
        <w:t>Specifically, the TB FR for 2024-2026 will focus on the following:</w:t>
      </w:r>
    </w:p>
    <w:p w14:paraId="0506104F" w14:textId="77777777" w:rsidR="00155420" w:rsidRDefault="00E84F93">
      <w:pPr>
        <w:numPr>
          <w:ilvl w:val="0"/>
          <w:numId w:val="20"/>
        </w:numPr>
        <w:pBdr>
          <w:top w:val="nil"/>
          <w:left w:val="nil"/>
          <w:bottom w:val="nil"/>
          <w:right w:val="nil"/>
          <w:between w:val="nil"/>
        </w:pBdr>
        <w:spacing w:line="264" w:lineRule="auto"/>
        <w:rPr>
          <w:color w:val="000000"/>
          <w:sz w:val="24"/>
          <w:szCs w:val="24"/>
        </w:rPr>
      </w:pPr>
      <w:r>
        <w:rPr>
          <w:color w:val="000000"/>
          <w:sz w:val="24"/>
          <w:szCs w:val="24"/>
        </w:rPr>
        <w:t>Increasing TB screening among KVPs by improving access to free X-rays and the use of CAD</w:t>
      </w:r>
    </w:p>
    <w:p w14:paraId="54AC55AE" w14:textId="77777777" w:rsidR="00155420" w:rsidRDefault="00E84F93">
      <w:pPr>
        <w:numPr>
          <w:ilvl w:val="0"/>
          <w:numId w:val="20"/>
        </w:numPr>
        <w:pBdr>
          <w:top w:val="nil"/>
          <w:left w:val="nil"/>
          <w:bottom w:val="nil"/>
          <w:right w:val="nil"/>
          <w:between w:val="nil"/>
        </w:pBdr>
        <w:spacing w:line="264" w:lineRule="auto"/>
        <w:rPr>
          <w:color w:val="000000"/>
          <w:sz w:val="24"/>
          <w:szCs w:val="24"/>
        </w:rPr>
      </w:pPr>
      <w:r>
        <w:rPr>
          <w:color w:val="000000"/>
          <w:sz w:val="24"/>
          <w:szCs w:val="24"/>
        </w:rPr>
        <w:t xml:space="preserve">Scaling up access to RDT for primary TB diagnosis among public and private TB care providers. </w:t>
      </w:r>
    </w:p>
    <w:p w14:paraId="725FC9C7" w14:textId="77777777" w:rsidR="00155420" w:rsidRDefault="00E84F93">
      <w:pPr>
        <w:numPr>
          <w:ilvl w:val="0"/>
          <w:numId w:val="20"/>
        </w:numPr>
        <w:pBdr>
          <w:top w:val="nil"/>
          <w:left w:val="nil"/>
          <w:bottom w:val="nil"/>
          <w:right w:val="nil"/>
          <w:between w:val="nil"/>
        </w:pBdr>
        <w:spacing w:line="264" w:lineRule="auto"/>
        <w:rPr>
          <w:color w:val="000000"/>
          <w:sz w:val="24"/>
          <w:szCs w:val="24"/>
        </w:rPr>
      </w:pPr>
      <w:r>
        <w:rPr>
          <w:color w:val="000000"/>
          <w:sz w:val="24"/>
          <w:szCs w:val="24"/>
        </w:rPr>
        <w:t>Mains</w:t>
      </w:r>
      <w:r>
        <w:rPr>
          <w:color w:val="000000"/>
          <w:sz w:val="24"/>
          <w:szCs w:val="24"/>
        </w:rPr>
        <w:t>treaming shorter all-oral regimen for DR TB treatment and DAT for better treatment adherence.</w:t>
      </w:r>
    </w:p>
    <w:p w14:paraId="5FCCC1C4" w14:textId="77777777" w:rsidR="00155420" w:rsidRDefault="00E84F93">
      <w:pPr>
        <w:numPr>
          <w:ilvl w:val="0"/>
          <w:numId w:val="20"/>
        </w:numPr>
        <w:pBdr>
          <w:top w:val="nil"/>
          <w:left w:val="nil"/>
          <w:bottom w:val="nil"/>
          <w:right w:val="nil"/>
          <w:between w:val="nil"/>
        </w:pBdr>
        <w:spacing w:line="264" w:lineRule="auto"/>
        <w:rPr>
          <w:color w:val="000000"/>
          <w:sz w:val="24"/>
          <w:szCs w:val="24"/>
        </w:rPr>
      </w:pPr>
      <w:r>
        <w:rPr>
          <w:color w:val="000000"/>
          <w:sz w:val="24"/>
          <w:szCs w:val="24"/>
        </w:rPr>
        <w:t xml:space="preserve">Addressing bottlenecks to increase TPT uptake for prevention, including mainstreaming the use of 3HP. </w:t>
      </w:r>
    </w:p>
    <w:p w14:paraId="4D325A63" w14:textId="77777777" w:rsidR="00155420" w:rsidRDefault="00E84F93">
      <w:pPr>
        <w:numPr>
          <w:ilvl w:val="0"/>
          <w:numId w:val="20"/>
        </w:numPr>
        <w:pBdr>
          <w:top w:val="nil"/>
          <w:left w:val="nil"/>
          <w:bottom w:val="nil"/>
          <w:right w:val="nil"/>
          <w:between w:val="nil"/>
        </w:pBdr>
        <w:spacing w:line="264" w:lineRule="auto"/>
        <w:rPr>
          <w:color w:val="000000"/>
          <w:sz w:val="24"/>
          <w:szCs w:val="24"/>
        </w:rPr>
      </w:pPr>
      <w:r>
        <w:rPr>
          <w:color w:val="000000"/>
          <w:sz w:val="24"/>
          <w:szCs w:val="24"/>
        </w:rPr>
        <w:t>Stronger engagement of CBOs and CSOs in health governance &amp;</w:t>
      </w:r>
      <w:r>
        <w:rPr>
          <w:color w:val="000000"/>
          <w:sz w:val="24"/>
          <w:szCs w:val="24"/>
        </w:rPr>
        <w:t xml:space="preserve"> planning, advocacy &amp; communication, reducing HRG barriers, and being part of the primary care service delivery network. </w:t>
      </w:r>
    </w:p>
    <w:p w14:paraId="1FC26E2B" w14:textId="77777777" w:rsidR="00155420" w:rsidRDefault="00E84F93">
      <w:pPr>
        <w:numPr>
          <w:ilvl w:val="0"/>
          <w:numId w:val="20"/>
        </w:numPr>
        <w:pBdr>
          <w:top w:val="nil"/>
          <w:left w:val="nil"/>
          <w:bottom w:val="nil"/>
          <w:right w:val="nil"/>
          <w:between w:val="nil"/>
        </w:pBdr>
        <w:spacing w:line="264" w:lineRule="auto"/>
        <w:rPr>
          <w:color w:val="000000"/>
          <w:sz w:val="24"/>
          <w:szCs w:val="24"/>
        </w:rPr>
      </w:pPr>
      <w:r>
        <w:rPr>
          <w:color w:val="000000"/>
          <w:sz w:val="24"/>
          <w:szCs w:val="24"/>
        </w:rPr>
        <w:lastRenderedPageBreak/>
        <w:t xml:space="preserve">Strategic support </w:t>
      </w:r>
      <w:r>
        <w:rPr>
          <w:sz w:val="24"/>
          <w:szCs w:val="24"/>
        </w:rPr>
        <w:t>for realizing</w:t>
      </w:r>
      <w:r>
        <w:rPr>
          <w:color w:val="000000"/>
          <w:sz w:val="24"/>
          <w:szCs w:val="24"/>
        </w:rPr>
        <w:t xml:space="preserve"> the UHC law provisions at the local levels, particularly in strengthening local government units in he</w:t>
      </w:r>
      <w:r>
        <w:rPr>
          <w:color w:val="000000"/>
          <w:sz w:val="24"/>
          <w:szCs w:val="24"/>
        </w:rPr>
        <w:t xml:space="preserve">alth governance and planning, financial management, and PSCM.  </w:t>
      </w:r>
    </w:p>
    <w:p w14:paraId="0109382C"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 xml:space="preserve">     </w:t>
      </w:r>
    </w:p>
    <w:p w14:paraId="59BCAD93" w14:textId="77777777" w:rsidR="00155420" w:rsidRDefault="00E84F93">
      <w:pPr>
        <w:pStyle w:val="Heading2"/>
        <w:numPr>
          <w:ilvl w:val="1"/>
          <w:numId w:val="38"/>
        </w:numPr>
      </w:pPr>
      <w:r>
        <w:t>Matching Funds (if applicable)</w:t>
      </w:r>
    </w:p>
    <w:p w14:paraId="365BC615" w14:textId="64F2ABEA" w:rsidR="00155420" w:rsidRDefault="00E84F93">
      <w:pPr>
        <w:pBdr>
          <w:top w:val="nil"/>
          <w:left w:val="nil"/>
          <w:bottom w:val="nil"/>
          <w:right w:val="nil"/>
          <w:between w:val="nil"/>
        </w:pBdr>
        <w:spacing w:line="264" w:lineRule="auto"/>
        <w:rPr>
          <w:color w:val="000000"/>
          <w:sz w:val="24"/>
          <w:szCs w:val="24"/>
        </w:rPr>
      </w:pPr>
      <w:r>
        <w:rPr>
          <w:color w:val="000000"/>
          <w:sz w:val="24"/>
          <w:szCs w:val="24"/>
        </w:rPr>
        <w:t xml:space="preserve">About </w:t>
      </w:r>
      <w:r w:rsidR="00447C42" w:rsidRPr="00D65121">
        <w:rPr>
          <w:b/>
          <w:bCs/>
          <w:color w:val="000000"/>
        </w:rPr>
        <w:t>USD 14,154,96</w:t>
      </w:r>
      <w:r w:rsidR="00553D94" w:rsidRPr="00D65121">
        <w:rPr>
          <w:b/>
          <w:bCs/>
          <w:color w:val="000000"/>
        </w:rPr>
        <w:t>8</w:t>
      </w:r>
      <w:r w:rsidR="00447C42">
        <w:rPr>
          <w:color w:val="000000"/>
        </w:rPr>
        <w:t xml:space="preserve"> </w:t>
      </w:r>
      <w:r>
        <w:rPr>
          <w:color w:val="000000"/>
          <w:sz w:val="24"/>
          <w:szCs w:val="24"/>
        </w:rPr>
        <w:t>will be invested, including the catalytic matching funds amounting to USD 4M for 2024-2026</w:t>
      </w:r>
      <w:r w:rsidR="00D65121">
        <w:rPr>
          <w:color w:val="000000"/>
          <w:sz w:val="24"/>
          <w:szCs w:val="24"/>
        </w:rPr>
        <w:t xml:space="preserve"> for private sector and CSO/CBO engagement.</w:t>
      </w:r>
    </w:p>
    <w:p w14:paraId="2BCFDDAC" w14:textId="5B444407" w:rsidR="00D65121" w:rsidRPr="00D65121" w:rsidRDefault="00D65121">
      <w:pPr>
        <w:pBdr>
          <w:top w:val="nil"/>
          <w:left w:val="nil"/>
          <w:bottom w:val="nil"/>
          <w:right w:val="nil"/>
          <w:between w:val="nil"/>
        </w:pBdr>
        <w:spacing w:line="264" w:lineRule="auto"/>
        <w:rPr>
          <w:color w:val="000000"/>
          <w:sz w:val="24"/>
          <w:szCs w:val="24"/>
          <w:u w:val="single"/>
        </w:rPr>
      </w:pPr>
      <w:r w:rsidRPr="00D65121">
        <w:rPr>
          <w:color w:val="000000"/>
          <w:sz w:val="24"/>
          <w:szCs w:val="24"/>
          <w:u w:val="single"/>
        </w:rPr>
        <w:t>Private Sector Engagement</w:t>
      </w:r>
    </w:p>
    <w:p w14:paraId="79CAE539"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Private healthcare provider engagement aims to find and successfully treat the missing people with drug-susceptible and drug-resistant TB. More specifically, to increase TB case notification and treatment outcome reporting using G</w:t>
      </w:r>
      <w:r>
        <w:rPr>
          <w:color w:val="000000"/>
          <w:sz w:val="24"/>
          <w:szCs w:val="24"/>
        </w:rPr>
        <w:t xml:space="preserve">eneXpert as the primary diagnostic tool and WHO-recommended treatment regimen. </w:t>
      </w:r>
    </w:p>
    <w:p w14:paraId="30D89C96" w14:textId="33EA8B9C" w:rsidR="00553D94" w:rsidRDefault="00553D94">
      <w:pPr>
        <w:pBdr>
          <w:top w:val="nil"/>
          <w:left w:val="nil"/>
          <w:bottom w:val="nil"/>
          <w:right w:val="nil"/>
          <w:between w:val="nil"/>
        </w:pBdr>
        <w:spacing w:line="264" w:lineRule="auto"/>
        <w:rPr>
          <w:color w:val="000000"/>
          <w:sz w:val="24"/>
          <w:szCs w:val="24"/>
        </w:rPr>
      </w:pPr>
      <w:r>
        <w:rPr>
          <w:color w:val="000000"/>
          <w:sz w:val="24"/>
          <w:szCs w:val="24"/>
        </w:rPr>
        <w:t xml:space="preserve">Under the ongoing GF TB grant (2021-2023), the Prescription for Patient’s Access to Screening Services for TB (RXPASS) mechanism is implemented. The service package for private providers includes: </w:t>
      </w:r>
    </w:p>
    <w:p w14:paraId="33636721" w14:textId="4DF8627B" w:rsidR="00553D94" w:rsidRPr="00BF38D8" w:rsidRDefault="00553D94" w:rsidP="00553D94">
      <w:pPr>
        <w:pStyle w:val="ListParagraph"/>
        <w:numPr>
          <w:ilvl w:val="0"/>
          <w:numId w:val="44"/>
        </w:numPr>
        <w:pBdr>
          <w:top w:val="nil"/>
          <w:left w:val="nil"/>
          <w:bottom w:val="nil"/>
          <w:right w:val="nil"/>
          <w:between w:val="nil"/>
        </w:pBdr>
        <w:spacing w:line="264" w:lineRule="auto"/>
        <w:rPr>
          <w:i/>
          <w:iCs/>
          <w:color w:val="000000"/>
          <w:sz w:val="24"/>
          <w:szCs w:val="24"/>
        </w:rPr>
      </w:pPr>
      <w:r w:rsidRPr="00BF38D8">
        <w:rPr>
          <w:i/>
          <w:iCs/>
          <w:color w:val="000000"/>
          <w:sz w:val="24"/>
          <w:szCs w:val="24"/>
        </w:rPr>
        <w:t xml:space="preserve">Deployment of case 210 notification officers to solicit participation among the private sector to use the ITIS lite for mandatory case notification &amp; treatment outcome reporting. </w:t>
      </w:r>
    </w:p>
    <w:p w14:paraId="4F7ECC82" w14:textId="59A0B02C" w:rsidR="00553D94" w:rsidRPr="00BF38D8" w:rsidRDefault="00553D94" w:rsidP="00553D94">
      <w:pPr>
        <w:pStyle w:val="ListParagraph"/>
        <w:numPr>
          <w:ilvl w:val="0"/>
          <w:numId w:val="44"/>
        </w:numPr>
        <w:pBdr>
          <w:top w:val="nil"/>
          <w:left w:val="nil"/>
          <w:bottom w:val="nil"/>
          <w:right w:val="nil"/>
          <w:between w:val="nil"/>
        </w:pBdr>
        <w:spacing w:line="264" w:lineRule="auto"/>
        <w:rPr>
          <w:i/>
          <w:iCs/>
          <w:color w:val="000000"/>
          <w:sz w:val="24"/>
          <w:szCs w:val="24"/>
        </w:rPr>
      </w:pPr>
      <w:r w:rsidRPr="00BF38D8">
        <w:rPr>
          <w:i/>
          <w:iCs/>
          <w:color w:val="000000"/>
          <w:sz w:val="24"/>
          <w:szCs w:val="24"/>
        </w:rPr>
        <w:t xml:space="preserve">Provision of X-ray vouchers to clients of private providers. </w:t>
      </w:r>
    </w:p>
    <w:p w14:paraId="0BEA593E" w14:textId="4CE6DB7B" w:rsidR="00553D94" w:rsidRPr="00BF38D8" w:rsidRDefault="00553D94" w:rsidP="00553D94">
      <w:pPr>
        <w:pStyle w:val="ListParagraph"/>
        <w:numPr>
          <w:ilvl w:val="0"/>
          <w:numId w:val="44"/>
        </w:numPr>
        <w:pBdr>
          <w:top w:val="nil"/>
          <w:left w:val="nil"/>
          <w:bottom w:val="nil"/>
          <w:right w:val="nil"/>
          <w:between w:val="nil"/>
        </w:pBdr>
        <w:spacing w:line="264" w:lineRule="auto"/>
        <w:rPr>
          <w:i/>
          <w:iCs/>
          <w:color w:val="000000"/>
          <w:sz w:val="24"/>
          <w:szCs w:val="24"/>
        </w:rPr>
      </w:pPr>
      <w:r w:rsidRPr="00BF38D8">
        <w:rPr>
          <w:i/>
          <w:iCs/>
          <w:color w:val="000000"/>
          <w:sz w:val="24"/>
          <w:szCs w:val="24"/>
        </w:rPr>
        <w:t>Optimization of 400 STRIDERS to provide private sector access to RDT sites.</w:t>
      </w:r>
    </w:p>
    <w:p w14:paraId="5C2D2B00" w14:textId="3DE4E15A" w:rsidR="00553D94" w:rsidRPr="00BF38D8" w:rsidRDefault="00553D94" w:rsidP="00553D94">
      <w:pPr>
        <w:pStyle w:val="ListParagraph"/>
        <w:numPr>
          <w:ilvl w:val="0"/>
          <w:numId w:val="44"/>
        </w:numPr>
        <w:pBdr>
          <w:top w:val="nil"/>
          <w:left w:val="nil"/>
          <w:bottom w:val="nil"/>
          <w:right w:val="nil"/>
          <w:between w:val="nil"/>
        </w:pBdr>
        <w:spacing w:line="264" w:lineRule="auto"/>
        <w:rPr>
          <w:i/>
          <w:iCs/>
          <w:color w:val="000000"/>
          <w:sz w:val="24"/>
          <w:szCs w:val="24"/>
        </w:rPr>
      </w:pPr>
      <w:r w:rsidRPr="00BF38D8">
        <w:rPr>
          <w:i/>
          <w:iCs/>
          <w:color w:val="000000"/>
          <w:sz w:val="24"/>
          <w:szCs w:val="24"/>
        </w:rPr>
        <w:t xml:space="preserve">Provision of financial incentives for every case notified (PHP 250) and treatment outcome (PHP 750) provided quarterly.  </w:t>
      </w:r>
    </w:p>
    <w:p w14:paraId="4D0303C6" w14:textId="63028A10" w:rsidR="00BF38D8" w:rsidRDefault="00553D94" w:rsidP="00BF38D8">
      <w:pPr>
        <w:pBdr>
          <w:top w:val="nil"/>
          <w:left w:val="nil"/>
          <w:bottom w:val="nil"/>
          <w:right w:val="nil"/>
          <w:between w:val="nil"/>
        </w:pBdr>
        <w:spacing w:line="264" w:lineRule="auto"/>
        <w:rPr>
          <w:color w:val="000000"/>
          <w:sz w:val="24"/>
          <w:szCs w:val="24"/>
        </w:rPr>
      </w:pPr>
      <w:r>
        <w:rPr>
          <w:color w:val="000000"/>
          <w:sz w:val="24"/>
          <w:szCs w:val="24"/>
        </w:rPr>
        <w:t>With the RXPASS mechanism implemented between April 2022 to December 2022, the proportion of mandatory TB case notifications tested with GeneXpert increased to 19% (from 4% in 2021)</w:t>
      </w:r>
      <w:r w:rsidR="00BF38D8">
        <w:rPr>
          <w:color w:val="000000"/>
          <w:sz w:val="24"/>
          <w:szCs w:val="24"/>
        </w:rPr>
        <w:t xml:space="preserve">. By the end of 2023, all high-burden sites with a high concentration of private providers would have been saturated. </w:t>
      </w:r>
    </w:p>
    <w:p w14:paraId="0AEEF550" w14:textId="0EA437F2" w:rsidR="00BF38D8" w:rsidRDefault="00BF38D8" w:rsidP="00BF38D8">
      <w:pPr>
        <w:pBdr>
          <w:top w:val="nil"/>
          <w:left w:val="nil"/>
          <w:bottom w:val="nil"/>
          <w:right w:val="nil"/>
          <w:between w:val="nil"/>
        </w:pBdr>
        <w:spacing w:line="264" w:lineRule="auto"/>
        <w:rPr>
          <w:color w:val="000000"/>
          <w:sz w:val="24"/>
          <w:szCs w:val="24"/>
        </w:rPr>
      </w:pPr>
      <w:r>
        <w:rPr>
          <w:color w:val="000000"/>
          <w:sz w:val="24"/>
          <w:szCs w:val="24"/>
        </w:rPr>
        <w:t xml:space="preserve">From joint monitoring and assessment exercises with GF SI on the RXPASS mechanism, key recommendations for enhancements were proposed and are being adopted as part of the </w:t>
      </w:r>
      <w:proofErr w:type="spellStart"/>
      <w:r>
        <w:rPr>
          <w:color w:val="000000"/>
          <w:sz w:val="24"/>
          <w:szCs w:val="24"/>
        </w:rPr>
        <w:t>RxPASS</w:t>
      </w:r>
      <w:proofErr w:type="spellEnd"/>
      <w:r>
        <w:rPr>
          <w:color w:val="000000"/>
          <w:sz w:val="24"/>
          <w:szCs w:val="24"/>
        </w:rPr>
        <w:t xml:space="preserve"> service package under this FR:  </w:t>
      </w:r>
    </w:p>
    <w:p w14:paraId="79FDA965" w14:textId="15A3B1C2" w:rsidR="00BF38D8" w:rsidRPr="00D65121" w:rsidRDefault="00BF38D8" w:rsidP="00BF38D8">
      <w:pPr>
        <w:numPr>
          <w:ilvl w:val="0"/>
          <w:numId w:val="40"/>
        </w:numPr>
        <w:pBdr>
          <w:top w:val="nil"/>
          <w:left w:val="nil"/>
          <w:bottom w:val="nil"/>
          <w:right w:val="nil"/>
          <w:between w:val="nil"/>
        </w:pBdr>
        <w:spacing w:line="264" w:lineRule="auto"/>
        <w:rPr>
          <w:sz w:val="24"/>
          <w:szCs w:val="24"/>
        </w:rPr>
      </w:pPr>
      <w:r w:rsidRPr="00D65121">
        <w:rPr>
          <w:sz w:val="24"/>
          <w:szCs w:val="24"/>
        </w:rPr>
        <w:t xml:space="preserve">Scale-up advocacy to </w:t>
      </w:r>
      <w:r w:rsidR="00C773AB" w:rsidRPr="00D65121">
        <w:rPr>
          <w:sz w:val="24"/>
          <w:szCs w:val="24"/>
        </w:rPr>
        <w:t>i</w:t>
      </w:r>
      <w:r w:rsidR="009252BB" w:rsidRPr="00D65121">
        <w:rPr>
          <w:sz w:val="24"/>
          <w:szCs w:val="24"/>
        </w:rPr>
        <w:t xml:space="preserve">ncrease uptake of </w:t>
      </w:r>
      <w:proofErr w:type="spellStart"/>
      <w:r w:rsidR="009252BB" w:rsidRPr="00D65121">
        <w:rPr>
          <w:sz w:val="24"/>
          <w:szCs w:val="24"/>
        </w:rPr>
        <w:t>Rx</w:t>
      </w:r>
      <w:r w:rsidRPr="00D65121">
        <w:rPr>
          <w:sz w:val="24"/>
          <w:szCs w:val="24"/>
        </w:rPr>
        <w:t>PASS</w:t>
      </w:r>
      <w:proofErr w:type="spellEnd"/>
      <w:r w:rsidRPr="00D65121">
        <w:rPr>
          <w:sz w:val="24"/>
          <w:szCs w:val="24"/>
        </w:rPr>
        <w:t>, which includes better access to X-Ray vouchers and RDT sites (via STRIDERS).</w:t>
      </w:r>
    </w:p>
    <w:p w14:paraId="7C746AE8" w14:textId="515FD0F9" w:rsidR="009252BB" w:rsidRPr="00D65121" w:rsidRDefault="00BF38D8">
      <w:pPr>
        <w:numPr>
          <w:ilvl w:val="0"/>
          <w:numId w:val="40"/>
        </w:numPr>
        <w:pBdr>
          <w:top w:val="nil"/>
          <w:left w:val="nil"/>
          <w:bottom w:val="nil"/>
          <w:right w:val="nil"/>
          <w:between w:val="nil"/>
        </w:pBdr>
        <w:spacing w:line="264" w:lineRule="auto"/>
        <w:rPr>
          <w:sz w:val="24"/>
          <w:szCs w:val="24"/>
        </w:rPr>
      </w:pPr>
      <w:r w:rsidRPr="00D65121">
        <w:rPr>
          <w:sz w:val="24"/>
          <w:szCs w:val="24"/>
        </w:rPr>
        <w:t>Scale up learning activities for the private sector on</w:t>
      </w:r>
      <w:r w:rsidR="00C773AB" w:rsidRPr="00D65121">
        <w:rPr>
          <w:sz w:val="24"/>
          <w:szCs w:val="24"/>
        </w:rPr>
        <w:t xml:space="preserve"> </w:t>
      </w:r>
      <w:r w:rsidRPr="00D65121">
        <w:rPr>
          <w:sz w:val="24"/>
          <w:szCs w:val="24"/>
        </w:rPr>
        <w:t xml:space="preserve">compliance with the </w:t>
      </w:r>
      <w:r w:rsidR="00C773AB" w:rsidRPr="00D65121">
        <w:rPr>
          <w:sz w:val="24"/>
          <w:szCs w:val="24"/>
        </w:rPr>
        <w:t>NTP MOP.</w:t>
      </w:r>
    </w:p>
    <w:p w14:paraId="0671CAF4" w14:textId="70959552" w:rsidR="00155420" w:rsidRPr="00D65121" w:rsidRDefault="00BF38D8" w:rsidP="00BF38D8">
      <w:pPr>
        <w:numPr>
          <w:ilvl w:val="0"/>
          <w:numId w:val="40"/>
        </w:numPr>
        <w:pBdr>
          <w:top w:val="nil"/>
          <w:left w:val="nil"/>
          <w:bottom w:val="nil"/>
          <w:right w:val="nil"/>
          <w:between w:val="nil"/>
        </w:pBdr>
        <w:spacing w:line="264" w:lineRule="auto"/>
        <w:rPr>
          <w:sz w:val="24"/>
          <w:szCs w:val="24"/>
        </w:rPr>
      </w:pPr>
      <w:r w:rsidRPr="00D65121">
        <w:rPr>
          <w:sz w:val="24"/>
          <w:szCs w:val="24"/>
        </w:rPr>
        <w:t xml:space="preserve">Enhance ITIS lite for increased mandatory case notification and treatment outcome reporting. </w:t>
      </w:r>
    </w:p>
    <w:p w14:paraId="675E00E5" w14:textId="4AAF49ED" w:rsidR="008F5533" w:rsidRDefault="008F5533" w:rsidP="008F5533">
      <w:pPr>
        <w:numPr>
          <w:ilvl w:val="0"/>
          <w:numId w:val="40"/>
        </w:numPr>
        <w:pBdr>
          <w:top w:val="nil"/>
          <w:left w:val="nil"/>
          <w:bottom w:val="nil"/>
          <w:right w:val="nil"/>
          <w:between w:val="nil"/>
        </w:pBdr>
        <w:spacing w:line="264" w:lineRule="auto"/>
        <w:rPr>
          <w:color w:val="000000"/>
          <w:sz w:val="24"/>
          <w:szCs w:val="24"/>
        </w:rPr>
      </w:pPr>
      <w:r>
        <w:rPr>
          <w:color w:val="000000"/>
          <w:sz w:val="24"/>
          <w:szCs w:val="24"/>
        </w:rPr>
        <w:t>An enhanced financial incentive scheme, increasing to PHP 500 for bacteriologically confirmed TB case notification and PHP 1000 for treatment outcomes that are cured.</w:t>
      </w:r>
    </w:p>
    <w:p w14:paraId="250C63D1" w14:textId="6F5CB55B" w:rsidR="008F5533" w:rsidRPr="008F5533" w:rsidRDefault="008F5533" w:rsidP="008F5533">
      <w:pPr>
        <w:numPr>
          <w:ilvl w:val="0"/>
          <w:numId w:val="40"/>
        </w:numPr>
        <w:pBdr>
          <w:top w:val="nil"/>
          <w:left w:val="nil"/>
          <w:bottom w:val="nil"/>
          <w:right w:val="nil"/>
          <w:between w:val="nil"/>
        </w:pBdr>
        <w:spacing w:line="264" w:lineRule="auto"/>
        <w:rPr>
          <w:color w:val="000000"/>
          <w:sz w:val="24"/>
          <w:szCs w:val="24"/>
        </w:rPr>
      </w:pPr>
      <w:r>
        <w:rPr>
          <w:color w:val="000000"/>
          <w:sz w:val="24"/>
          <w:szCs w:val="24"/>
        </w:rPr>
        <w:t xml:space="preserve">Non-financial incentives will be introduced through recognition events for private healthcare providers contributing to the NTP. </w:t>
      </w:r>
    </w:p>
    <w:p w14:paraId="51BACE9B" w14:textId="77777777" w:rsidR="008F5533" w:rsidRDefault="00E84F93">
      <w:pPr>
        <w:numPr>
          <w:ilvl w:val="0"/>
          <w:numId w:val="40"/>
        </w:numPr>
        <w:pBdr>
          <w:top w:val="nil"/>
          <w:left w:val="nil"/>
          <w:bottom w:val="nil"/>
          <w:right w:val="nil"/>
          <w:between w:val="nil"/>
        </w:pBdr>
        <w:spacing w:line="264" w:lineRule="auto"/>
        <w:rPr>
          <w:color w:val="000000"/>
          <w:sz w:val="24"/>
          <w:szCs w:val="24"/>
        </w:rPr>
      </w:pPr>
      <w:r>
        <w:rPr>
          <w:color w:val="000000"/>
          <w:sz w:val="24"/>
          <w:szCs w:val="24"/>
        </w:rPr>
        <w:t>Deployment of more Notification Officers to support (1) stand-alone physicians using the ITIS, (2) provide technical assi</w:t>
      </w:r>
      <w:r>
        <w:rPr>
          <w:color w:val="000000"/>
          <w:sz w:val="24"/>
          <w:szCs w:val="24"/>
        </w:rPr>
        <w:t xml:space="preserve">stance to adopt WHO-recommended treatment regimens for </w:t>
      </w:r>
      <w:r>
        <w:rPr>
          <w:color w:val="000000"/>
          <w:sz w:val="24"/>
          <w:szCs w:val="24"/>
        </w:rPr>
        <w:lastRenderedPageBreak/>
        <w:t xml:space="preserve">TB patients, and (3) technical assistance for accreditation as primary care facilities (iDOTS). This will enable private care providers to access </w:t>
      </w:r>
      <w:r w:rsidR="00AF4289">
        <w:rPr>
          <w:color w:val="000000"/>
          <w:sz w:val="24"/>
          <w:szCs w:val="24"/>
        </w:rPr>
        <w:t>government-funded</w:t>
      </w:r>
      <w:r>
        <w:rPr>
          <w:color w:val="000000"/>
          <w:sz w:val="24"/>
          <w:szCs w:val="24"/>
        </w:rPr>
        <w:t xml:space="preserve"> RDTs, cartridges, anti-TB medicines f</w:t>
      </w:r>
      <w:r>
        <w:rPr>
          <w:color w:val="000000"/>
          <w:sz w:val="24"/>
          <w:szCs w:val="24"/>
        </w:rPr>
        <w:t>or DS and DR TB, and TPT. Concomitantly, to access PhilHealth reimbursement for the TB outpatient benefit package.</w:t>
      </w:r>
      <w:r w:rsidR="00AF4289">
        <w:rPr>
          <w:color w:val="000000"/>
          <w:sz w:val="24"/>
          <w:szCs w:val="24"/>
        </w:rPr>
        <w:t xml:space="preserve"> </w:t>
      </w:r>
    </w:p>
    <w:p w14:paraId="65241C1F" w14:textId="10F00ED2" w:rsidR="008F5533" w:rsidRPr="008F5533" w:rsidRDefault="008F5533" w:rsidP="008F5533">
      <w:pPr>
        <w:pBdr>
          <w:top w:val="nil"/>
          <w:left w:val="nil"/>
          <w:bottom w:val="nil"/>
          <w:right w:val="nil"/>
          <w:between w:val="nil"/>
        </w:pBdr>
        <w:spacing w:line="264" w:lineRule="auto"/>
        <w:rPr>
          <w:color w:val="000000"/>
          <w:sz w:val="24"/>
          <w:szCs w:val="24"/>
        </w:rPr>
      </w:pPr>
      <w:r w:rsidRPr="008F5533">
        <w:rPr>
          <w:color w:val="000000"/>
          <w:sz w:val="24"/>
          <w:szCs w:val="24"/>
        </w:rPr>
        <w:t xml:space="preserve">With the enhanced </w:t>
      </w:r>
      <w:proofErr w:type="spellStart"/>
      <w:r w:rsidRPr="008F5533">
        <w:rPr>
          <w:color w:val="000000"/>
          <w:sz w:val="24"/>
          <w:szCs w:val="24"/>
        </w:rPr>
        <w:t>RxPASS</w:t>
      </w:r>
      <w:proofErr w:type="spellEnd"/>
      <w:r w:rsidRPr="008F5533">
        <w:rPr>
          <w:color w:val="000000"/>
          <w:sz w:val="24"/>
          <w:szCs w:val="24"/>
        </w:rPr>
        <w:t xml:space="preserve"> mechanism, the mandatory case notification target will be 25% across the years, and with interventions to support treatment outcome reporting, to be able to achieve 90% TSR for all forms of TB. And TSR among private providers increased from 22% in 2022 to 55% in 2024, 65% in 2025, and 75% in 2026. </w:t>
      </w:r>
    </w:p>
    <w:p w14:paraId="114F782E" w14:textId="3FE3A536" w:rsidR="00155420" w:rsidRPr="008F5533" w:rsidRDefault="008F5533" w:rsidP="008F5533">
      <w:pPr>
        <w:pBdr>
          <w:top w:val="nil"/>
          <w:left w:val="nil"/>
          <w:bottom w:val="nil"/>
          <w:right w:val="nil"/>
          <w:between w:val="nil"/>
        </w:pBdr>
        <w:spacing w:line="264" w:lineRule="auto"/>
        <w:rPr>
          <w:sz w:val="24"/>
          <w:szCs w:val="24"/>
        </w:rPr>
      </w:pPr>
      <w:r w:rsidRPr="008F5533">
        <w:rPr>
          <w:sz w:val="24"/>
          <w:szCs w:val="24"/>
        </w:rPr>
        <w:t xml:space="preserve">It is critical to note that the </w:t>
      </w:r>
      <w:r w:rsidR="00AF4289" w:rsidRPr="008F5533">
        <w:rPr>
          <w:sz w:val="24"/>
          <w:szCs w:val="24"/>
        </w:rPr>
        <w:t xml:space="preserve">priority function of the notification officers in 2024-2025 will be improving MN and Tx outcome reporting, but it will shift to technical assistance provision in 2025-2026 for MOP compliance and PhilHealth accreditation.    </w:t>
      </w:r>
      <w:r w:rsidRPr="008F5533">
        <w:rPr>
          <w:sz w:val="24"/>
          <w:szCs w:val="24"/>
        </w:rPr>
        <w:t xml:space="preserve">  </w:t>
      </w:r>
    </w:p>
    <w:p w14:paraId="7E2F57FE" w14:textId="65DF6E7A" w:rsidR="008F5533" w:rsidRDefault="008F5533" w:rsidP="008F5533">
      <w:pPr>
        <w:pBdr>
          <w:top w:val="nil"/>
          <w:left w:val="nil"/>
          <w:bottom w:val="nil"/>
          <w:right w:val="nil"/>
          <w:between w:val="nil"/>
        </w:pBdr>
        <w:spacing w:line="264" w:lineRule="auto"/>
        <w:rPr>
          <w:color w:val="000000"/>
          <w:sz w:val="24"/>
          <w:szCs w:val="24"/>
        </w:rPr>
      </w:pPr>
      <w:r>
        <w:rPr>
          <w:color w:val="000000"/>
          <w:sz w:val="24"/>
          <w:szCs w:val="24"/>
        </w:rPr>
        <w:t xml:space="preserve">In the long term, the role of TB notification officers will be included in the role local surveillance officers as envisioned in the Philippine Centers for Disease Control – Center for Epidemiology and Surveillance. The plan is to deploy surveillance officers in all cities and municipalities nationwide by 2026.    </w:t>
      </w:r>
    </w:p>
    <w:p w14:paraId="099C272C" w14:textId="5AE93724" w:rsidR="00C773AB" w:rsidRDefault="008F5533" w:rsidP="008F5533">
      <w:pPr>
        <w:pBdr>
          <w:top w:val="nil"/>
          <w:left w:val="nil"/>
          <w:bottom w:val="nil"/>
          <w:right w:val="nil"/>
          <w:between w:val="nil"/>
        </w:pBdr>
        <w:spacing w:line="264" w:lineRule="auto"/>
        <w:rPr>
          <w:color w:val="000000"/>
          <w:sz w:val="24"/>
          <w:szCs w:val="24"/>
        </w:rPr>
      </w:pPr>
      <w:r>
        <w:rPr>
          <w:color w:val="000000"/>
          <w:sz w:val="24"/>
          <w:szCs w:val="24"/>
        </w:rPr>
        <w:t>The sustainability</w:t>
      </w:r>
      <w:r w:rsidR="00C773AB">
        <w:rPr>
          <w:color w:val="000000"/>
          <w:sz w:val="24"/>
          <w:szCs w:val="24"/>
        </w:rPr>
        <w:t xml:space="preserve"> of STRIDERS </w:t>
      </w:r>
      <w:r>
        <w:rPr>
          <w:color w:val="000000"/>
          <w:sz w:val="24"/>
          <w:szCs w:val="24"/>
        </w:rPr>
        <w:t xml:space="preserve">is </w:t>
      </w:r>
      <w:r w:rsidR="00C773AB">
        <w:rPr>
          <w:color w:val="000000"/>
          <w:sz w:val="24"/>
          <w:szCs w:val="24"/>
        </w:rPr>
        <w:t xml:space="preserve">discussed under the RSSH modules (governance and human resources) and sustainability section of this FR. </w:t>
      </w:r>
    </w:p>
    <w:p w14:paraId="61E05117" w14:textId="68EAEF78" w:rsidR="00155420" w:rsidRDefault="008F5533">
      <w:pPr>
        <w:pBdr>
          <w:top w:val="nil"/>
          <w:left w:val="nil"/>
          <w:bottom w:val="nil"/>
          <w:right w:val="nil"/>
          <w:between w:val="nil"/>
        </w:pBdr>
        <w:spacing w:line="264" w:lineRule="auto"/>
        <w:rPr>
          <w:color w:val="000000"/>
          <w:sz w:val="24"/>
          <w:szCs w:val="24"/>
        </w:rPr>
      </w:pPr>
      <w:r>
        <w:rPr>
          <w:color w:val="000000"/>
          <w:sz w:val="24"/>
          <w:szCs w:val="24"/>
        </w:rPr>
        <w:t xml:space="preserve">Several private sector engagement models are also being implemented in the country, including: </w:t>
      </w:r>
    </w:p>
    <w:p w14:paraId="7593D152" w14:textId="77777777" w:rsidR="00155420" w:rsidRDefault="00E84F93">
      <w:pPr>
        <w:numPr>
          <w:ilvl w:val="0"/>
          <w:numId w:val="10"/>
        </w:numPr>
        <w:pBdr>
          <w:top w:val="nil"/>
          <w:left w:val="nil"/>
          <w:bottom w:val="nil"/>
          <w:right w:val="nil"/>
          <w:between w:val="nil"/>
        </w:pBdr>
        <w:spacing w:line="264" w:lineRule="auto"/>
        <w:rPr>
          <w:color w:val="000000"/>
          <w:sz w:val="24"/>
          <w:szCs w:val="24"/>
        </w:rPr>
      </w:pPr>
      <w:r>
        <w:rPr>
          <w:color w:val="000000"/>
          <w:sz w:val="24"/>
          <w:szCs w:val="24"/>
        </w:rPr>
        <w:t xml:space="preserve">USAID TB Innovations and Health Systems Strengthening project has several initiatives: </w:t>
      </w:r>
    </w:p>
    <w:p w14:paraId="42D21B31" w14:textId="77777777" w:rsidR="00155420" w:rsidRDefault="00E84F93">
      <w:pPr>
        <w:numPr>
          <w:ilvl w:val="1"/>
          <w:numId w:val="10"/>
        </w:numPr>
        <w:pBdr>
          <w:top w:val="nil"/>
          <w:left w:val="nil"/>
          <w:bottom w:val="nil"/>
          <w:right w:val="nil"/>
          <w:between w:val="nil"/>
        </w:pBdr>
        <w:spacing w:line="264" w:lineRule="auto"/>
        <w:rPr>
          <w:color w:val="000000"/>
          <w:sz w:val="24"/>
          <w:szCs w:val="24"/>
        </w:rPr>
      </w:pPr>
      <w:r>
        <w:rPr>
          <w:color w:val="000000"/>
          <w:sz w:val="24"/>
          <w:szCs w:val="24"/>
        </w:rPr>
        <w:t xml:space="preserve">Managing the TB Diagnostics Consortium, whereby pooled procurement of Xpert and Xpert cartridges is done among its private membership at a lowered cost. </w:t>
      </w:r>
      <w:r>
        <w:rPr>
          <w:color w:val="000000"/>
          <w:sz w:val="24"/>
          <w:szCs w:val="24"/>
        </w:rPr>
        <w:t>Members also agree to cap the service rates for Xpert testing in their facilities.</w:t>
      </w:r>
    </w:p>
    <w:p w14:paraId="116A0FEE" w14:textId="77777777" w:rsidR="00155420" w:rsidRDefault="00E84F93">
      <w:pPr>
        <w:numPr>
          <w:ilvl w:val="1"/>
          <w:numId w:val="10"/>
        </w:numPr>
        <w:pBdr>
          <w:top w:val="nil"/>
          <w:left w:val="nil"/>
          <w:bottom w:val="nil"/>
          <w:right w:val="nil"/>
          <w:between w:val="nil"/>
        </w:pBdr>
        <w:spacing w:line="264" w:lineRule="auto"/>
        <w:rPr>
          <w:color w:val="000000"/>
          <w:sz w:val="24"/>
          <w:szCs w:val="24"/>
        </w:rPr>
      </w:pPr>
      <w:r>
        <w:rPr>
          <w:color w:val="000000"/>
          <w:sz w:val="24"/>
          <w:szCs w:val="24"/>
        </w:rPr>
        <w:t xml:space="preserve">FAST Plus in private hospitals focused on improving access to X-ray and RDTs for Tb diagnosis and contributing to case notification. </w:t>
      </w:r>
    </w:p>
    <w:p w14:paraId="2CF1CADE" w14:textId="77777777" w:rsidR="00155420" w:rsidRDefault="00E84F93">
      <w:pPr>
        <w:numPr>
          <w:ilvl w:val="0"/>
          <w:numId w:val="10"/>
        </w:numPr>
        <w:pBdr>
          <w:top w:val="nil"/>
          <w:left w:val="nil"/>
          <w:bottom w:val="nil"/>
          <w:right w:val="nil"/>
          <w:between w:val="nil"/>
        </w:pBdr>
        <w:spacing w:line="264" w:lineRule="auto"/>
        <w:rPr>
          <w:color w:val="000000"/>
          <w:sz w:val="24"/>
          <w:szCs w:val="24"/>
        </w:rPr>
      </w:pPr>
      <w:r>
        <w:rPr>
          <w:color w:val="000000"/>
          <w:sz w:val="24"/>
          <w:szCs w:val="24"/>
        </w:rPr>
        <w:t>TB in the workplace programs is being s</w:t>
      </w:r>
      <w:r>
        <w:rPr>
          <w:color w:val="000000"/>
          <w:sz w:val="24"/>
          <w:szCs w:val="24"/>
        </w:rPr>
        <w:t xml:space="preserve">caled up to large companies USAID TB Innovations and Health Systems Strengthening project. At the same time, it is being installed in micro, small, and medium enterprises by the GF </w:t>
      </w:r>
      <w:proofErr w:type="spellStart"/>
      <w:r>
        <w:rPr>
          <w:color w:val="000000"/>
          <w:sz w:val="24"/>
          <w:szCs w:val="24"/>
        </w:rPr>
        <w:t>AccessTB</w:t>
      </w:r>
      <w:proofErr w:type="spellEnd"/>
      <w:r>
        <w:rPr>
          <w:color w:val="000000"/>
          <w:sz w:val="24"/>
          <w:szCs w:val="24"/>
        </w:rPr>
        <w:t xml:space="preserve"> project.   </w:t>
      </w:r>
    </w:p>
    <w:p w14:paraId="0D407E86" w14:textId="77777777" w:rsidR="008F5533" w:rsidRDefault="00E84F93" w:rsidP="008F5533">
      <w:pPr>
        <w:numPr>
          <w:ilvl w:val="0"/>
          <w:numId w:val="10"/>
        </w:numPr>
        <w:pBdr>
          <w:top w:val="nil"/>
          <w:left w:val="nil"/>
          <w:bottom w:val="nil"/>
          <w:right w:val="nil"/>
          <w:between w:val="nil"/>
        </w:pBdr>
        <w:spacing w:line="264" w:lineRule="auto"/>
        <w:rPr>
          <w:color w:val="000000"/>
          <w:sz w:val="24"/>
          <w:szCs w:val="24"/>
        </w:rPr>
      </w:pPr>
      <w:r>
        <w:rPr>
          <w:color w:val="000000"/>
          <w:sz w:val="24"/>
          <w:szCs w:val="24"/>
        </w:rPr>
        <w:t xml:space="preserve">Private PPM facilities are operational. </w:t>
      </w:r>
    </w:p>
    <w:p w14:paraId="0CCC6FDE" w14:textId="12D194A7" w:rsidR="00155420" w:rsidRPr="008F5533" w:rsidRDefault="00E84F93" w:rsidP="008F5533">
      <w:pPr>
        <w:numPr>
          <w:ilvl w:val="0"/>
          <w:numId w:val="10"/>
        </w:numPr>
        <w:pBdr>
          <w:top w:val="nil"/>
          <w:left w:val="nil"/>
          <w:bottom w:val="nil"/>
          <w:right w:val="nil"/>
          <w:between w:val="nil"/>
        </w:pBdr>
        <w:spacing w:line="264" w:lineRule="auto"/>
        <w:rPr>
          <w:color w:val="000000"/>
          <w:sz w:val="24"/>
          <w:szCs w:val="24"/>
        </w:rPr>
      </w:pPr>
      <w:r w:rsidRPr="008F5533">
        <w:rPr>
          <w:color w:val="000000"/>
          <w:sz w:val="24"/>
          <w:szCs w:val="24"/>
        </w:rPr>
        <w:t xml:space="preserve">In the past, </w:t>
      </w:r>
      <w:r w:rsidRPr="008F5533">
        <w:rPr>
          <w:color w:val="000000"/>
          <w:sz w:val="24"/>
          <w:szCs w:val="24"/>
        </w:rPr>
        <w:t xml:space="preserve">Pharmacy DOTS </w:t>
      </w:r>
      <w:r w:rsidRPr="008F5533">
        <w:rPr>
          <w:sz w:val="24"/>
          <w:szCs w:val="24"/>
        </w:rPr>
        <w:t>initiatives</w:t>
      </w:r>
      <w:r w:rsidRPr="008F5533">
        <w:rPr>
          <w:color w:val="000000"/>
          <w:sz w:val="24"/>
          <w:szCs w:val="24"/>
        </w:rPr>
        <w:t xml:space="preserve"> were pursued, but not sustained.     </w:t>
      </w:r>
    </w:p>
    <w:p w14:paraId="19EC4DC0" w14:textId="250B1450" w:rsidR="00155420" w:rsidRPr="00D65121" w:rsidRDefault="00D65121">
      <w:pPr>
        <w:pBdr>
          <w:top w:val="nil"/>
          <w:left w:val="nil"/>
          <w:bottom w:val="nil"/>
          <w:right w:val="nil"/>
          <w:between w:val="nil"/>
        </w:pBdr>
        <w:spacing w:line="264" w:lineRule="auto"/>
        <w:rPr>
          <w:color w:val="000000"/>
          <w:sz w:val="24"/>
          <w:szCs w:val="24"/>
          <w:u w:val="single"/>
        </w:rPr>
      </w:pPr>
      <w:r w:rsidRPr="00D65121">
        <w:rPr>
          <w:color w:val="000000"/>
          <w:sz w:val="24"/>
          <w:szCs w:val="24"/>
          <w:u w:val="single"/>
        </w:rPr>
        <w:t>CSO/CBO Engagement</w:t>
      </w:r>
    </w:p>
    <w:p w14:paraId="196F77C6"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 xml:space="preserve">For CSO and CBO engagement, capacity building will be provided to CSOs and CBOs already supporting the NTP to formalize their engagement as part of the primary care network. CSOs and CBOs with clinics will be provided technical assistance to be accredited </w:t>
      </w:r>
      <w:r>
        <w:rPr>
          <w:color w:val="000000"/>
          <w:sz w:val="24"/>
          <w:szCs w:val="24"/>
        </w:rPr>
        <w:t xml:space="preserve">by PHIC and/or by LGUs as local service providers to augment their healthcare system. </w:t>
      </w:r>
    </w:p>
    <w:p w14:paraId="6452A32C"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 xml:space="preserve">Technical assistance will also include helping CSOs and CBOs with operating clinics in marketing their services to LGUs.  </w:t>
      </w:r>
    </w:p>
    <w:p w14:paraId="514AAA52" w14:textId="1C8D1C94" w:rsidR="00155420" w:rsidRDefault="00E84F93">
      <w:pPr>
        <w:pBdr>
          <w:top w:val="nil"/>
          <w:left w:val="nil"/>
          <w:bottom w:val="nil"/>
          <w:right w:val="nil"/>
          <w:between w:val="nil"/>
        </w:pBdr>
        <w:spacing w:line="264" w:lineRule="auto"/>
        <w:rPr>
          <w:color w:val="000000"/>
          <w:sz w:val="24"/>
          <w:szCs w:val="24"/>
        </w:rPr>
      </w:pPr>
      <w:r>
        <w:rPr>
          <w:color w:val="000000"/>
          <w:sz w:val="24"/>
          <w:szCs w:val="24"/>
        </w:rPr>
        <w:t>Relatively, TB KAPs currently supporting the p</w:t>
      </w:r>
      <w:r>
        <w:rPr>
          <w:color w:val="000000"/>
          <w:sz w:val="24"/>
          <w:szCs w:val="24"/>
        </w:rPr>
        <w:t xml:space="preserve">rogram will be upskilled to qualify as STRIDERS, Notification Officers, and Community Health Volunteers. </w:t>
      </w:r>
    </w:p>
    <w:p w14:paraId="3874F5BD" w14:textId="77777777" w:rsidR="00155420" w:rsidRDefault="00E84F93">
      <w:pPr>
        <w:pStyle w:val="Heading1"/>
        <w:numPr>
          <w:ilvl w:val="0"/>
          <w:numId w:val="38"/>
        </w:numPr>
      </w:pPr>
      <w:r>
        <w:lastRenderedPageBreak/>
        <w:t xml:space="preserve">Maximizing Impact </w:t>
      </w:r>
    </w:p>
    <w:p w14:paraId="7A04275A"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 xml:space="preserve">The strategy describes clear pathways for controlling and eliminating the three diseases globally. The </w:t>
      </w:r>
      <w:hyperlink r:id="rId20" w:anchor="page=15">
        <w:r>
          <w:rPr>
            <w:color w:val="2E4DF9"/>
            <w:sz w:val="24"/>
            <w:szCs w:val="24"/>
            <w:u w:val="single"/>
          </w:rPr>
          <w:t>Review Criteria of the Technical Review Panel</w:t>
        </w:r>
      </w:hyperlink>
      <w:r>
        <w:rPr>
          <w:rFonts w:ascii="ZWAdobeF" w:eastAsia="ZWAdobeF" w:hAnsi="ZWAdobeF" w:cs="ZWAdobeF"/>
          <w:color w:val="000000"/>
          <w:sz w:val="2"/>
          <w:szCs w:val="2"/>
        </w:rPr>
        <w:t>1F1F</w:t>
      </w:r>
      <w:r>
        <w:rPr>
          <w:color w:val="000000"/>
          <w:sz w:val="24"/>
          <w:szCs w:val="24"/>
          <w:vertAlign w:val="superscript"/>
        </w:rPr>
        <w:footnoteReference w:id="3"/>
      </w:r>
      <w:r>
        <w:rPr>
          <w:color w:val="000000"/>
          <w:sz w:val="24"/>
          <w:szCs w:val="24"/>
        </w:rPr>
        <w:t xml:space="preserve"> will be used to help evaluate optimal program design.</w:t>
      </w:r>
    </w:p>
    <w:p w14:paraId="0C66A3C8" w14:textId="77777777" w:rsidR="00155420" w:rsidRDefault="00E84F93">
      <w:pPr>
        <w:pStyle w:val="Heading2"/>
        <w:numPr>
          <w:ilvl w:val="1"/>
          <w:numId w:val="38"/>
        </w:numPr>
      </w:pPr>
      <w:r>
        <w:t>Ending AIDS, TB, and Malaria</w:t>
      </w:r>
    </w:p>
    <w:p w14:paraId="58A5DB57" w14:textId="77777777" w:rsidR="00155420" w:rsidRDefault="00E84F93">
      <w:pPr>
        <w:numPr>
          <w:ilvl w:val="2"/>
          <w:numId w:val="38"/>
        </w:numPr>
        <w:pBdr>
          <w:top w:val="nil"/>
          <w:left w:val="nil"/>
          <w:bottom w:val="nil"/>
          <w:right w:val="nil"/>
          <w:between w:val="nil"/>
        </w:pBdr>
        <w:spacing w:after="160" w:line="259" w:lineRule="auto"/>
        <w:rPr>
          <w:b/>
          <w:color w:val="000000"/>
          <w:sz w:val="24"/>
          <w:szCs w:val="24"/>
        </w:rPr>
      </w:pPr>
      <w:bookmarkStart w:id="2" w:name="_1fob9te" w:colFirst="0" w:colLast="0"/>
      <w:bookmarkEnd w:id="2"/>
      <w:r>
        <w:rPr>
          <w:b/>
          <w:color w:val="000000"/>
          <w:sz w:val="24"/>
          <w:szCs w:val="24"/>
        </w:rPr>
        <w:t>Primary Goal</w:t>
      </w:r>
    </w:p>
    <w:p w14:paraId="6DDC6E79" w14:textId="77777777" w:rsidR="00155420" w:rsidRDefault="00E84F93">
      <w:pPr>
        <w:spacing w:after="160" w:line="259" w:lineRule="auto"/>
        <w:rPr>
          <w:sz w:val="24"/>
          <w:szCs w:val="24"/>
        </w:rPr>
      </w:pPr>
      <w:r>
        <w:rPr>
          <w:sz w:val="24"/>
          <w:szCs w:val="24"/>
        </w:rPr>
        <w:t xml:space="preserve">The vision is for a TB-free </w:t>
      </w:r>
      <w:r>
        <w:rPr>
          <w:sz w:val="24"/>
          <w:szCs w:val="24"/>
        </w:rPr>
        <w:t>Philippines by 2030, and by 2026, the FR will directly contribute to the following results:</w:t>
      </w:r>
    </w:p>
    <w:p w14:paraId="3C86F7F1" w14:textId="77777777" w:rsidR="00155420" w:rsidRDefault="00E84F93">
      <w:pPr>
        <w:numPr>
          <w:ilvl w:val="1"/>
          <w:numId w:val="33"/>
        </w:numPr>
        <w:pBdr>
          <w:top w:val="nil"/>
          <w:left w:val="nil"/>
          <w:bottom w:val="nil"/>
          <w:right w:val="nil"/>
          <w:between w:val="nil"/>
        </w:pBdr>
        <w:spacing w:after="0" w:line="259" w:lineRule="auto"/>
        <w:rPr>
          <w:i/>
          <w:color w:val="000000"/>
          <w:sz w:val="24"/>
          <w:szCs w:val="24"/>
        </w:rPr>
      </w:pPr>
      <w:r>
        <w:rPr>
          <w:i/>
          <w:color w:val="000000"/>
          <w:sz w:val="24"/>
          <w:szCs w:val="24"/>
        </w:rPr>
        <w:t>Decrease TB deaths by 50% from 54 in 2021 to 27 in 2026,</w:t>
      </w:r>
    </w:p>
    <w:p w14:paraId="20E2A641" w14:textId="77777777" w:rsidR="00155420" w:rsidRDefault="00E84F93">
      <w:pPr>
        <w:numPr>
          <w:ilvl w:val="1"/>
          <w:numId w:val="33"/>
        </w:numPr>
        <w:pBdr>
          <w:top w:val="nil"/>
          <w:left w:val="nil"/>
          <w:bottom w:val="nil"/>
          <w:right w:val="nil"/>
          <w:between w:val="nil"/>
        </w:pBdr>
        <w:spacing w:after="0" w:line="259" w:lineRule="auto"/>
        <w:rPr>
          <w:i/>
          <w:color w:val="000000"/>
          <w:sz w:val="24"/>
          <w:szCs w:val="24"/>
        </w:rPr>
      </w:pPr>
      <w:r>
        <w:rPr>
          <w:i/>
          <w:color w:val="000000"/>
          <w:sz w:val="24"/>
          <w:szCs w:val="24"/>
        </w:rPr>
        <w:t xml:space="preserve">Reduce TB catastrophic cost from 42% in 2017 to 0% in 2026, and  </w:t>
      </w:r>
    </w:p>
    <w:p w14:paraId="3210CCF4" w14:textId="77777777" w:rsidR="00155420" w:rsidRDefault="00E84F93">
      <w:pPr>
        <w:numPr>
          <w:ilvl w:val="1"/>
          <w:numId w:val="33"/>
        </w:numPr>
        <w:pBdr>
          <w:top w:val="nil"/>
          <w:left w:val="nil"/>
          <w:bottom w:val="nil"/>
          <w:right w:val="nil"/>
          <w:between w:val="nil"/>
        </w:pBdr>
        <w:spacing w:after="160" w:line="259" w:lineRule="auto"/>
        <w:rPr>
          <w:i/>
          <w:color w:val="000000"/>
          <w:sz w:val="24"/>
          <w:szCs w:val="24"/>
        </w:rPr>
      </w:pPr>
      <w:r>
        <w:rPr>
          <w:i/>
          <w:color w:val="000000"/>
          <w:sz w:val="24"/>
          <w:szCs w:val="24"/>
        </w:rPr>
        <w:t xml:space="preserve">Achieve 90% patient satisfaction for TB services received. </w:t>
      </w:r>
    </w:p>
    <w:p w14:paraId="49936F1A" w14:textId="77777777" w:rsidR="00155420" w:rsidRDefault="00E84F93">
      <w:pPr>
        <w:spacing w:after="160" w:line="259" w:lineRule="auto"/>
        <w:rPr>
          <w:sz w:val="24"/>
          <w:szCs w:val="24"/>
        </w:rPr>
      </w:pPr>
      <w:r>
        <w:rPr>
          <w:sz w:val="24"/>
          <w:szCs w:val="24"/>
        </w:rPr>
        <w:t xml:space="preserve">To ensure value for money, this FR highlights the following: </w:t>
      </w:r>
    </w:p>
    <w:p w14:paraId="381A16B5" w14:textId="77777777" w:rsidR="00155420" w:rsidRDefault="00E84F93">
      <w:pPr>
        <w:numPr>
          <w:ilvl w:val="0"/>
          <w:numId w:val="35"/>
        </w:numPr>
        <w:pBdr>
          <w:top w:val="nil"/>
          <w:left w:val="nil"/>
          <w:bottom w:val="nil"/>
          <w:right w:val="nil"/>
          <w:between w:val="nil"/>
        </w:pBdr>
        <w:spacing w:after="0" w:line="259" w:lineRule="auto"/>
        <w:rPr>
          <w:i/>
          <w:color w:val="000000"/>
          <w:sz w:val="24"/>
          <w:szCs w:val="24"/>
        </w:rPr>
      </w:pPr>
      <w:r>
        <w:rPr>
          <w:i/>
          <w:color w:val="000000"/>
          <w:sz w:val="24"/>
          <w:szCs w:val="24"/>
        </w:rPr>
        <w:t>Active and intensified case finding among KVPs in high-burden sites.</w:t>
      </w:r>
    </w:p>
    <w:p w14:paraId="5BE5E48F" w14:textId="77777777" w:rsidR="00155420" w:rsidRDefault="00E84F93">
      <w:pPr>
        <w:numPr>
          <w:ilvl w:val="0"/>
          <w:numId w:val="35"/>
        </w:numPr>
        <w:pBdr>
          <w:top w:val="nil"/>
          <w:left w:val="nil"/>
          <w:bottom w:val="nil"/>
          <w:right w:val="nil"/>
          <w:between w:val="nil"/>
        </w:pBdr>
        <w:spacing w:after="0" w:line="259" w:lineRule="auto"/>
        <w:rPr>
          <w:i/>
          <w:color w:val="000000"/>
          <w:sz w:val="24"/>
          <w:szCs w:val="24"/>
        </w:rPr>
      </w:pPr>
      <w:r>
        <w:rPr>
          <w:i/>
          <w:color w:val="000000"/>
          <w:sz w:val="24"/>
          <w:szCs w:val="24"/>
        </w:rPr>
        <w:t>Increasing access to DR TB services by integrating it at the prim</w:t>
      </w:r>
      <w:r>
        <w:rPr>
          <w:i/>
          <w:color w:val="000000"/>
          <w:sz w:val="24"/>
          <w:szCs w:val="24"/>
        </w:rPr>
        <w:t>ary care level (iDOTS).</w:t>
      </w:r>
    </w:p>
    <w:p w14:paraId="1D7E34BE" w14:textId="77777777" w:rsidR="00155420" w:rsidRDefault="00E84F93">
      <w:pPr>
        <w:numPr>
          <w:ilvl w:val="0"/>
          <w:numId w:val="35"/>
        </w:numPr>
        <w:pBdr>
          <w:top w:val="nil"/>
          <w:left w:val="nil"/>
          <w:bottom w:val="nil"/>
          <w:right w:val="nil"/>
          <w:between w:val="nil"/>
        </w:pBdr>
        <w:spacing w:after="0" w:line="259" w:lineRule="auto"/>
        <w:rPr>
          <w:i/>
          <w:color w:val="000000"/>
          <w:sz w:val="24"/>
          <w:szCs w:val="24"/>
        </w:rPr>
      </w:pPr>
      <w:r>
        <w:rPr>
          <w:i/>
          <w:color w:val="000000"/>
          <w:sz w:val="24"/>
          <w:szCs w:val="24"/>
        </w:rPr>
        <w:t xml:space="preserve">Improving access to RDT for TB diagnosis and optimizing for multi-disease use, including HIV viral load testing and COVID-19 diagnosis.  </w:t>
      </w:r>
    </w:p>
    <w:p w14:paraId="0DBA1AFE" w14:textId="77777777" w:rsidR="00155420" w:rsidRDefault="00E84F93">
      <w:pPr>
        <w:numPr>
          <w:ilvl w:val="0"/>
          <w:numId w:val="35"/>
        </w:numPr>
        <w:pBdr>
          <w:top w:val="nil"/>
          <w:left w:val="nil"/>
          <w:bottom w:val="nil"/>
          <w:right w:val="nil"/>
          <w:between w:val="nil"/>
        </w:pBdr>
        <w:spacing w:after="0" w:line="259" w:lineRule="auto"/>
        <w:rPr>
          <w:i/>
          <w:color w:val="000000"/>
          <w:sz w:val="24"/>
          <w:szCs w:val="24"/>
        </w:rPr>
      </w:pPr>
      <w:r>
        <w:rPr>
          <w:i/>
          <w:color w:val="000000"/>
          <w:sz w:val="24"/>
          <w:szCs w:val="24"/>
        </w:rPr>
        <w:t>Adopting WHO recommendations by mainstreaming shorter treatment regimens for DR-TB</w:t>
      </w:r>
    </w:p>
    <w:p w14:paraId="37AA3E11" w14:textId="77777777" w:rsidR="00155420" w:rsidRDefault="00E84F93">
      <w:pPr>
        <w:numPr>
          <w:ilvl w:val="0"/>
          <w:numId w:val="35"/>
        </w:numPr>
        <w:pBdr>
          <w:top w:val="nil"/>
          <w:left w:val="nil"/>
          <w:bottom w:val="nil"/>
          <w:right w:val="nil"/>
          <w:between w:val="nil"/>
        </w:pBdr>
        <w:spacing w:after="0" w:line="259" w:lineRule="auto"/>
        <w:rPr>
          <w:i/>
          <w:color w:val="000000"/>
          <w:sz w:val="24"/>
          <w:szCs w:val="24"/>
        </w:rPr>
      </w:pPr>
      <w:r>
        <w:rPr>
          <w:i/>
          <w:color w:val="000000"/>
          <w:sz w:val="24"/>
          <w:szCs w:val="24"/>
        </w:rPr>
        <w:t>Reducing po</w:t>
      </w:r>
      <w:r>
        <w:rPr>
          <w:i/>
          <w:color w:val="000000"/>
          <w:sz w:val="24"/>
          <w:szCs w:val="24"/>
        </w:rPr>
        <w:t xml:space="preserve">tential TB disease management costs by scaling up systematic TPT among KVPs. </w:t>
      </w:r>
    </w:p>
    <w:p w14:paraId="191BEA12" w14:textId="77777777" w:rsidR="00155420" w:rsidRDefault="00E84F93">
      <w:pPr>
        <w:numPr>
          <w:ilvl w:val="0"/>
          <w:numId w:val="35"/>
        </w:numPr>
        <w:pBdr>
          <w:top w:val="nil"/>
          <w:left w:val="nil"/>
          <w:bottom w:val="nil"/>
          <w:right w:val="nil"/>
          <w:between w:val="nil"/>
        </w:pBdr>
        <w:spacing w:after="0" w:line="259" w:lineRule="auto"/>
        <w:rPr>
          <w:i/>
          <w:color w:val="000000"/>
          <w:sz w:val="24"/>
          <w:szCs w:val="24"/>
        </w:rPr>
      </w:pPr>
      <w:r>
        <w:rPr>
          <w:i/>
          <w:color w:val="000000"/>
          <w:sz w:val="24"/>
          <w:szCs w:val="24"/>
        </w:rPr>
        <w:t xml:space="preserve">Expanding the primary care provider network to include CBOs, CSOs, and the private sector. </w:t>
      </w:r>
    </w:p>
    <w:p w14:paraId="5EEF6A7C" w14:textId="77777777" w:rsidR="00155420" w:rsidRDefault="00E84F93">
      <w:pPr>
        <w:numPr>
          <w:ilvl w:val="0"/>
          <w:numId w:val="35"/>
        </w:numPr>
        <w:pBdr>
          <w:top w:val="nil"/>
          <w:left w:val="nil"/>
          <w:bottom w:val="nil"/>
          <w:right w:val="nil"/>
          <w:between w:val="nil"/>
        </w:pBdr>
        <w:spacing w:after="160" w:line="259" w:lineRule="auto"/>
        <w:rPr>
          <w:i/>
          <w:color w:val="000000"/>
          <w:sz w:val="24"/>
          <w:szCs w:val="24"/>
        </w:rPr>
      </w:pPr>
      <w:r>
        <w:rPr>
          <w:i/>
          <w:color w:val="000000"/>
          <w:sz w:val="24"/>
          <w:szCs w:val="24"/>
        </w:rPr>
        <w:t>RSSH interventions are supportive of TB, HIV, Malaria, and other diseases (See Section</w:t>
      </w:r>
      <w:r>
        <w:rPr>
          <w:i/>
          <w:color w:val="000000"/>
          <w:sz w:val="24"/>
          <w:szCs w:val="24"/>
        </w:rPr>
        <w:t xml:space="preserve"> 2.2)</w:t>
      </w:r>
    </w:p>
    <w:p w14:paraId="21D50EDC" w14:textId="77777777" w:rsidR="00155420" w:rsidRDefault="00E84F93">
      <w:pPr>
        <w:spacing w:after="160" w:line="259" w:lineRule="auto"/>
        <w:rPr>
          <w:sz w:val="24"/>
          <w:szCs w:val="24"/>
        </w:rPr>
      </w:pPr>
      <w:r>
        <w:rPr>
          <w:sz w:val="24"/>
          <w:szCs w:val="24"/>
        </w:rPr>
        <w:t>This FR builds on evidence and learning (See Section 1.4) by adopting and scaling up good and promising interventions that directly contribute to advancing the primary goal of ending TB. It addressed the KAP concerns as generated from the KAP consult</w:t>
      </w:r>
      <w:r>
        <w:rPr>
          <w:sz w:val="24"/>
          <w:szCs w:val="24"/>
        </w:rPr>
        <w:t>ations conducted (establishing CLM, redress mechanisms for TB, CSO, and CBO capacity building to be part of the primary care network, CSO and CBO capacity building to be part of health governance and planning, etc.), and aligns with the country’s health ca</w:t>
      </w:r>
      <w:r>
        <w:rPr>
          <w:sz w:val="24"/>
          <w:szCs w:val="24"/>
        </w:rPr>
        <w:t xml:space="preserve">re strategy on boosting primary care and realizing the provisions of the UHC law and full devolution (EO No. 138, s. 2021). All interventions will be implemented nationwide, ensuring all populations are included.      </w:t>
      </w:r>
    </w:p>
    <w:p w14:paraId="05A7D269" w14:textId="77777777" w:rsidR="00155420" w:rsidRDefault="00155420">
      <w:pPr>
        <w:pBdr>
          <w:top w:val="nil"/>
          <w:left w:val="nil"/>
          <w:bottom w:val="nil"/>
          <w:right w:val="nil"/>
          <w:between w:val="nil"/>
        </w:pBdr>
        <w:spacing w:after="0" w:line="259" w:lineRule="auto"/>
        <w:ind w:left="720"/>
        <w:rPr>
          <w:i/>
          <w:color w:val="000000"/>
          <w:sz w:val="24"/>
          <w:szCs w:val="24"/>
        </w:rPr>
      </w:pPr>
    </w:p>
    <w:p w14:paraId="123FBA5F" w14:textId="77777777" w:rsidR="00155420" w:rsidRDefault="00E84F93">
      <w:pPr>
        <w:numPr>
          <w:ilvl w:val="2"/>
          <w:numId w:val="38"/>
        </w:numPr>
        <w:pBdr>
          <w:top w:val="nil"/>
          <w:left w:val="nil"/>
          <w:bottom w:val="nil"/>
          <w:right w:val="nil"/>
          <w:between w:val="nil"/>
        </w:pBdr>
        <w:spacing w:after="160" w:line="259" w:lineRule="auto"/>
        <w:rPr>
          <w:b/>
          <w:color w:val="000000"/>
          <w:sz w:val="24"/>
          <w:szCs w:val="24"/>
        </w:rPr>
      </w:pPr>
      <w:r>
        <w:rPr>
          <w:b/>
          <w:color w:val="000000"/>
          <w:sz w:val="24"/>
          <w:szCs w:val="24"/>
        </w:rPr>
        <w:t>Program Essentials</w:t>
      </w:r>
    </w:p>
    <w:p w14:paraId="31DD9924" w14:textId="77777777" w:rsidR="00155420" w:rsidRDefault="00E84F93">
      <w:pPr>
        <w:spacing w:after="160" w:line="259" w:lineRule="auto"/>
        <w:rPr>
          <w:sz w:val="24"/>
          <w:szCs w:val="24"/>
        </w:rPr>
      </w:pPr>
      <w:r>
        <w:rPr>
          <w:sz w:val="24"/>
          <w:szCs w:val="24"/>
        </w:rPr>
        <w:t>With the increasi</w:t>
      </w:r>
      <w:r>
        <w:rPr>
          <w:sz w:val="24"/>
          <w:szCs w:val="24"/>
        </w:rPr>
        <w:t xml:space="preserve">ng domestic investment and complementation with the grants from The Global Fund and other donors, all TB program essentials in the GF guidance will be fulfilled to a scale </w:t>
      </w:r>
      <w:r>
        <w:rPr>
          <w:sz w:val="24"/>
          <w:szCs w:val="24"/>
        </w:rPr>
        <w:lastRenderedPageBreak/>
        <w:t>beyond current levels of implementation. These are all included in the Philippines N</w:t>
      </w:r>
      <w:r>
        <w:rPr>
          <w:sz w:val="24"/>
          <w:szCs w:val="24"/>
        </w:rPr>
        <w:t>TP MOP 6</w:t>
      </w:r>
      <w:r>
        <w:rPr>
          <w:sz w:val="24"/>
          <w:szCs w:val="24"/>
          <w:vertAlign w:val="superscript"/>
        </w:rPr>
        <w:t>th</w:t>
      </w:r>
      <w:r>
        <w:rPr>
          <w:sz w:val="24"/>
          <w:szCs w:val="24"/>
        </w:rPr>
        <w:t xml:space="preserve"> edition. </w:t>
      </w:r>
    </w:p>
    <w:p w14:paraId="1D48D09F" w14:textId="3E376516" w:rsidR="00155420" w:rsidRDefault="00E84F93">
      <w:pPr>
        <w:numPr>
          <w:ilvl w:val="0"/>
          <w:numId w:val="36"/>
        </w:numPr>
        <w:pBdr>
          <w:top w:val="nil"/>
          <w:left w:val="nil"/>
          <w:bottom w:val="nil"/>
          <w:right w:val="nil"/>
          <w:between w:val="nil"/>
        </w:pBdr>
        <w:spacing w:after="0" w:line="259" w:lineRule="auto"/>
        <w:rPr>
          <w:color w:val="000000"/>
          <w:sz w:val="24"/>
          <w:szCs w:val="24"/>
        </w:rPr>
      </w:pPr>
      <w:r>
        <w:rPr>
          <w:color w:val="000000"/>
          <w:sz w:val="24"/>
          <w:szCs w:val="24"/>
          <w:u w:val="single"/>
        </w:rPr>
        <w:t xml:space="preserve">For TB screening and diagnosis: </w:t>
      </w:r>
      <w:r>
        <w:rPr>
          <w:color w:val="000000"/>
          <w:sz w:val="24"/>
          <w:szCs w:val="24"/>
        </w:rPr>
        <w:t xml:space="preserve">(1) systematic screening with CXR +/- CAD is used for all active, enhanced, and intensified case-finding activities; (2) RDT has been adopted as the primary diagnostic tool for </w:t>
      </w:r>
      <w:r w:rsidR="00D76F5A">
        <w:rPr>
          <w:color w:val="000000"/>
          <w:sz w:val="24"/>
          <w:szCs w:val="24"/>
        </w:rPr>
        <w:t>TB; (</w:t>
      </w:r>
      <w:r>
        <w:rPr>
          <w:color w:val="000000"/>
          <w:sz w:val="24"/>
          <w:szCs w:val="24"/>
        </w:rPr>
        <w:t xml:space="preserve">3) DST for all BC TB cases; and (4) operationalization of the TB Laboratory network. </w:t>
      </w:r>
    </w:p>
    <w:p w14:paraId="0D7835BD" w14:textId="77777777" w:rsidR="00155420" w:rsidRDefault="00E84F93">
      <w:pPr>
        <w:numPr>
          <w:ilvl w:val="0"/>
          <w:numId w:val="36"/>
        </w:numPr>
        <w:pBdr>
          <w:top w:val="nil"/>
          <w:left w:val="nil"/>
          <w:bottom w:val="nil"/>
          <w:right w:val="nil"/>
          <w:between w:val="nil"/>
        </w:pBdr>
        <w:spacing w:after="0" w:line="259" w:lineRule="auto"/>
        <w:rPr>
          <w:color w:val="000000"/>
          <w:sz w:val="24"/>
          <w:szCs w:val="24"/>
        </w:rPr>
      </w:pPr>
      <w:r>
        <w:rPr>
          <w:color w:val="000000"/>
          <w:sz w:val="24"/>
          <w:szCs w:val="24"/>
          <w:u w:val="single"/>
        </w:rPr>
        <w:t xml:space="preserve">For TB treatment and care: </w:t>
      </w:r>
      <w:r>
        <w:rPr>
          <w:color w:val="000000"/>
          <w:sz w:val="24"/>
          <w:szCs w:val="24"/>
        </w:rPr>
        <w:t>Shorter all-oral regimen for DRTB will be fully adopted beginning July 2023, and iDOTS and DAT have been mainstreamed to support treatment adhe</w:t>
      </w:r>
      <w:r>
        <w:rPr>
          <w:color w:val="000000"/>
          <w:sz w:val="24"/>
          <w:szCs w:val="24"/>
        </w:rPr>
        <w:t>rence.</w:t>
      </w:r>
    </w:p>
    <w:p w14:paraId="57B23C32" w14:textId="4C870056" w:rsidR="00155420" w:rsidRDefault="00E84F93">
      <w:pPr>
        <w:numPr>
          <w:ilvl w:val="0"/>
          <w:numId w:val="36"/>
        </w:numPr>
        <w:pBdr>
          <w:top w:val="nil"/>
          <w:left w:val="nil"/>
          <w:bottom w:val="nil"/>
          <w:right w:val="nil"/>
          <w:between w:val="nil"/>
        </w:pBdr>
        <w:spacing w:after="0" w:line="259" w:lineRule="auto"/>
        <w:rPr>
          <w:color w:val="000000"/>
          <w:sz w:val="24"/>
          <w:szCs w:val="24"/>
        </w:rPr>
      </w:pPr>
      <w:r>
        <w:rPr>
          <w:color w:val="000000"/>
          <w:sz w:val="24"/>
          <w:szCs w:val="24"/>
          <w:u w:val="single"/>
        </w:rPr>
        <w:t xml:space="preserve">For TB Prevention: </w:t>
      </w:r>
      <w:r>
        <w:rPr>
          <w:color w:val="000000"/>
          <w:sz w:val="24"/>
          <w:szCs w:val="24"/>
        </w:rPr>
        <w:t xml:space="preserve">TPT, including shorter TPT regimens, has already been adopted for eligible populations beginning </w:t>
      </w:r>
      <w:r w:rsidR="003C2349">
        <w:rPr>
          <w:color w:val="000000"/>
          <w:sz w:val="24"/>
          <w:szCs w:val="24"/>
        </w:rPr>
        <w:t xml:space="preserve">in </w:t>
      </w:r>
      <w:r>
        <w:rPr>
          <w:color w:val="000000"/>
          <w:sz w:val="24"/>
          <w:szCs w:val="24"/>
        </w:rPr>
        <w:t xml:space="preserve">2023 and will be scaled up in 2024. This includes social and </w:t>
      </w:r>
      <w:r w:rsidR="003C2349">
        <w:rPr>
          <w:sz w:val="24"/>
          <w:szCs w:val="24"/>
        </w:rPr>
        <w:t>behaviour change</w:t>
      </w:r>
      <w:r>
        <w:rPr>
          <w:color w:val="000000"/>
          <w:sz w:val="24"/>
          <w:szCs w:val="24"/>
        </w:rPr>
        <w:t xml:space="preserve"> communication interventions for both providers and c</w:t>
      </w:r>
      <w:r>
        <w:rPr>
          <w:color w:val="000000"/>
          <w:sz w:val="24"/>
          <w:szCs w:val="24"/>
        </w:rPr>
        <w:t xml:space="preserve">lients. </w:t>
      </w:r>
    </w:p>
    <w:p w14:paraId="6BBC2E44" w14:textId="6E2DD1E2" w:rsidR="00155420" w:rsidRDefault="00E84F93">
      <w:pPr>
        <w:numPr>
          <w:ilvl w:val="0"/>
          <w:numId w:val="36"/>
        </w:numPr>
        <w:pBdr>
          <w:top w:val="nil"/>
          <w:left w:val="nil"/>
          <w:bottom w:val="nil"/>
          <w:right w:val="nil"/>
          <w:between w:val="nil"/>
        </w:pBdr>
        <w:spacing w:after="0" w:line="259" w:lineRule="auto"/>
        <w:rPr>
          <w:color w:val="000000"/>
          <w:sz w:val="24"/>
          <w:szCs w:val="24"/>
        </w:rPr>
      </w:pPr>
      <w:r>
        <w:rPr>
          <w:color w:val="000000"/>
          <w:sz w:val="24"/>
          <w:szCs w:val="24"/>
          <w:u w:val="single"/>
        </w:rPr>
        <w:t xml:space="preserve">For TB/HIV Collaborative Activities: </w:t>
      </w:r>
      <w:r>
        <w:rPr>
          <w:color w:val="000000"/>
          <w:sz w:val="24"/>
          <w:szCs w:val="24"/>
        </w:rPr>
        <w:t>All TB patients are provided PICT, and those confirmed with HIV are enrolled on ART.  Similarly, All PHIV are regularly screened for TB</w:t>
      </w:r>
      <w:r w:rsidR="00D76F5A">
        <w:rPr>
          <w:color w:val="000000"/>
          <w:sz w:val="24"/>
          <w:szCs w:val="24"/>
        </w:rPr>
        <w:t>,</w:t>
      </w:r>
      <w:r>
        <w:rPr>
          <w:color w:val="000000"/>
          <w:sz w:val="24"/>
          <w:szCs w:val="24"/>
        </w:rPr>
        <w:t xml:space="preserve"> and those testing positive are enrolled </w:t>
      </w:r>
      <w:r>
        <w:rPr>
          <w:sz w:val="24"/>
          <w:szCs w:val="24"/>
        </w:rPr>
        <w:t>in TB</w:t>
      </w:r>
      <w:r>
        <w:rPr>
          <w:color w:val="000000"/>
          <w:sz w:val="24"/>
          <w:szCs w:val="24"/>
        </w:rPr>
        <w:t xml:space="preserve"> treatment.</w:t>
      </w:r>
    </w:p>
    <w:p w14:paraId="2D47DA52" w14:textId="77777777" w:rsidR="00155420" w:rsidRDefault="00E84F93">
      <w:pPr>
        <w:numPr>
          <w:ilvl w:val="0"/>
          <w:numId w:val="36"/>
        </w:numPr>
        <w:pBdr>
          <w:top w:val="nil"/>
          <w:left w:val="nil"/>
          <w:bottom w:val="nil"/>
          <w:right w:val="nil"/>
          <w:between w:val="nil"/>
        </w:pBdr>
        <w:spacing w:after="160" w:line="259" w:lineRule="auto"/>
        <w:rPr>
          <w:color w:val="000000"/>
          <w:sz w:val="24"/>
          <w:szCs w:val="24"/>
        </w:rPr>
      </w:pPr>
      <w:r>
        <w:rPr>
          <w:color w:val="000000"/>
          <w:sz w:val="24"/>
          <w:szCs w:val="24"/>
          <w:u w:val="single"/>
        </w:rPr>
        <w:t>For crosscutting</w:t>
      </w:r>
      <w:r>
        <w:rPr>
          <w:color w:val="000000"/>
          <w:sz w:val="24"/>
          <w:szCs w:val="24"/>
          <w:u w:val="single"/>
        </w:rPr>
        <w:t xml:space="preserve"> </w:t>
      </w:r>
      <w:r>
        <w:rPr>
          <w:sz w:val="24"/>
          <w:szCs w:val="24"/>
          <w:u w:val="single"/>
        </w:rPr>
        <w:t>concerns</w:t>
      </w:r>
      <w:r>
        <w:rPr>
          <w:color w:val="000000"/>
          <w:sz w:val="24"/>
          <w:szCs w:val="24"/>
          <w:u w:val="single"/>
        </w:rPr>
        <w:t>.</w:t>
      </w:r>
      <w:r>
        <w:rPr>
          <w:color w:val="000000"/>
          <w:sz w:val="24"/>
          <w:szCs w:val="24"/>
        </w:rPr>
        <w:t xml:space="preserve"> The ITIS is fully operational, providing real-time case-based TB surveillance. Mandatory case notification is being scaled up for private providers using the MN/</w:t>
      </w:r>
      <w:proofErr w:type="spellStart"/>
      <w:r>
        <w:rPr>
          <w:color w:val="000000"/>
          <w:sz w:val="24"/>
          <w:szCs w:val="24"/>
        </w:rPr>
        <w:t>RxPASS</w:t>
      </w:r>
      <w:proofErr w:type="spellEnd"/>
      <w:r>
        <w:rPr>
          <w:color w:val="000000"/>
          <w:sz w:val="24"/>
          <w:szCs w:val="24"/>
        </w:rPr>
        <w:t xml:space="preserve"> mechanism and ITIS lite. DS and DR TB care is already integrated at the prima</w:t>
      </w:r>
      <w:r>
        <w:rPr>
          <w:color w:val="000000"/>
          <w:sz w:val="24"/>
          <w:szCs w:val="24"/>
        </w:rPr>
        <w:t xml:space="preserve">ry care level (iDOTS) and ongoing implementation of key interventions outlined in the NTP Community Engagement, Human Rights, and Gender National Action Plan 2021-2023.    </w:t>
      </w:r>
    </w:p>
    <w:p w14:paraId="388F39C1" w14:textId="77777777" w:rsidR="00155420" w:rsidRDefault="00E84F93">
      <w:pPr>
        <w:spacing w:after="160" w:line="259" w:lineRule="auto"/>
        <w:rPr>
          <w:sz w:val="24"/>
          <w:szCs w:val="24"/>
        </w:rPr>
      </w:pPr>
      <w:r>
        <w:rPr>
          <w:sz w:val="24"/>
          <w:szCs w:val="24"/>
        </w:rPr>
        <w:t>It is important to note that while shorter treatment regimens for DS TB and adoptin</w:t>
      </w:r>
      <w:r>
        <w:rPr>
          <w:sz w:val="24"/>
          <w:szCs w:val="24"/>
        </w:rPr>
        <w:t xml:space="preserve">g child-friendly formulations are already part of the DOH guidelines, the adoption plan is still up for deliberation in 2023 for preparing the 2024 budget.  </w:t>
      </w:r>
    </w:p>
    <w:p w14:paraId="69A78344" w14:textId="77777777" w:rsidR="00155420" w:rsidRDefault="00E84F93">
      <w:pPr>
        <w:pStyle w:val="Heading2"/>
        <w:numPr>
          <w:ilvl w:val="1"/>
          <w:numId w:val="38"/>
        </w:numPr>
      </w:pPr>
      <w:r>
        <w:t>Resilient and Sustainable Systems for Health</w:t>
      </w:r>
    </w:p>
    <w:p w14:paraId="5A63C5F5"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The allocation letter highlights the Philippines as a</w:t>
      </w:r>
      <w:r>
        <w:rPr>
          <w:color w:val="000000"/>
          <w:sz w:val="24"/>
          <w:szCs w:val="24"/>
        </w:rPr>
        <w:t>n RSSH-priority country and recommends support for Universal Health Care and pandemic preparedness. This FR accounts for the specific recommendations whereby:</w:t>
      </w:r>
    </w:p>
    <w:p w14:paraId="40AE2451" w14:textId="77777777" w:rsidR="00155420" w:rsidRDefault="00E84F93">
      <w:pPr>
        <w:numPr>
          <w:ilvl w:val="0"/>
          <w:numId w:val="32"/>
        </w:numPr>
        <w:pBdr>
          <w:top w:val="nil"/>
          <w:left w:val="nil"/>
          <w:bottom w:val="nil"/>
          <w:right w:val="nil"/>
          <w:between w:val="nil"/>
        </w:pBdr>
        <w:spacing w:line="264" w:lineRule="auto"/>
      </w:pPr>
      <w:r>
        <w:rPr>
          <w:i/>
          <w:color w:val="000000"/>
          <w:sz w:val="24"/>
          <w:szCs w:val="24"/>
        </w:rPr>
        <w:t>Specimen and commodity transport mechanisms (STRIDERS) will be scaled-up to support TB and HIV programs to access RDT sites for laboratory services and enable commodity transport among proximal facilities to mitigate the incidence of interrupted drug suppl</w:t>
      </w:r>
      <w:r>
        <w:rPr>
          <w:i/>
          <w:color w:val="000000"/>
          <w:sz w:val="24"/>
          <w:szCs w:val="24"/>
        </w:rPr>
        <w:t xml:space="preserve">y. </w:t>
      </w:r>
    </w:p>
    <w:p w14:paraId="73B408DF" w14:textId="77777777" w:rsidR="00155420" w:rsidRDefault="00E84F93">
      <w:pPr>
        <w:numPr>
          <w:ilvl w:val="0"/>
          <w:numId w:val="32"/>
        </w:numPr>
        <w:pBdr>
          <w:top w:val="nil"/>
          <w:left w:val="nil"/>
          <w:bottom w:val="nil"/>
          <w:right w:val="nil"/>
          <w:between w:val="nil"/>
        </w:pBdr>
        <w:spacing w:line="264" w:lineRule="auto"/>
      </w:pPr>
      <w:r>
        <w:rPr>
          <w:i/>
          <w:color w:val="000000"/>
          <w:sz w:val="24"/>
          <w:szCs w:val="24"/>
        </w:rPr>
        <w:t xml:space="preserve">Roll out eLMIS training to 120 UHC implementation sites and provide coaching and mentoring to ensure operationalization. </w:t>
      </w:r>
    </w:p>
    <w:p w14:paraId="5CC53DDC" w14:textId="77777777" w:rsidR="00155420" w:rsidRDefault="00E84F93">
      <w:pPr>
        <w:numPr>
          <w:ilvl w:val="0"/>
          <w:numId w:val="32"/>
        </w:numPr>
        <w:pBdr>
          <w:top w:val="nil"/>
          <w:left w:val="nil"/>
          <w:bottom w:val="nil"/>
          <w:right w:val="nil"/>
          <w:between w:val="nil"/>
        </w:pBdr>
        <w:spacing w:line="264" w:lineRule="auto"/>
      </w:pPr>
      <w:r>
        <w:rPr>
          <w:i/>
          <w:color w:val="000000"/>
          <w:sz w:val="24"/>
          <w:szCs w:val="24"/>
        </w:rPr>
        <w:t xml:space="preserve">Strengthen the capacity of the DOH Supply Chain Management Unit to develop policies and improve the delivery of its mandate. </w:t>
      </w:r>
    </w:p>
    <w:p w14:paraId="15E2FBAA" w14:textId="77777777" w:rsidR="00155420" w:rsidRDefault="00E84F93">
      <w:pPr>
        <w:numPr>
          <w:ilvl w:val="0"/>
          <w:numId w:val="32"/>
        </w:numPr>
        <w:pBdr>
          <w:top w:val="nil"/>
          <w:left w:val="nil"/>
          <w:bottom w:val="nil"/>
          <w:right w:val="nil"/>
          <w:between w:val="nil"/>
        </w:pBdr>
        <w:spacing w:line="264" w:lineRule="auto"/>
      </w:pPr>
      <w:r>
        <w:rPr>
          <w:i/>
          <w:color w:val="000000"/>
          <w:sz w:val="24"/>
          <w:szCs w:val="24"/>
        </w:rPr>
        <w:t>Stre</w:t>
      </w:r>
      <w:r>
        <w:rPr>
          <w:i/>
          <w:color w:val="000000"/>
          <w:sz w:val="24"/>
          <w:szCs w:val="24"/>
        </w:rPr>
        <w:t xml:space="preserve">ngthen the capacity of LGUs in managing their procurement and supply chain management systems, </w:t>
      </w:r>
    </w:p>
    <w:p w14:paraId="3FDD5AF6" w14:textId="77777777" w:rsidR="00155420" w:rsidRDefault="00E84F93">
      <w:pPr>
        <w:numPr>
          <w:ilvl w:val="0"/>
          <w:numId w:val="32"/>
        </w:numPr>
        <w:pBdr>
          <w:top w:val="nil"/>
          <w:left w:val="nil"/>
          <w:bottom w:val="nil"/>
          <w:right w:val="nil"/>
          <w:between w:val="nil"/>
        </w:pBdr>
        <w:spacing w:line="264" w:lineRule="auto"/>
      </w:pPr>
      <w:r>
        <w:rPr>
          <w:i/>
          <w:color w:val="000000"/>
          <w:sz w:val="24"/>
          <w:szCs w:val="24"/>
        </w:rPr>
        <w:t xml:space="preserve">Maintain the Integrated TB Information System while supporting its integration into the envisioned DOH health information management system for primary care. </w:t>
      </w:r>
    </w:p>
    <w:p w14:paraId="29F75DAB" w14:textId="77777777" w:rsidR="00155420" w:rsidRDefault="00E84F93">
      <w:pPr>
        <w:numPr>
          <w:ilvl w:val="0"/>
          <w:numId w:val="32"/>
        </w:numPr>
        <w:pBdr>
          <w:top w:val="nil"/>
          <w:left w:val="nil"/>
          <w:bottom w:val="nil"/>
          <w:right w:val="nil"/>
          <w:between w:val="nil"/>
        </w:pBdr>
        <w:spacing w:line="264" w:lineRule="auto"/>
      </w:pPr>
      <w:r>
        <w:rPr>
          <w:i/>
          <w:color w:val="000000"/>
          <w:sz w:val="24"/>
          <w:szCs w:val="24"/>
        </w:rPr>
        <w:lastRenderedPageBreak/>
        <w:t>S</w:t>
      </w:r>
      <w:r>
        <w:rPr>
          <w:i/>
          <w:color w:val="000000"/>
          <w:sz w:val="24"/>
          <w:szCs w:val="24"/>
        </w:rPr>
        <w:t>upport improvement of the PhilHealth comprehensive outpatient benefit package (particularly for TB, HIV, and Malaria), reimbursement policies &amp; process, and utilization tracking mechanism. This will guarantee access for all Filipinos to free healthcare for</w:t>
      </w:r>
      <w:r>
        <w:rPr>
          <w:i/>
          <w:color w:val="000000"/>
          <w:sz w:val="24"/>
          <w:szCs w:val="24"/>
        </w:rPr>
        <w:t xml:space="preserve"> primary care programs by reducing the catastrophic costs to affected populations, realizing UHC. </w:t>
      </w:r>
    </w:p>
    <w:p w14:paraId="11D13BD8" w14:textId="77777777" w:rsidR="00155420" w:rsidRDefault="00E84F93">
      <w:pPr>
        <w:numPr>
          <w:ilvl w:val="0"/>
          <w:numId w:val="32"/>
        </w:numPr>
        <w:pBdr>
          <w:top w:val="nil"/>
          <w:left w:val="nil"/>
          <w:bottom w:val="nil"/>
          <w:right w:val="nil"/>
          <w:between w:val="nil"/>
        </w:pBdr>
        <w:spacing w:line="264" w:lineRule="auto"/>
      </w:pPr>
      <w:r>
        <w:rPr>
          <w:i/>
          <w:color w:val="000000"/>
          <w:sz w:val="24"/>
          <w:szCs w:val="24"/>
        </w:rPr>
        <w:t>Support developing and testing social contracting modalities necessary to operationalize primary care provider networks.</w:t>
      </w:r>
    </w:p>
    <w:p w14:paraId="22F19554" w14:textId="77777777" w:rsidR="00155420" w:rsidRDefault="00E84F93">
      <w:pPr>
        <w:numPr>
          <w:ilvl w:val="0"/>
          <w:numId w:val="32"/>
        </w:numPr>
        <w:pBdr>
          <w:top w:val="nil"/>
          <w:left w:val="nil"/>
          <w:bottom w:val="nil"/>
          <w:right w:val="nil"/>
          <w:between w:val="nil"/>
        </w:pBdr>
        <w:spacing w:line="264" w:lineRule="auto"/>
        <w:rPr>
          <w:i/>
          <w:color w:val="000000"/>
          <w:sz w:val="24"/>
          <w:szCs w:val="24"/>
        </w:rPr>
      </w:pPr>
      <w:r>
        <w:rPr>
          <w:i/>
          <w:color w:val="000000"/>
          <w:sz w:val="24"/>
          <w:szCs w:val="24"/>
        </w:rPr>
        <w:t>Support localization and implementat</w:t>
      </w:r>
      <w:r>
        <w:rPr>
          <w:i/>
          <w:color w:val="000000"/>
          <w:sz w:val="24"/>
          <w:szCs w:val="24"/>
        </w:rPr>
        <w:t xml:space="preserve">ion of the DOH Human Resources for Health Masterplan at the LGU level. </w:t>
      </w:r>
    </w:p>
    <w:p w14:paraId="28FA7269" w14:textId="77777777" w:rsidR="00155420" w:rsidRDefault="00E84F93">
      <w:pPr>
        <w:numPr>
          <w:ilvl w:val="0"/>
          <w:numId w:val="32"/>
        </w:numPr>
        <w:pBdr>
          <w:top w:val="nil"/>
          <w:left w:val="nil"/>
          <w:bottom w:val="nil"/>
          <w:right w:val="nil"/>
          <w:between w:val="nil"/>
        </w:pBdr>
        <w:spacing w:line="264" w:lineRule="auto"/>
        <w:rPr>
          <w:i/>
          <w:color w:val="000000"/>
          <w:sz w:val="24"/>
          <w:szCs w:val="24"/>
        </w:rPr>
      </w:pPr>
      <w:r>
        <w:rPr>
          <w:i/>
          <w:color w:val="000000"/>
          <w:sz w:val="24"/>
          <w:szCs w:val="24"/>
        </w:rPr>
        <w:t>Scaling up private sector engagement as part of the primary care service delivery network (See Section 1.6)</w:t>
      </w:r>
    </w:p>
    <w:p w14:paraId="2B03F725" w14:textId="77777777" w:rsidR="00155420" w:rsidRDefault="00E84F93">
      <w:pPr>
        <w:spacing w:after="160" w:line="259" w:lineRule="auto"/>
        <w:rPr>
          <w:sz w:val="24"/>
          <w:szCs w:val="24"/>
        </w:rPr>
      </w:pPr>
      <w:r>
        <w:rPr>
          <w:sz w:val="24"/>
          <w:szCs w:val="24"/>
        </w:rPr>
        <w:t>To ensure people-</w:t>
      </w:r>
      <w:proofErr w:type="spellStart"/>
      <w:r>
        <w:rPr>
          <w:sz w:val="24"/>
          <w:szCs w:val="24"/>
        </w:rPr>
        <w:t>centered</w:t>
      </w:r>
      <w:proofErr w:type="spellEnd"/>
      <w:r>
        <w:rPr>
          <w:sz w:val="24"/>
          <w:szCs w:val="24"/>
        </w:rPr>
        <w:t xml:space="preserve"> integrated systems for health are maximized, this </w:t>
      </w:r>
      <w:r>
        <w:rPr>
          <w:sz w:val="24"/>
          <w:szCs w:val="24"/>
        </w:rPr>
        <w:t xml:space="preserve">FR includes: </w:t>
      </w:r>
    </w:p>
    <w:p w14:paraId="522D077A" w14:textId="77777777" w:rsidR="00155420" w:rsidRDefault="00E84F93">
      <w:pPr>
        <w:numPr>
          <w:ilvl w:val="0"/>
          <w:numId w:val="21"/>
        </w:numPr>
        <w:pBdr>
          <w:top w:val="nil"/>
          <w:left w:val="nil"/>
          <w:bottom w:val="nil"/>
          <w:right w:val="nil"/>
          <w:between w:val="nil"/>
        </w:pBdr>
        <w:spacing w:after="0" w:line="259" w:lineRule="auto"/>
        <w:rPr>
          <w:i/>
          <w:color w:val="000000"/>
          <w:sz w:val="24"/>
          <w:szCs w:val="24"/>
        </w:rPr>
      </w:pPr>
      <w:r>
        <w:rPr>
          <w:i/>
          <w:color w:val="000000"/>
          <w:sz w:val="24"/>
          <w:szCs w:val="24"/>
        </w:rPr>
        <w:t xml:space="preserve">Operationalizing nationwide community-led monitoring mechanism and redress mechanism for TB that will eventually integrate with HIV. </w:t>
      </w:r>
    </w:p>
    <w:p w14:paraId="2484C6A3" w14:textId="77777777" w:rsidR="00155420" w:rsidRDefault="00E84F93">
      <w:pPr>
        <w:numPr>
          <w:ilvl w:val="0"/>
          <w:numId w:val="21"/>
        </w:numPr>
        <w:pBdr>
          <w:top w:val="nil"/>
          <w:left w:val="nil"/>
          <w:bottom w:val="nil"/>
          <w:right w:val="nil"/>
          <w:between w:val="nil"/>
        </w:pBdr>
        <w:spacing w:after="0" w:line="259" w:lineRule="auto"/>
        <w:rPr>
          <w:i/>
          <w:color w:val="000000"/>
          <w:sz w:val="24"/>
          <w:szCs w:val="24"/>
        </w:rPr>
      </w:pPr>
      <w:r>
        <w:rPr>
          <w:i/>
          <w:color w:val="000000"/>
          <w:sz w:val="24"/>
          <w:szCs w:val="24"/>
        </w:rPr>
        <w:t xml:space="preserve">Strengthening CSO and CBO representation and participation in the Local Health Boards for health governance </w:t>
      </w:r>
      <w:r>
        <w:rPr>
          <w:i/>
          <w:color w:val="000000"/>
          <w:sz w:val="24"/>
          <w:szCs w:val="24"/>
        </w:rPr>
        <w:t xml:space="preserve">and planning at the LGU level. </w:t>
      </w:r>
    </w:p>
    <w:p w14:paraId="14C52399" w14:textId="77777777" w:rsidR="00155420" w:rsidRDefault="00E84F93">
      <w:pPr>
        <w:numPr>
          <w:ilvl w:val="0"/>
          <w:numId w:val="21"/>
        </w:numPr>
        <w:pBdr>
          <w:top w:val="nil"/>
          <w:left w:val="nil"/>
          <w:bottom w:val="nil"/>
          <w:right w:val="nil"/>
          <w:between w:val="nil"/>
        </w:pBdr>
        <w:spacing w:after="0" w:line="259" w:lineRule="auto"/>
        <w:rPr>
          <w:i/>
          <w:color w:val="000000"/>
          <w:sz w:val="24"/>
          <w:szCs w:val="24"/>
        </w:rPr>
      </w:pPr>
      <w:r>
        <w:rPr>
          <w:i/>
          <w:color w:val="000000"/>
          <w:sz w:val="24"/>
          <w:szCs w:val="24"/>
        </w:rPr>
        <w:t>Strengthening of CSOs and CBOs to be part of the primary care provider network</w:t>
      </w:r>
    </w:p>
    <w:p w14:paraId="69F369E3" w14:textId="77777777" w:rsidR="00155420" w:rsidRDefault="00E84F93">
      <w:pPr>
        <w:numPr>
          <w:ilvl w:val="0"/>
          <w:numId w:val="21"/>
        </w:numPr>
        <w:pBdr>
          <w:top w:val="nil"/>
          <w:left w:val="nil"/>
          <w:bottom w:val="nil"/>
          <w:right w:val="nil"/>
          <w:between w:val="nil"/>
        </w:pBdr>
        <w:spacing w:after="0" w:line="259" w:lineRule="auto"/>
        <w:rPr>
          <w:i/>
          <w:color w:val="000000"/>
          <w:sz w:val="24"/>
          <w:szCs w:val="24"/>
        </w:rPr>
      </w:pPr>
      <w:r>
        <w:rPr>
          <w:i/>
          <w:color w:val="000000"/>
          <w:sz w:val="24"/>
          <w:szCs w:val="24"/>
        </w:rPr>
        <w:t>Capacity building of TB champions to support advocacy and communication at all levels.</w:t>
      </w:r>
    </w:p>
    <w:p w14:paraId="3A322A58" w14:textId="77777777" w:rsidR="00155420" w:rsidRDefault="00E84F93">
      <w:pPr>
        <w:numPr>
          <w:ilvl w:val="0"/>
          <w:numId w:val="21"/>
        </w:numPr>
        <w:pBdr>
          <w:top w:val="nil"/>
          <w:left w:val="nil"/>
          <w:bottom w:val="nil"/>
          <w:right w:val="nil"/>
          <w:between w:val="nil"/>
        </w:pBdr>
        <w:spacing w:after="160" w:line="259" w:lineRule="auto"/>
        <w:rPr>
          <w:i/>
          <w:color w:val="000000"/>
          <w:sz w:val="24"/>
          <w:szCs w:val="24"/>
        </w:rPr>
      </w:pPr>
      <w:r>
        <w:rPr>
          <w:i/>
          <w:color w:val="000000"/>
          <w:sz w:val="24"/>
          <w:szCs w:val="24"/>
        </w:rPr>
        <w:t xml:space="preserve">Improve the capacity of local government units on data-driven planning and budgeting for health. </w:t>
      </w:r>
    </w:p>
    <w:p w14:paraId="318F35A1" w14:textId="77777777" w:rsidR="00155420" w:rsidRDefault="00E84F93">
      <w:pPr>
        <w:pStyle w:val="Heading2"/>
        <w:numPr>
          <w:ilvl w:val="1"/>
          <w:numId w:val="38"/>
        </w:numPr>
      </w:pPr>
      <w:r>
        <w:t>Engagement and Leadership of Most Affected Communities</w:t>
      </w:r>
    </w:p>
    <w:p w14:paraId="5E093C26"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The most affected TB communities have been active in formulating this FR. KAP representatives were part</w:t>
      </w:r>
      <w:r>
        <w:rPr>
          <w:color w:val="000000"/>
          <w:sz w:val="24"/>
          <w:szCs w:val="24"/>
        </w:rPr>
        <w:t xml:space="preserve"> of the Joint TB-HIV Program Review assessment teams. They were part of developing the Philippine TB-HIV Co-Financing Plan for 2024-2026. The KAP leaders facilitated two KAP consultations organized by the Philippine CCM to solicit feedback and recommendati</w:t>
      </w:r>
      <w:r>
        <w:rPr>
          <w:color w:val="000000"/>
          <w:sz w:val="24"/>
          <w:szCs w:val="24"/>
        </w:rPr>
        <w:t>ons. During the country dialogue, KAP leaders presented the KAP-recommended interventions to be included in the FR.</w:t>
      </w:r>
    </w:p>
    <w:p w14:paraId="235575C4"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This FR adopted TB KAP recommendations to include:</w:t>
      </w:r>
    </w:p>
    <w:p w14:paraId="2093B2A0" w14:textId="77777777" w:rsidR="00155420" w:rsidRDefault="00E84F93">
      <w:pPr>
        <w:numPr>
          <w:ilvl w:val="0"/>
          <w:numId w:val="24"/>
        </w:numPr>
        <w:pBdr>
          <w:top w:val="nil"/>
          <w:left w:val="nil"/>
          <w:bottom w:val="nil"/>
          <w:right w:val="nil"/>
          <w:between w:val="nil"/>
        </w:pBdr>
        <w:spacing w:line="264" w:lineRule="auto"/>
        <w:rPr>
          <w:i/>
          <w:color w:val="000000"/>
          <w:sz w:val="24"/>
          <w:szCs w:val="24"/>
        </w:rPr>
      </w:pPr>
      <w:r>
        <w:rPr>
          <w:i/>
          <w:color w:val="000000"/>
          <w:sz w:val="24"/>
          <w:szCs w:val="24"/>
        </w:rPr>
        <w:t>Establishment of a nationwide CLM and strengthening TB coalitions.</w:t>
      </w:r>
    </w:p>
    <w:p w14:paraId="5D387678" w14:textId="77777777" w:rsidR="00155420" w:rsidRDefault="00E84F93">
      <w:pPr>
        <w:numPr>
          <w:ilvl w:val="0"/>
          <w:numId w:val="24"/>
        </w:numPr>
        <w:pBdr>
          <w:top w:val="nil"/>
          <w:left w:val="nil"/>
          <w:bottom w:val="nil"/>
          <w:right w:val="nil"/>
          <w:between w:val="nil"/>
        </w:pBdr>
        <w:spacing w:line="264" w:lineRule="auto"/>
        <w:rPr>
          <w:i/>
          <w:color w:val="000000"/>
          <w:sz w:val="24"/>
          <w:szCs w:val="24"/>
        </w:rPr>
      </w:pPr>
      <w:r>
        <w:rPr>
          <w:i/>
          <w:color w:val="000000"/>
          <w:sz w:val="24"/>
          <w:szCs w:val="24"/>
        </w:rPr>
        <w:t>Establishment of a nat</w:t>
      </w:r>
      <w:r>
        <w:rPr>
          <w:i/>
          <w:color w:val="000000"/>
          <w:sz w:val="24"/>
          <w:szCs w:val="24"/>
        </w:rPr>
        <w:t>ionwide redress mechanism.</w:t>
      </w:r>
    </w:p>
    <w:p w14:paraId="5A25CB55" w14:textId="77777777" w:rsidR="00155420" w:rsidRDefault="00E84F93">
      <w:pPr>
        <w:numPr>
          <w:ilvl w:val="0"/>
          <w:numId w:val="24"/>
        </w:numPr>
        <w:pBdr>
          <w:top w:val="nil"/>
          <w:left w:val="nil"/>
          <w:bottom w:val="nil"/>
          <w:right w:val="nil"/>
          <w:between w:val="nil"/>
        </w:pBdr>
        <w:spacing w:line="264" w:lineRule="auto"/>
        <w:rPr>
          <w:i/>
          <w:color w:val="000000"/>
          <w:sz w:val="24"/>
          <w:szCs w:val="24"/>
        </w:rPr>
      </w:pPr>
      <w:r>
        <w:rPr>
          <w:i/>
          <w:color w:val="000000"/>
          <w:sz w:val="24"/>
          <w:szCs w:val="24"/>
        </w:rPr>
        <w:t xml:space="preserve">Capacity building of CSOs and CBOs to be part of the primary care network and support community-based health promotion activities and reproduction of IEC on differentiated care services. </w:t>
      </w:r>
    </w:p>
    <w:p w14:paraId="76F671BD" w14:textId="77777777" w:rsidR="00155420" w:rsidRDefault="00E84F93">
      <w:pPr>
        <w:numPr>
          <w:ilvl w:val="0"/>
          <w:numId w:val="24"/>
        </w:numPr>
        <w:pBdr>
          <w:top w:val="nil"/>
          <w:left w:val="nil"/>
          <w:bottom w:val="nil"/>
          <w:right w:val="nil"/>
          <w:between w:val="nil"/>
        </w:pBdr>
        <w:spacing w:line="264" w:lineRule="auto"/>
        <w:rPr>
          <w:i/>
          <w:color w:val="000000"/>
          <w:sz w:val="24"/>
          <w:szCs w:val="24"/>
        </w:rPr>
      </w:pPr>
      <w:r>
        <w:rPr>
          <w:i/>
          <w:color w:val="000000"/>
          <w:sz w:val="24"/>
          <w:szCs w:val="24"/>
        </w:rPr>
        <w:t>Capacity building of CSOs and CBOs on hea</w:t>
      </w:r>
      <w:r>
        <w:rPr>
          <w:i/>
          <w:color w:val="000000"/>
          <w:sz w:val="24"/>
          <w:szCs w:val="24"/>
        </w:rPr>
        <w:t>lth governance and planning and better representation in the local health board.</w:t>
      </w:r>
    </w:p>
    <w:p w14:paraId="67765525" w14:textId="66D80344" w:rsidR="00155420" w:rsidRDefault="00E84F93">
      <w:pPr>
        <w:numPr>
          <w:ilvl w:val="0"/>
          <w:numId w:val="24"/>
        </w:numPr>
        <w:pBdr>
          <w:top w:val="nil"/>
          <w:left w:val="nil"/>
          <w:bottom w:val="nil"/>
          <w:right w:val="nil"/>
          <w:between w:val="nil"/>
        </w:pBdr>
        <w:spacing w:line="264" w:lineRule="auto"/>
        <w:rPr>
          <w:i/>
          <w:color w:val="000000"/>
          <w:sz w:val="24"/>
          <w:szCs w:val="24"/>
        </w:rPr>
      </w:pPr>
      <w:r>
        <w:rPr>
          <w:i/>
          <w:color w:val="000000"/>
          <w:sz w:val="24"/>
          <w:szCs w:val="24"/>
        </w:rPr>
        <w:t xml:space="preserve">Capacity building or TB champions, including financial support </w:t>
      </w:r>
      <w:r w:rsidR="00D76F5A">
        <w:rPr>
          <w:i/>
          <w:color w:val="000000"/>
          <w:sz w:val="24"/>
          <w:szCs w:val="24"/>
        </w:rPr>
        <w:t>for</w:t>
      </w:r>
      <w:r>
        <w:rPr>
          <w:i/>
          <w:color w:val="000000"/>
          <w:sz w:val="24"/>
          <w:szCs w:val="24"/>
        </w:rPr>
        <w:t xml:space="preserve"> advocacy and communication activities.  </w:t>
      </w:r>
    </w:p>
    <w:p w14:paraId="41AD6573" w14:textId="744F998E" w:rsidR="00155420" w:rsidRDefault="00E84F93">
      <w:pPr>
        <w:numPr>
          <w:ilvl w:val="0"/>
          <w:numId w:val="24"/>
        </w:numPr>
        <w:pBdr>
          <w:top w:val="nil"/>
          <w:left w:val="nil"/>
          <w:bottom w:val="nil"/>
          <w:right w:val="nil"/>
          <w:between w:val="nil"/>
        </w:pBdr>
        <w:spacing w:line="264" w:lineRule="auto"/>
        <w:rPr>
          <w:i/>
          <w:color w:val="000000"/>
          <w:sz w:val="24"/>
          <w:szCs w:val="24"/>
        </w:rPr>
      </w:pPr>
      <w:r>
        <w:rPr>
          <w:i/>
          <w:color w:val="000000"/>
          <w:sz w:val="24"/>
          <w:szCs w:val="24"/>
        </w:rPr>
        <w:t>Continue ACF and I</w:t>
      </w:r>
      <w:r w:rsidR="00D76F5A">
        <w:rPr>
          <w:i/>
          <w:color w:val="000000"/>
          <w:sz w:val="24"/>
          <w:szCs w:val="24"/>
        </w:rPr>
        <w:t xml:space="preserve">ntensified </w:t>
      </w:r>
      <w:r>
        <w:rPr>
          <w:i/>
          <w:color w:val="000000"/>
          <w:sz w:val="24"/>
          <w:szCs w:val="24"/>
        </w:rPr>
        <w:t>C</w:t>
      </w:r>
      <w:r w:rsidR="00D76F5A">
        <w:rPr>
          <w:i/>
          <w:color w:val="000000"/>
          <w:sz w:val="24"/>
          <w:szCs w:val="24"/>
        </w:rPr>
        <w:t>ase Finding</w:t>
      </w:r>
      <w:r>
        <w:rPr>
          <w:i/>
          <w:color w:val="000000"/>
          <w:sz w:val="24"/>
          <w:szCs w:val="24"/>
        </w:rPr>
        <w:t xml:space="preserve"> in GIDA using mobile vans</w:t>
      </w:r>
      <w:r>
        <w:rPr>
          <w:i/>
          <w:color w:val="000000"/>
          <w:sz w:val="24"/>
          <w:szCs w:val="24"/>
        </w:rPr>
        <w:t xml:space="preserve"> and X-ray vouchers.</w:t>
      </w:r>
    </w:p>
    <w:p w14:paraId="3419D408" w14:textId="77777777" w:rsidR="00155420" w:rsidRDefault="00E84F93">
      <w:pPr>
        <w:numPr>
          <w:ilvl w:val="0"/>
          <w:numId w:val="24"/>
        </w:numPr>
        <w:pBdr>
          <w:top w:val="nil"/>
          <w:left w:val="nil"/>
          <w:bottom w:val="nil"/>
          <w:right w:val="nil"/>
          <w:between w:val="nil"/>
        </w:pBdr>
        <w:spacing w:line="264" w:lineRule="auto"/>
        <w:rPr>
          <w:i/>
          <w:color w:val="000000"/>
          <w:sz w:val="24"/>
          <w:szCs w:val="24"/>
        </w:rPr>
      </w:pPr>
      <w:r>
        <w:rPr>
          <w:i/>
          <w:color w:val="000000"/>
          <w:sz w:val="24"/>
          <w:szCs w:val="24"/>
        </w:rPr>
        <w:lastRenderedPageBreak/>
        <w:t>Adoption of shorter treatment regimens.</w:t>
      </w:r>
    </w:p>
    <w:p w14:paraId="5DE7F5EB" w14:textId="77777777" w:rsidR="00155420" w:rsidRDefault="00E84F93">
      <w:pPr>
        <w:numPr>
          <w:ilvl w:val="0"/>
          <w:numId w:val="24"/>
        </w:numPr>
        <w:pBdr>
          <w:top w:val="nil"/>
          <w:left w:val="nil"/>
          <w:bottom w:val="nil"/>
          <w:right w:val="nil"/>
          <w:between w:val="nil"/>
        </w:pBdr>
        <w:spacing w:line="264" w:lineRule="auto"/>
        <w:rPr>
          <w:i/>
          <w:color w:val="000000"/>
          <w:sz w:val="24"/>
          <w:szCs w:val="24"/>
        </w:rPr>
      </w:pPr>
      <w:r>
        <w:rPr>
          <w:i/>
          <w:color w:val="000000"/>
          <w:sz w:val="24"/>
          <w:szCs w:val="24"/>
        </w:rPr>
        <w:t>Enabler support for DR TB patients (medical, laboratory, psycho-social support)</w:t>
      </w:r>
    </w:p>
    <w:p w14:paraId="26D22F5C" w14:textId="77777777" w:rsidR="00155420" w:rsidRDefault="00E84F93">
      <w:pPr>
        <w:numPr>
          <w:ilvl w:val="0"/>
          <w:numId w:val="24"/>
        </w:numPr>
        <w:pBdr>
          <w:top w:val="nil"/>
          <w:left w:val="nil"/>
          <w:bottom w:val="nil"/>
          <w:right w:val="nil"/>
          <w:between w:val="nil"/>
        </w:pBdr>
        <w:spacing w:line="264" w:lineRule="auto"/>
        <w:rPr>
          <w:i/>
          <w:color w:val="000000"/>
          <w:sz w:val="24"/>
          <w:szCs w:val="24"/>
        </w:rPr>
      </w:pPr>
      <w:r>
        <w:rPr>
          <w:i/>
          <w:color w:val="000000"/>
          <w:sz w:val="24"/>
          <w:szCs w:val="24"/>
        </w:rPr>
        <w:t>Synchronization of TB care in public and private facilities.</w:t>
      </w:r>
    </w:p>
    <w:p w14:paraId="686FA0FB"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 xml:space="preserve">One TB KAP recommendation not included in the FR is </w:t>
      </w:r>
      <w:r>
        <w:rPr>
          <w:color w:val="000000"/>
          <w:sz w:val="24"/>
          <w:szCs w:val="24"/>
        </w:rPr>
        <w:t xml:space="preserve">providing various enabler support for community reintegration. However, it will still be addressed through a study on the pipeline mapping social protection programs available in the Philippines for Filipinos before, during, and after treatment. The study </w:t>
      </w:r>
      <w:r>
        <w:rPr>
          <w:color w:val="000000"/>
          <w:sz w:val="24"/>
          <w:szCs w:val="24"/>
        </w:rPr>
        <w:t>will help optimize available resources (social protection support services from other national government agencies) and inform the development of additional missing and essential social protection programs.</w:t>
      </w:r>
    </w:p>
    <w:p w14:paraId="1D7F9EBE"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 xml:space="preserve">  </w:t>
      </w:r>
    </w:p>
    <w:p w14:paraId="43F9A588" w14:textId="77777777" w:rsidR="00155420" w:rsidRDefault="00E84F93">
      <w:pPr>
        <w:pStyle w:val="Heading2"/>
        <w:numPr>
          <w:ilvl w:val="1"/>
          <w:numId w:val="38"/>
        </w:numPr>
      </w:pPr>
      <w:r>
        <w:t>Health Equity, Gender Equality, and Human Righ</w:t>
      </w:r>
      <w:r>
        <w:t>ts</w:t>
      </w:r>
    </w:p>
    <w:p w14:paraId="5B502952"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Describe how the Global Fund-supported program(s) will maximize:</w:t>
      </w:r>
    </w:p>
    <w:p w14:paraId="2D4E239B" w14:textId="77777777" w:rsidR="00155420" w:rsidRDefault="00E84F93">
      <w:pPr>
        <w:numPr>
          <w:ilvl w:val="0"/>
          <w:numId w:val="11"/>
        </w:numPr>
        <w:pBdr>
          <w:top w:val="nil"/>
          <w:left w:val="nil"/>
          <w:bottom w:val="nil"/>
          <w:right w:val="nil"/>
          <w:between w:val="nil"/>
        </w:pBdr>
        <w:tabs>
          <w:tab w:val="left" w:pos="900"/>
        </w:tabs>
        <w:spacing w:line="264" w:lineRule="auto"/>
        <w:ind w:left="900"/>
        <w:rPr>
          <w:b/>
          <w:color w:val="000000"/>
          <w:sz w:val="24"/>
          <w:szCs w:val="24"/>
        </w:rPr>
      </w:pPr>
      <w:r>
        <w:rPr>
          <w:b/>
          <w:color w:val="000000"/>
          <w:sz w:val="24"/>
          <w:szCs w:val="24"/>
        </w:rPr>
        <w:t xml:space="preserve">Health Equity </w:t>
      </w:r>
    </w:p>
    <w:p w14:paraId="29B8AB9B" w14:textId="4E410719" w:rsidR="00155420" w:rsidRDefault="00E84F93">
      <w:pPr>
        <w:pBdr>
          <w:top w:val="nil"/>
          <w:left w:val="nil"/>
          <w:bottom w:val="nil"/>
          <w:right w:val="nil"/>
          <w:between w:val="nil"/>
        </w:pBdr>
        <w:tabs>
          <w:tab w:val="left" w:pos="900"/>
        </w:tabs>
        <w:spacing w:line="264" w:lineRule="auto"/>
        <w:rPr>
          <w:color w:val="000000"/>
          <w:sz w:val="24"/>
          <w:szCs w:val="24"/>
        </w:rPr>
      </w:pPr>
      <w:r>
        <w:rPr>
          <w:color w:val="000000"/>
          <w:sz w:val="24"/>
          <w:szCs w:val="24"/>
        </w:rPr>
        <w:t xml:space="preserve">The FR focuses on finding people with TB among crucial and vulnerable populations nationwide. This includes TB contacts, urban and rural poor communities, people deprived of liberty, the elderly, children, and people with </w:t>
      </w:r>
      <w:r>
        <w:rPr>
          <w:sz w:val="24"/>
          <w:szCs w:val="24"/>
        </w:rPr>
        <w:t>comorbidities</w:t>
      </w:r>
      <w:r>
        <w:rPr>
          <w:color w:val="000000"/>
          <w:sz w:val="24"/>
          <w:szCs w:val="24"/>
        </w:rPr>
        <w:t>, including PLHIV, di</w:t>
      </w:r>
      <w:r>
        <w:rPr>
          <w:color w:val="000000"/>
          <w:sz w:val="24"/>
          <w:szCs w:val="24"/>
        </w:rPr>
        <w:t>abetes, and smokers. DRTB diagnosis, treatment, and care are also being integrated into primary care facilities to reach all population groups nationwide. In addition, support to PhilHealth for better comprehensive outpatient benefit packages for TB will r</w:t>
      </w:r>
      <w:r>
        <w:rPr>
          <w:color w:val="000000"/>
          <w:sz w:val="24"/>
          <w:szCs w:val="24"/>
        </w:rPr>
        <w:t xml:space="preserve">educe catastrophic </w:t>
      </w:r>
      <w:r w:rsidR="003C2349">
        <w:rPr>
          <w:color w:val="000000"/>
          <w:sz w:val="24"/>
          <w:szCs w:val="24"/>
        </w:rPr>
        <w:t>costs,</w:t>
      </w:r>
      <w:r>
        <w:rPr>
          <w:color w:val="000000"/>
          <w:sz w:val="24"/>
          <w:szCs w:val="24"/>
        </w:rPr>
        <w:t xml:space="preserve"> and support to localizing the DOH masterplan will ensure adequate HRH for quality service delivery. </w:t>
      </w:r>
    </w:p>
    <w:p w14:paraId="2C9C18ED" w14:textId="77777777" w:rsidR="00155420" w:rsidRDefault="00E84F93">
      <w:pPr>
        <w:numPr>
          <w:ilvl w:val="0"/>
          <w:numId w:val="11"/>
        </w:numPr>
        <w:pBdr>
          <w:top w:val="nil"/>
          <w:left w:val="nil"/>
          <w:bottom w:val="nil"/>
          <w:right w:val="nil"/>
          <w:between w:val="nil"/>
        </w:pBdr>
        <w:tabs>
          <w:tab w:val="left" w:pos="900"/>
        </w:tabs>
        <w:spacing w:line="264" w:lineRule="auto"/>
        <w:ind w:left="900"/>
        <w:rPr>
          <w:b/>
          <w:color w:val="000000"/>
          <w:sz w:val="24"/>
          <w:szCs w:val="24"/>
        </w:rPr>
      </w:pPr>
      <w:r>
        <w:rPr>
          <w:b/>
          <w:color w:val="000000"/>
          <w:sz w:val="24"/>
          <w:szCs w:val="24"/>
        </w:rPr>
        <w:t>Gender Equality</w:t>
      </w:r>
    </w:p>
    <w:p w14:paraId="7B74F7BD" w14:textId="77777777" w:rsidR="00155420" w:rsidRDefault="00E84F93">
      <w:pPr>
        <w:pBdr>
          <w:top w:val="nil"/>
          <w:left w:val="nil"/>
          <w:bottom w:val="nil"/>
          <w:right w:val="nil"/>
          <w:between w:val="nil"/>
        </w:pBdr>
        <w:tabs>
          <w:tab w:val="left" w:pos="900"/>
        </w:tabs>
        <w:spacing w:line="264" w:lineRule="auto"/>
        <w:rPr>
          <w:color w:val="000000"/>
          <w:sz w:val="24"/>
          <w:szCs w:val="24"/>
        </w:rPr>
      </w:pPr>
      <w:r>
        <w:rPr>
          <w:color w:val="000000"/>
          <w:sz w:val="24"/>
          <w:szCs w:val="24"/>
        </w:rPr>
        <w:t>The FR includes developing gender-sensitive IEC materials to support the scale-up of TPT among the eligible popul</w:t>
      </w:r>
      <w:r>
        <w:rPr>
          <w:color w:val="000000"/>
          <w:sz w:val="24"/>
          <w:szCs w:val="24"/>
        </w:rPr>
        <w:t xml:space="preserve">ation. Upskilling of program managers on gender analysis and gender data utilization in health planning and implementation will be scaled up. In the ongoing grant, differentiated service deliveries are being established to increase male access to TB care, </w:t>
      </w:r>
      <w:r>
        <w:rPr>
          <w:color w:val="000000"/>
          <w:sz w:val="24"/>
          <w:szCs w:val="24"/>
        </w:rPr>
        <w:t xml:space="preserve">which will be carried on by NTP partners in 2024 and beyond. SOGIE orientation </w:t>
      </w:r>
      <w:r>
        <w:rPr>
          <w:sz w:val="24"/>
          <w:szCs w:val="24"/>
        </w:rPr>
        <w:t>sessions</w:t>
      </w:r>
      <w:r>
        <w:rPr>
          <w:color w:val="000000"/>
          <w:sz w:val="24"/>
          <w:szCs w:val="24"/>
        </w:rPr>
        <w:t xml:space="preserve"> will also be provided to all NTP public and private implementers. </w:t>
      </w:r>
    </w:p>
    <w:p w14:paraId="5150FDFA" w14:textId="77777777" w:rsidR="00155420" w:rsidRDefault="00E84F93">
      <w:pPr>
        <w:numPr>
          <w:ilvl w:val="0"/>
          <w:numId w:val="11"/>
        </w:numPr>
        <w:pBdr>
          <w:top w:val="nil"/>
          <w:left w:val="nil"/>
          <w:bottom w:val="nil"/>
          <w:right w:val="nil"/>
          <w:between w:val="nil"/>
        </w:pBdr>
        <w:tabs>
          <w:tab w:val="left" w:pos="900"/>
        </w:tabs>
        <w:spacing w:line="264" w:lineRule="auto"/>
        <w:ind w:left="900"/>
        <w:rPr>
          <w:b/>
          <w:color w:val="000000"/>
          <w:sz w:val="24"/>
          <w:szCs w:val="24"/>
        </w:rPr>
      </w:pPr>
      <w:r>
        <w:rPr>
          <w:b/>
          <w:color w:val="000000"/>
          <w:sz w:val="24"/>
          <w:szCs w:val="24"/>
        </w:rPr>
        <w:t xml:space="preserve">Human Rights </w:t>
      </w:r>
    </w:p>
    <w:p w14:paraId="2B2C4473" w14:textId="188B4569" w:rsidR="00155420" w:rsidRDefault="00E84F93">
      <w:pPr>
        <w:pBdr>
          <w:top w:val="nil"/>
          <w:left w:val="nil"/>
          <w:bottom w:val="nil"/>
          <w:right w:val="nil"/>
          <w:between w:val="nil"/>
        </w:pBdr>
        <w:tabs>
          <w:tab w:val="left" w:pos="900"/>
        </w:tabs>
        <w:spacing w:line="264" w:lineRule="auto"/>
        <w:rPr>
          <w:color w:val="000000"/>
          <w:sz w:val="24"/>
          <w:szCs w:val="24"/>
        </w:rPr>
      </w:pPr>
      <w:r>
        <w:rPr>
          <w:color w:val="000000"/>
          <w:sz w:val="24"/>
          <w:szCs w:val="24"/>
        </w:rPr>
        <w:t>The FR will scale up the initiatives of the ongoing GF</w:t>
      </w:r>
      <w:r w:rsidR="00902DFE">
        <w:rPr>
          <w:color w:val="000000"/>
          <w:sz w:val="24"/>
          <w:szCs w:val="24"/>
        </w:rPr>
        <w:t xml:space="preserve"> </w:t>
      </w:r>
      <w:r>
        <w:rPr>
          <w:color w:val="000000"/>
          <w:sz w:val="24"/>
          <w:szCs w:val="24"/>
        </w:rPr>
        <w:t>TB grant. By the end of 2026, the CLM and redress mechanism will have nationwide coverage, and at least 34 TB champions will be actively engaged in local and national advocacy and communications. HRG training will also be provided to media professionals, c</w:t>
      </w:r>
      <w:r>
        <w:rPr>
          <w:color w:val="000000"/>
          <w:sz w:val="24"/>
          <w:szCs w:val="24"/>
        </w:rPr>
        <w:t xml:space="preserve">orrection officers, and health care providers. </w:t>
      </w:r>
    </w:p>
    <w:p w14:paraId="5C4AC771" w14:textId="77777777" w:rsidR="00155420" w:rsidRDefault="00155420">
      <w:pPr>
        <w:pBdr>
          <w:top w:val="nil"/>
          <w:left w:val="nil"/>
          <w:bottom w:val="nil"/>
          <w:right w:val="nil"/>
          <w:between w:val="nil"/>
        </w:pBdr>
        <w:tabs>
          <w:tab w:val="left" w:pos="900"/>
        </w:tabs>
        <w:spacing w:line="264" w:lineRule="auto"/>
        <w:rPr>
          <w:color w:val="000000"/>
          <w:sz w:val="24"/>
          <w:szCs w:val="24"/>
        </w:rPr>
      </w:pPr>
    </w:p>
    <w:p w14:paraId="3BD227D2" w14:textId="6D8BE1A7" w:rsidR="00155420" w:rsidRDefault="00E84F93">
      <w:pPr>
        <w:pBdr>
          <w:top w:val="nil"/>
          <w:left w:val="nil"/>
          <w:bottom w:val="nil"/>
          <w:right w:val="nil"/>
          <w:between w:val="nil"/>
        </w:pBdr>
        <w:tabs>
          <w:tab w:val="left" w:pos="900"/>
        </w:tabs>
        <w:spacing w:line="264" w:lineRule="auto"/>
        <w:rPr>
          <w:color w:val="000000"/>
          <w:sz w:val="24"/>
          <w:szCs w:val="24"/>
        </w:rPr>
      </w:pPr>
      <w:r>
        <w:rPr>
          <w:color w:val="000000"/>
          <w:sz w:val="24"/>
          <w:szCs w:val="24"/>
        </w:rPr>
        <w:t>Details on the interventions to address human rights and gender-related barriers to TB care are detailed in Section 1.1, Module 6. To emphasize, the Philippine NTP has a National Action Plan for Community En</w:t>
      </w:r>
      <w:r>
        <w:rPr>
          <w:color w:val="000000"/>
          <w:sz w:val="24"/>
          <w:szCs w:val="24"/>
        </w:rPr>
        <w:t>gagement, Human Rights, and Gender 2021-2023 (</w:t>
      </w:r>
      <w:r w:rsidR="00902DFE">
        <w:rPr>
          <w:color w:val="000000"/>
          <w:sz w:val="24"/>
          <w:szCs w:val="24"/>
        </w:rPr>
        <w:t>Annex 19</w:t>
      </w:r>
      <w:r>
        <w:rPr>
          <w:color w:val="000000"/>
          <w:sz w:val="24"/>
          <w:szCs w:val="24"/>
        </w:rPr>
        <w:t xml:space="preserve">). In 2023, this will be reviewed, and a new 3-year NAP will be developed and supported by the ongoing GF TB grant.  </w:t>
      </w:r>
    </w:p>
    <w:p w14:paraId="084E811A" w14:textId="77777777" w:rsidR="00155420" w:rsidRDefault="00E84F93">
      <w:pPr>
        <w:pStyle w:val="Heading2"/>
        <w:numPr>
          <w:ilvl w:val="1"/>
          <w:numId w:val="38"/>
        </w:numPr>
      </w:pPr>
      <w:r>
        <w:lastRenderedPageBreak/>
        <w:t>Sustainability, Domestic Financing, and Resource Mobilization</w:t>
      </w:r>
    </w:p>
    <w:p w14:paraId="46BB85CE" w14:textId="77777777" w:rsidR="00155420" w:rsidRDefault="00E84F93">
      <w:pPr>
        <w:numPr>
          <w:ilvl w:val="0"/>
          <w:numId w:val="13"/>
        </w:numPr>
        <w:pBdr>
          <w:top w:val="nil"/>
          <w:left w:val="nil"/>
          <w:bottom w:val="nil"/>
          <w:right w:val="nil"/>
          <w:between w:val="nil"/>
        </w:pBdr>
        <w:tabs>
          <w:tab w:val="left" w:pos="900"/>
        </w:tabs>
        <w:spacing w:line="264" w:lineRule="auto"/>
        <w:ind w:left="900"/>
        <w:rPr>
          <w:b/>
          <w:color w:val="000000"/>
          <w:sz w:val="24"/>
          <w:szCs w:val="24"/>
        </w:rPr>
      </w:pPr>
      <w:r>
        <w:rPr>
          <w:b/>
          <w:color w:val="000000"/>
          <w:sz w:val="24"/>
          <w:szCs w:val="24"/>
        </w:rPr>
        <w:t>Describe the major cha</w:t>
      </w:r>
      <w:r>
        <w:rPr>
          <w:b/>
          <w:color w:val="000000"/>
          <w:sz w:val="24"/>
          <w:szCs w:val="24"/>
        </w:rPr>
        <w:t>llenges to the sustainability of the national response and efforts to address these challenges.</w:t>
      </w:r>
    </w:p>
    <w:p w14:paraId="230914FE" w14:textId="77777777" w:rsidR="00155420" w:rsidRDefault="00E84F93">
      <w:pPr>
        <w:pBdr>
          <w:top w:val="nil"/>
          <w:left w:val="nil"/>
          <w:bottom w:val="nil"/>
          <w:right w:val="nil"/>
          <w:between w:val="nil"/>
        </w:pBdr>
        <w:tabs>
          <w:tab w:val="left" w:pos="900"/>
        </w:tabs>
        <w:spacing w:line="264" w:lineRule="auto"/>
        <w:rPr>
          <w:color w:val="000000"/>
          <w:sz w:val="24"/>
          <w:szCs w:val="24"/>
        </w:rPr>
      </w:pPr>
      <w:r>
        <w:rPr>
          <w:color w:val="000000"/>
          <w:sz w:val="24"/>
          <w:szCs w:val="24"/>
        </w:rPr>
        <w:t xml:space="preserve">The full devolution-transition of healthcare services from DOH to LGUs, alongside the implementation of the UHC law provisions, is currently the major concern of the evolving Philippine healthcare system. </w:t>
      </w:r>
    </w:p>
    <w:p w14:paraId="2E770FFE" w14:textId="77777777" w:rsidR="00155420" w:rsidRDefault="00E84F93">
      <w:pPr>
        <w:pBdr>
          <w:top w:val="nil"/>
          <w:left w:val="nil"/>
          <w:bottom w:val="nil"/>
          <w:right w:val="nil"/>
          <w:between w:val="nil"/>
        </w:pBdr>
        <w:tabs>
          <w:tab w:val="left" w:pos="900"/>
        </w:tabs>
        <w:spacing w:line="264" w:lineRule="auto"/>
        <w:rPr>
          <w:color w:val="000000"/>
          <w:sz w:val="24"/>
          <w:szCs w:val="24"/>
        </w:rPr>
      </w:pPr>
      <w:r>
        <w:rPr>
          <w:color w:val="000000"/>
          <w:sz w:val="24"/>
          <w:szCs w:val="24"/>
        </w:rPr>
        <w:t>Critical organizational development changes are ha</w:t>
      </w:r>
      <w:r>
        <w:rPr>
          <w:color w:val="000000"/>
          <w:sz w:val="24"/>
          <w:szCs w:val="24"/>
        </w:rPr>
        <w:t>ppening in the DOH and its regional offices for the devolution transition. In addition, work is being done to establish the Philippine Center for Disease Control and Virology Institute. At the LGU level, competencies must be developed and/or strengthened t</w:t>
      </w:r>
      <w:r>
        <w:rPr>
          <w:color w:val="000000"/>
          <w:sz w:val="24"/>
          <w:szCs w:val="24"/>
        </w:rPr>
        <w:t xml:space="preserve">o implement full devolution. </w:t>
      </w:r>
    </w:p>
    <w:p w14:paraId="28AD5433" w14:textId="77777777" w:rsidR="00155420" w:rsidRDefault="00E84F93">
      <w:pPr>
        <w:pBdr>
          <w:top w:val="nil"/>
          <w:left w:val="nil"/>
          <w:bottom w:val="nil"/>
          <w:right w:val="nil"/>
          <w:between w:val="nil"/>
        </w:pBdr>
        <w:tabs>
          <w:tab w:val="left" w:pos="900"/>
        </w:tabs>
        <w:spacing w:line="264" w:lineRule="auto"/>
        <w:rPr>
          <w:color w:val="000000"/>
          <w:sz w:val="24"/>
          <w:szCs w:val="24"/>
        </w:rPr>
      </w:pPr>
      <w:r>
        <w:rPr>
          <w:color w:val="000000"/>
          <w:sz w:val="24"/>
          <w:szCs w:val="24"/>
        </w:rPr>
        <w:t xml:space="preserve">For UHC law implementation, major changes are happening in PhilHealth to develop comprehensive primary care packages and establish provider-payment schemes. For LGUs, need to establish social contracting mechanisms in setting </w:t>
      </w:r>
      <w:r>
        <w:rPr>
          <w:color w:val="000000"/>
          <w:sz w:val="24"/>
          <w:szCs w:val="24"/>
        </w:rPr>
        <w:t xml:space="preserve">up their primary care provider networks. </w:t>
      </w:r>
    </w:p>
    <w:p w14:paraId="1C83E299" w14:textId="77777777" w:rsidR="00155420" w:rsidRDefault="00E84F93">
      <w:pPr>
        <w:pBdr>
          <w:top w:val="nil"/>
          <w:left w:val="nil"/>
          <w:bottom w:val="nil"/>
          <w:right w:val="nil"/>
          <w:between w:val="nil"/>
        </w:pBdr>
        <w:tabs>
          <w:tab w:val="left" w:pos="900"/>
        </w:tabs>
        <w:spacing w:line="264" w:lineRule="auto"/>
        <w:rPr>
          <w:color w:val="000000"/>
          <w:sz w:val="24"/>
          <w:szCs w:val="24"/>
        </w:rPr>
      </w:pPr>
      <w:r>
        <w:rPr>
          <w:color w:val="000000"/>
          <w:sz w:val="24"/>
          <w:szCs w:val="24"/>
        </w:rPr>
        <w:t>Specific to the TB program, the table below identifies specific challenges to sustainability and the national response:</w:t>
      </w:r>
    </w:p>
    <w:tbl>
      <w:tblPr>
        <w:tblStyle w:val="a8"/>
        <w:tblW w:w="10194" w:type="dxa"/>
        <w:tblBorders>
          <w:top w:val="single" w:sz="4" w:space="0" w:color="2E4DF9"/>
          <w:left w:val="single" w:sz="4" w:space="0" w:color="2E4DF9"/>
          <w:bottom w:val="single" w:sz="4" w:space="0" w:color="2E4DF9"/>
          <w:right w:val="single" w:sz="4" w:space="0" w:color="2E4DF9"/>
          <w:insideH w:val="single" w:sz="4" w:space="0" w:color="999999"/>
          <w:insideV w:val="single" w:sz="4" w:space="0" w:color="999999"/>
        </w:tblBorders>
        <w:tblLayout w:type="fixed"/>
        <w:tblLook w:val="04A0" w:firstRow="1" w:lastRow="0" w:firstColumn="1" w:lastColumn="0" w:noHBand="0" w:noVBand="1"/>
      </w:tblPr>
      <w:tblGrid>
        <w:gridCol w:w="4106"/>
        <w:gridCol w:w="6088"/>
      </w:tblGrid>
      <w:tr w:rsidR="00155420" w14:paraId="6BAFE176" w14:textId="77777777" w:rsidTr="0015542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06" w:type="dxa"/>
          </w:tcPr>
          <w:p w14:paraId="0A98D8A8" w14:textId="77777777" w:rsidR="00155420" w:rsidRDefault="00E84F93">
            <w:pPr>
              <w:keepNext w:val="0"/>
              <w:pBdr>
                <w:top w:val="nil"/>
                <w:left w:val="nil"/>
                <w:bottom w:val="nil"/>
                <w:right w:val="nil"/>
                <w:between w:val="nil"/>
              </w:pBdr>
              <w:tabs>
                <w:tab w:val="left" w:pos="900"/>
              </w:tabs>
              <w:spacing w:before="0" w:after="120" w:line="264" w:lineRule="auto"/>
              <w:ind w:left="0" w:right="0"/>
              <w:rPr>
                <w:color w:val="000000"/>
                <w:sz w:val="24"/>
                <w:szCs w:val="24"/>
              </w:rPr>
            </w:pPr>
            <w:r>
              <w:rPr>
                <w:color w:val="000000"/>
                <w:sz w:val="24"/>
                <w:szCs w:val="24"/>
              </w:rPr>
              <w:t>Challenges</w:t>
            </w:r>
          </w:p>
        </w:tc>
        <w:tc>
          <w:tcPr>
            <w:tcW w:w="6088" w:type="dxa"/>
          </w:tcPr>
          <w:p w14:paraId="24BC6D0A" w14:textId="77777777" w:rsidR="00155420" w:rsidRDefault="00E84F93">
            <w:pPr>
              <w:keepNext w:val="0"/>
              <w:pBdr>
                <w:top w:val="nil"/>
                <w:left w:val="nil"/>
                <w:bottom w:val="nil"/>
                <w:right w:val="nil"/>
                <w:between w:val="nil"/>
              </w:pBdr>
              <w:tabs>
                <w:tab w:val="left" w:pos="900"/>
              </w:tabs>
              <w:spacing w:before="0" w:after="120" w:line="264" w:lineRule="auto"/>
              <w:ind w:left="0" w:right="0"/>
              <w:cnfStyle w:val="100000000000" w:firstRow="1"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National Response</w:t>
            </w:r>
          </w:p>
        </w:tc>
      </w:tr>
      <w:tr w:rsidR="00155420" w14:paraId="735AA6D8"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4106" w:type="dxa"/>
          </w:tcPr>
          <w:p w14:paraId="55695AFC" w14:textId="2A5CB76F" w:rsidR="00155420" w:rsidRDefault="00E84F93">
            <w:pPr>
              <w:keepNext w:val="0"/>
              <w:numPr>
                <w:ilvl w:val="0"/>
                <w:numId w:val="1"/>
              </w:numPr>
              <w:pBdr>
                <w:top w:val="nil"/>
                <w:left w:val="nil"/>
                <w:bottom w:val="nil"/>
                <w:right w:val="nil"/>
                <w:between w:val="nil"/>
              </w:pBdr>
              <w:tabs>
                <w:tab w:val="left" w:pos="900"/>
              </w:tabs>
              <w:spacing w:before="0" w:after="120" w:line="264" w:lineRule="auto"/>
              <w:ind w:right="0"/>
              <w:rPr>
                <w:color w:val="000000"/>
                <w:sz w:val="24"/>
                <w:szCs w:val="24"/>
              </w:rPr>
            </w:pPr>
            <w:r>
              <w:rPr>
                <w:b w:val="0"/>
                <w:color w:val="000000"/>
                <w:sz w:val="24"/>
                <w:szCs w:val="24"/>
              </w:rPr>
              <w:t xml:space="preserve">HRH for DR TB clinical and laboratory services currently relies </w:t>
            </w:r>
            <w:r>
              <w:rPr>
                <w:b w:val="0"/>
                <w:color w:val="000000"/>
                <w:sz w:val="24"/>
                <w:szCs w:val="24"/>
              </w:rPr>
              <w:t>on the GF</w:t>
            </w:r>
            <w:r w:rsidR="00902DFE">
              <w:rPr>
                <w:b w:val="0"/>
                <w:color w:val="000000"/>
                <w:sz w:val="24"/>
                <w:szCs w:val="24"/>
              </w:rPr>
              <w:t xml:space="preserve"> </w:t>
            </w:r>
            <w:r>
              <w:rPr>
                <w:b w:val="0"/>
                <w:color w:val="000000"/>
                <w:sz w:val="24"/>
                <w:szCs w:val="24"/>
              </w:rPr>
              <w:t>TB Grant, including hiring STIDERS, notification officers, IT IS project associates, and community health volunteers.</w:t>
            </w:r>
          </w:p>
        </w:tc>
        <w:tc>
          <w:tcPr>
            <w:tcW w:w="6088" w:type="dxa"/>
          </w:tcPr>
          <w:p w14:paraId="45D45DC6" w14:textId="2FBA1F94" w:rsidR="00155420" w:rsidRDefault="00E84F93">
            <w:pPr>
              <w:keepNext w:val="0"/>
              <w:numPr>
                <w:ilvl w:val="0"/>
                <w:numId w:val="3"/>
              </w:numPr>
              <w:pBdr>
                <w:top w:val="nil"/>
                <w:left w:val="nil"/>
                <w:bottom w:val="nil"/>
                <w:right w:val="nil"/>
                <w:between w:val="nil"/>
              </w:pBdr>
              <w:tabs>
                <w:tab w:val="left" w:pos="900"/>
              </w:tabs>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 xml:space="preserve">The DOH HRH Master Plan 2023-2040 will be localized. Capacity-building support will be provided to LGUs to manage their own HRH </w:t>
            </w:r>
            <w:r>
              <w:rPr>
                <w:color w:val="000000"/>
                <w:sz w:val="24"/>
                <w:szCs w:val="24"/>
              </w:rPr>
              <w:t xml:space="preserve">based on their needs. </w:t>
            </w:r>
          </w:p>
          <w:p w14:paraId="7F1E41CD" w14:textId="77777777" w:rsidR="00155420" w:rsidRDefault="00E84F93">
            <w:pPr>
              <w:keepNext w:val="0"/>
              <w:numPr>
                <w:ilvl w:val="0"/>
                <w:numId w:val="3"/>
              </w:numPr>
              <w:pBdr>
                <w:top w:val="nil"/>
                <w:left w:val="nil"/>
                <w:bottom w:val="nil"/>
                <w:right w:val="nil"/>
                <w:between w:val="nil"/>
              </w:pBdr>
              <w:tabs>
                <w:tab w:val="left" w:pos="900"/>
              </w:tabs>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 xml:space="preserve">Full implementation of iDOTS will integrate DR and DS TB service to the primary care facility and RDT site, which will streamline manpower needs.  </w:t>
            </w:r>
          </w:p>
          <w:p w14:paraId="46CF639D" w14:textId="77777777" w:rsidR="00155420" w:rsidRDefault="00E84F93">
            <w:pPr>
              <w:keepNext w:val="0"/>
              <w:numPr>
                <w:ilvl w:val="0"/>
                <w:numId w:val="3"/>
              </w:numPr>
              <w:pBdr>
                <w:top w:val="nil"/>
                <w:left w:val="nil"/>
                <w:bottom w:val="nil"/>
                <w:right w:val="nil"/>
                <w:between w:val="nil"/>
              </w:pBdr>
              <w:tabs>
                <w:tab w:val="left" w:pos="900"/>
              </w:tabs>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 xml:space="preserve">Advocacy to LGUs to absorb STRIDERS. </w:t>
            </w:r>
          </w:p>
          <w:p w14:paraId="1D2D478B" w14:textId="77777777" w:rsidR="00155420" w:rsidRDefault="00E84F93">
            <w:pPr>
              <w:keepNext w:val="0"/>
              <w:numPr>
                <w:ilvl w:val="0"/>
                <w:numId w:val="3"/>
              </w:numPr>
              <w:pBdr>
                <w:top w:val="nil"/>
                <w:left w:val="nil"/>
                <w:bottom w:val="nil"/>
                <w:right w:val="nil"/>
                <w:between w:val="nil"/>
              </w:pBdr>
              <w:tabs>
                <w:tab w:val="left" w:pos="900"/>
              </w:tabs>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 xml:space="preserve">Support upskilling of the increasing number of DOH surveillance officers to take on the role of notification officers and ITIS project associates.  </w:t>
            </w:r>
          </w:p>
          <w:p w14:paraId="6D1E5A3D" w14:textId="125A2DE9" w:rsidR="00155420" w:rsidRDefault="00E84F93">
            <w:pPr>
              <w:keepNext w:val="0"/>
              <w:numPr>
                <w:ilvl w:val="0"/>
                <w:numId w:val="3"/>
              </w:numPr>
              <w:pBdr>
                <w:top w:val="nil"/>
                <w:left w:val="nil"/>
                <w:bottom w:val="nil"/>
                <w:right w:val="nil"/>
                <w:between w:val="nil"/>
              </w:pBdr>
              <w:tabs>
                <w:tab w:val="left" w:pos="900"/>
              </w:tabs>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Capacity building and inclusion of CBOs into the primary care provider network to augment the public health</w:t>
            </w:r>
            <w:r>
              <w:rPr>
                <w:color w:val="000000"/>
                <w:sz w:val="24"/>
                <w:szCs w:val="24"/>
              </w:rPr>
              <w:t xml:space="preserve"> sector’s manpower. </w:t>
            </w:r>
          </w:p>
          <w:p w14:paraId="4078BF96" w14:textId="76766077" w:rsidR="00155420" w:rsidRDefault="003C2349" w:rsidP="003C2349">
            <w:pPr>
              <w:keepNext w:val="0"/>
              <w:pBdr>
                <w:top w:val="nil"/>
                <w:left w:val="nil"/>
                <w:bottom w:val="nil"/>
                <w:right w:val="nil"/>
                <w:between w:val="nil"/>
              </w:pBdr>
              <w:tabs>
                <w:tab w:val="left" w:pos="900"/>
              </w:tabs>
              <w:spacing w:before="0" w:after="120" w:line="264" w:lineRule="auto"/>
              <w:ind w:left="0" w:right="0"/>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See Annex 23 for specific actions on the HRH augmentation support from the FR.</w:t>
            </w:r>
          </w:p>
        </w:tc>
      </w:tr>
      <w:tr w:rsidR="00155420" w14:paraId="049DCC92"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4106" w:type="dxa"/>
          </w:tcPr>
          <w:p w14:paraId="77BFA600" w14:textId="77777777" w:rsidR="00155420" w:rsidRDefault="00E84F93">
            <w:pPr>
              <w:keepNext w:val="0"/>
              <w:numPr>
                <w:ilvl w:val="0"/>
                <w:numId w:val="1"/>
              </w:numPr>
              <w:pBdr>
                <w:top w:val="nil"/>
                <w:left w:val="nil"/>
                <w:bottom w:val="nil"/>
                <w:right w:val="nil"/>
                <w:between w:val="nil"/>
              </w:pBdr>
              <w:tabs>
                <w:tab w:val="left" w:pos="900"/>
              </w:tabs>
              <w:spacing w:before="0" w:after="120" w:line="264" w:lineRule="auto"/>
              <w:ind w:right="0"/>
              <w:rPr>
                <w:color w:val="000000"/>
                <w:sz w:val="24"/>
                <w:szCs w:val="24"/>
              </w:rPr>
            </w:pPr>
            <w:r>
              <w:rPr>
                <w:b w:val="0"/>
                <w:color w:val="000000"/>
                <w:sz w:val="24"/>
                <w:szCs w:val="24"/>
              </w:rPr>
              <w:lastRenderedPageBreak/>
              <w:t xml:space="preserve">PhilHealth TB benefit package is underutilized.   </w:t>
            </w:r>
          </w:p>
        </w:tc>
        <w:tc>
          <w:tcPr>
            <w:tcW w:w="6088" w:type="dxa"/>
          </w:tcPr>
          <w:p w14:paraId="0E503FD2" w14:textId="77777777" w:rsidR="00155420" w:rsidRDefault="00E84F93">
            <w:pPr>
              <w:keepNext w:val="0"/>
              <w:numPr>
                <w:ilvl w:val="0"/>
                <w:numId w:val="5"/>
              </w:numPr>
              <w:pBdr>
                <w:top w:val="nil"/>
                <w:left w:val="nil"/>
                <w:bottom w:val="nil"/>
                <w:right w:val="nil"/>
                <w:between w:val="nil"/>
              </w:pBdr>
              <w:tabs>
                <w:tab w:val="left" w:pos="900"/>
              </w:tabs>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 xml:space="preserve">To pursue discussions to rationalize the DOH budget for the TB program (free RDT and medicines) vis-à-vis the current PhilHealth TB outpatient benefit package and the envisioned comprehensive primary care benefit package. </w:t>
            </w:r>
          </w:p>
          <w:p w14:paraId="37AD0B78" w14:textId="77777777" w:rsidR="00155420" w:rsidRDefault="00E84F93">
            <w:pPr>
              <w:keepNext w:val="0"/>
              <w:numPr>
                <w:ilvl w:val="0"/>
                <w:numId w:val="5"/>
              </w:numPr>
              <w:pBdr>
                <w:top w:val="nil"/>
                <w:left w:val="nil"/>
                <w:bottom w:val="nil"/>
                <w:right w:val="nil"/>
                <w:between w:val="nil"/>
              </w:pBdr>
              <w:tabs>
                <w:tab w:val="left" w:pos="900"/>
              </w:tabs>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Engage expert to support improvem</w:t>
            </w:r>
            <w:r>
              <w:rPr>
                <w:color w:val="000000"/>
                <w:sz w:val="24"/>
                <w:szCs w:val="24"/>
              </w:rPr>
              <w:t xml:space="preserve">ents in the policies and process of PhilHealth in reimbursement, utilization tracking, and introduction of new social contracting mechanisms.   </w:t>
            </w:r>
          </w:p>
        </w:tc>
      </w:tr>
      <w:tr w:rsidR="00155420" w14:paraId="31FF26DE"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4106" w:type="dxa"/>
          </w:tcPr>
          <w:p w14:paraId="34BDA594" w14:textId="77777777" w:rsidR="00155420" w:rsidRDefault="00E84F93">
            <w:pPr>
              <w:keepNext w:val="0"/>
              <w:numPr>
                <w:ilvl w:val="0"/>
                <w:numId w:val="1"/>
              </w:numPr>
              <w:pBdr>
                <w:top w:val="nil"/>
                <w:left w:val="nil"/>
                <w:bottom w:val="nil"/>
                <w:right w:val="nil"/>
                <w:between w:val="nil"/>
              </w:pBdr>
              <w:tabs>
                <w:tab w:val="left" w:pos="900"/>
              </w:tabs>
              <w:spacing w:before="0" w:after="120" w:line="264" w:lineRule="auto"/>
              <w:ind w:right="0"/>
              <w:rPr>
                <w:color w:val="000000"/>
                <w:sz w:val="24"/>
                <w:szCs w:val="24"/>
              </w:rPr>
            </w:pPr>
            <w:r>
              <w:rPr>
                <w:b w:val="0"/>
                <w:color w:val="000000"/>
                <w:sz w:val="24"/>
                <w:szCs w:val="24"/>
              </w:rPr>
              <w:t xml:space="preserve">Full devolution expects LGUs to manage the Special Health Fund. Policies and capacities in setting up and managing the SHF are still under development. </w:t>
            </w:r>
          </w:p>
        </w:tc>
        <w:tc>
          <w:tcPr>
            <w:tcW w:w="6088" w:type="dxa"/>
          </w:tcPr>
          <w:p w14:paraId="6A85DC81" w14:textId="77777777" w:rsidR="00155420" w:rsidRDefault="00E84F93">
            <w:pPr>
              <w:keepNext w:val="0"/>
              <w:numPr>
                <w:ilvl w:val="0"/>
                <w:numId w:val="7"/>
              </w:numPr>
              <w:pBdr>
                <w:top w:val="nil"/>
                <w:left w:val="nil"/>
                <w:bottom w:val="nil"/>
                <w:right w:val="nil"/>
                <w:between w:val="nil"/>
              </w:pBdr>
              <w:tabs>
                <w:tab w:val="left" w:pos="900"/>
              </w:tabs>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Support LGUs in establishing systems to manage the Special Health Fund.</w:t>
            </w:r>
          </w:p>
          <w:p w14:paraId="2C69347B" w14:textId="77777777" w:rsidR="00155420" w:rsidRDefault="00E84F93">
            <w:pPr>
              <w:keepNext w:val="0"/>
              <w:numPr>
                <w:ilvl w:val="0"/>
                <w:numId w:val="7"/>
              </w:numPr>
              <w:pBdr>
                <w:top w:val="nil"/>
                <w:left w:val="nil"/>
                <w:bottom w:val="nil"/>
                <w:right w:val="nil"/>
                <w:between w:val="nil"/>
              </w:pBdr>
              <w:tabs>
                <w:tab w:val="left" w:pos="900"/>
              </w:tabs>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Build capacities in health inve</w:t>
            </w:r>
            <w:r>
              <w:rPr>
                <w:color w:val="000000"/>
                <w:sz w:val="24"/>
                <w:szCs w:val="24"/>
              </w:rPr>
              <w:t xml:space="preserve">stment planning to consider funding requirements across the TB care cascade. </w:t>
            </w:r>
          </w:p>
          <w:p w14:paraId="5B0F1093" w14:textId="77777777" w:rsidR="00155420" w:rsidRDefault="00E84F93">
            <w:pPr>
              <w:keepNext w:val="0"/>
              <w:numPr>
                <w:ilvl w:val="0"/>
                <w:numId w:val="7"/>
              </w:numPr>
              <w:pBdr>
                <w:top w:val="nil"/>
                <w:left w:val="nil"/>
                <w:bottom w:val="nil"/>
                <w:right w:val="nil"/>
                <w:between w:val="nil"/>
              </w:pBdr>
              <w:tabs>
                <w:tab w:val="left" w:pos="900"/>
              </w:tabs>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Representation of CSOs and CBOs in the Local Health Boards should be strengthened.</w:t>
            </w:r>
          </w:p>
          <w:p w14:paraId="6BFBB296" w14:textId="77777777" w:rsidR="00155420" w:rsidRDefault="00E84F93">
            <w:pPr>
              <w:keepNext w:val="0"/>
              <w:numPr>
                <w:ilvl w:val="0"/>
                <w:numId w:val="7"/>
              </w:numPr>
              <w:pBdr>
                <w:top w:val="nil"/>
                <w:left w:val="nil"/>
                <w:bottom w:val="nil"/>
                <w:right w:val="nil"/>
                <w:between w:val="nil"/>
              </w:pBdr>
              <w:tabs>
                <w:tab w:val="left" w:pos="900"/>
              </w:tabs>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 xml:space="preserve">Capacity building on financial management and resource mobilization.  </w:t>
            </w:r>
          </w:p>
        </w:tc>
      </w:tr>
      <w:tr w:rsidR="00155420" w14:paraId="0BFA94A7"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4106" w:type="dxa"/>
          </w:tcPr>
          <w:p w14:paraId="2482EE96" w14:textId="77777777" w:rsidR="00155420" w:rsidRDefault="00E84F93">
            <w:pPr>
              <w:keepNext w:val="0"/>
              <w:numPr>
                <w:ilvl w:val="0"/>
                <w:numId w:val="1"/>
              </w:numPr>
              <w:pBdr>
                <w:top w:val="nil"/>
                <w:left w:val="nil"/>
                <w:bottom w:val="nil"/>
                <w:right w:val="nil"/>
                <w:between w:val="nil"/>
              </w:pBdr>
              <w:tabs>
                <w:tab w:val="left" w:pos="900"/>
              </w:tabs>
              <w:spacing w:before="0" w:after="120" w:line="264" w:lineRule="auto"/>
              <w:ind w:right="0"/>
              <w:rPr>
                <w:color w:val="000000"/>
                <w:sz w:val="24"/>
                <w:szCs w:val="24"/>
              </w:rPr>
            </w:pPr>
            <w:r>
              <w:rPr>
                <w:b w:val="0"/>
                <w:color w:val="000000"/>
                <w:sz w:val="24"/>
                <w:szCs w:val="24"/>
              </w:rPr>
              <w:t xml:space="preserve">Full devolution will shift PSCM to LGU. Policies and systems are not in place.   </w:t>
            </w:r>
          </w:p>
        </w:tc>
        <w:tc>
          <w:tcPr>
            <w:tcW w:w="6088" w:type="dxa"/>
          </w:tcPr>
          <w:p w14:paraId="4E07C576" w14:textId="77777777" w:rsidR="00155420" w:rsidRDefault="00E84F93">
            <w:pPr>
              <w:keepNext w:val="0"/>
              <w:numPr>
                <w:ilvl w:val="0"/>
                <w:numId w:val="14"/>
              </w:numPr>
              <w:pBdr>
                <w:top w:val="nil"/>
                <w:left w:val="nil"/>
                <w:bottom w:val="nil"/>
                <w:right w:val="nil"/>
                <w:between w:val="nil"/>
              </w:pBdr>
              <w:tabs>
                <w:tab w:val="left" w:pos="900"/>
              </w:tabs>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Capacity building for LGUs in PSCM.</w:t>
            </w:r>
          </w:p>
          <w:p w14:paraId="1B2F18F6" w14:textId="77777777" w:rsidR="00155420" w:rsidRDefault="00E84F93">
            <w:pPr>
              <w:keepNext w:val="0"/>
              <w:numPr>
                <w:ilvl w:val="0"/>
                <w:numId w:val="14"/>
              </w:numPr>
              <w:pBdr>
                <w:top w:val="nil"/>
                <w:left w:val="nil"/>
                <w:bottom w:val="nil"/>
                <w:right w:val="nil"/>
                <w:between w:val="nil"/>
              </w:pBdr>
              <w:tabs>
                <w:tab w:val="left" w:pos="900"/>
              </w:tabs>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 xml:space="preserve">Establishment of policies and systems for LGU PSCM. </w:t>
            </w:r>
          </w:p>
          <w:p w14:paraId="78DD47B7" w14:textId="77777777" w:rsidR="00155420" w:rsidRDefault="00E84F93">
            <w:pPr>
              <w:keepNext w:val="0"/>
              <w:numPr>
                <w:ilvl w:val="0"/>
                <w:numId w:val="14"/>
              </w:numPr>
              <w:pBdr>
                <w:top w:val="nil"/>
                <w:left w:val="nil"/>
                <w:bottom w:val="nil"/>
                <w:right w:val="nil"/>
                <w:between w:val="nil"/>
              </w:pBdr>
              <w:tabs>
                <w:tab w:val="left" w:pos="900"/>
              </w:tabs>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Operationalization of the eLMIS.</w:t>
            </w:r>
          </w:p>
          <w:p w14:paraId="5C153A14" w14:textId="77777777" w:rsidR="00155420" w:rsidRDefault="00E84F93">
            <w:pPr>
              <w:keepNext w:val="0"/>
              <w:numPr>
                <w:ilvl w:val="0"/>
                <w:numId w:val="14"/>
              </w:numPr>
              <w:pBdr>
                <w:top w:val="nil"/>
                <w:left w:val="nil"/>
                <w:bottom w:val="nil"/>
                <w:right w:val="nil"/>
                <w:between w:val="nil"/>
              </w:pBdr>
              <w:tabs>
                <w:tab w:val="left" w:pos="900"/>
              </w:tabs>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 xml:space="preserve">Development and adoption of innovative procurement models, like pooled procurement and provider payment schemes.  </w:t>
            </w:r>
          </w:p>
          <w:p w14:paraId="3562022F" w14:textId="77777777" w:rsidR="00155420" w:rsidRDefault="00E84F93">
            <w:pPr>
              <w:keepNext w:val="0"/>
              <w:numPr>
                <w:ilvl w:val="0"/>
                <w:numId w:val="14"/>
              </w:numPr>
              <w:pBdr>
                <w:top w:val="nil"/>
                <w:left w:val="nil"/>
                <w:bottom w:val="nil"/>
                <w:right w:val="nil"/>
                <w:between w:val="nil"/>
              </w:pBdr>
              <w:tabs>
                <w:tab w:val="left" w:pos="900"/>
              </w:tabs>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 xml:space="preserve">Development and adoption of social contracting models for the primary healthcare network </w:t>
            </w:r>
          </w:p>
        </w:tc>
      </w:tr>
      <w:tr w:rsidR="00155420" w14:paraId="0D403A65"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4106" w:type="dxa"/>
          </w:tcPr>
          <w:p w14:paraId="27257A66" w14:textId="77777777" w:rsidR="00155420" w:rsidRDefault="00E84F93">
            <w:pPr>
              <w:keepNext w:val="0"/>
              <w:numPr>
                <w:ilvl w:val="0"/>
                <w:numId w:val="1"/>
              </w:numPr>
              <w:pBdr>
                <w:top w:val="nil"/>
                <w:left w:val="nil"/>
                <w:bottom w:val="nil"/>
                <w:right w:val="nil"/>
                <w:between w:val="nil"/>
              </w:pBdr>
              <w:tabs>
                <w:tab w:val="left" w:pos="900"/>
              </w:tabs>
              <w:spacing w:before="0" w:after="120" w:line="264" w:lineRule="auto"/>
              <w:ind w:right="0"/>
              <w:rPr>
                <w:color w:val="000000"/>
                <w:sz w:val="24"/>
                <w:szCs w:val="24"/>
              </w:rPr>
            </w:pPr>
            <w:r>
              <w:rPr>
                <w:b w:val="0"/>
                <w:color w:val="000000"/>
                <w:sz w:val="24"/>
                <w:szCs w:val="24"/>
              </w:rPr>
              <w:t xml:space="preserve">Eliminating TB requires addressing social determinants of Health. </w:t>
            </w:r>
          </w:p>
        </w:tc>
        <w:tc>
          <w:tcPr>
            <w:tcW w:w="6088" w:type="dxa"/>
          </w:tcPr>
          <w:p w14:paraId="63D56994" w14:textId="77777777" w:rsidR="00155420" w:rsidRDefault="00E84F93">
            <w:pPr>
              <w:keepNext w:val="0"/>
              <w:numPr>
                <w:ilvl w:val="0"/>
                <w:numId w:val="17"/>
              </w:numPr>
              <w:pBdr>
                <w:top w:val="nil"/>
                <w:left w:val="nil"/>
                <w:bottom w:val="nil"/>
                <w:right w:val="nil"/>
                <w:between w:val="nil"/>
              </w:pBdr>
              <w:tabs>
                <w:tab w:val="left" w:pos="900"/>
              </w:tabs>
              <w:spacing w:before="0" w:after="120" w:line="264" w:lineRule="auto"/>
              <w:ind w:right="0"/>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 xml:space="preserve">Conduct of study to map out social protection packages available for Filipinos across the care continuum. This will optimize the use of available resources and will help determine gaps and </w:t>
            </w:r>
            <w:r>
              <w:rPr>
                <w:color w:val="000000"/>
                <w:sz w:val="24"/>
                <w:szCs w:val="24"/>
              </w:rPr>
              <w:t xml:space="preserve">serve as a basis for the development of relevant support packages.  </w:t>
            </w:r>
          </w:p>
        </w:tc>
      </w:tr>
    </w:tbl>
    <w:p w14:paraId="740CF02E" w14:textId="77777777" w:rsidR="00155420" w:rsidRDefault="00E84F93">
      <w:pPr>
        <w:pBdr>
          <w:top w:val="nil"/>
          <w:left w:val="nil"/>
          <w:bottom w:val="nil"/>
          <w:right w:val="nil"/>
          <w:between w:val="nil"/>
        </w:pBdr>
        <w:tabs>
          <w:tab w:val="left" w:pos="900"/>
        </w:tabs>
        <w:spacing w:line="264" w:lineRule="auto"/>
        <w:rPr>
          <w:color w:val="000000"/>
          <w:sz w:val="24"/>
          <w:szCs w:val="24"/>
        </w:rPr>
      </w:pPr>
      <w:r>
        <w:rPr>
          <w:color w:val="000000"/>
          <w:sz w:val="24"/>
          <w:szCs w:val="24"/>
        </w:rPr>
        <w:t xml:space="preserve"> </w:t>
      </w:r>
    </w:p>
    <w:p w14:paraId="2F671D75" w14:textId="77777777" w:rsidR="00155420" w:rsidRDefault="00E84F93">
      <w:pPr>
        <w:numPr>
          <w:ilvl w:val="0"/>
          <w:numId w:val="13"/>
        </w:numPr>
        <w:pBdr>
          <w:top w:val="nil"/>
          <w:left w:val="nil"/>
          <w:bottom w:val="nil"/>
          <w:right w:val="nil"/>
          <w:between w:val="nil"/>
        </w:pBdr>
        <w:tabs>
          <w:tab w:val="left" w:pos="900"/>
        </w:tabs>
        <w:spacing w:line="264" w:lineRule="auto"/>
        <w:ind w:left="900"/>
        <w:rPr>
          <w:b/>
          <w:color w:val="000000"/>
          <w:sz w:val="24"/>
          <w:szCs w:val="24"/>
        </w:rPr>
      </w:pPr>
      <w:r>
        <w:rPr>
          <w:b/>
          <w:color w:val="000000"/>
          <w:sz w:val="24"/>
          <w:szCs w:val="24"/>
        </w:rPr>
        <w:t>Describe how co-financing commitments for the 2021-2023 allocation period have been realized.</w:t>
      </w:r>
    </w:p>
    <w:p w14:paraId="21E1D803" w14:textId="766BDF4C" w:rsidR="00155420" w:rsidRDefault="00E84F93">
      <w:pPr>
        <w:pBdr>
          <w:top w:val="nil"/>
          <w:left w:val="nil"/>
          <w:bottom w:val="nil"/>
          <w:right w:val="nil"/>
          <w:between w:val="nil"/>
        </w:pBdr>
        <w:tabs>
          <w:tab w:val="left" w:pos="900"/>
        </w:tabs>
        <w:spacing w:line="264" w:lineRule="auto"/>
        <w:jc w:val="both"/>
        <w:rPr>
          <w:color w:val="000000"/>
          <w:sz w:val="24"/>
          <w:szCs w:val="24"/>
        </w:rPr>
      </w:pPr>
      <w:r>
        <w:rPr>
          <w:color w:val="000000"/>
          <w:sz w:val="24"/>
          <w:szCs w:val="24"/>
        </w:rPr>
        <w:t>T</w:t>
      </w:r>
      <w:r>
        <w:rPr>
          <w:sz w:val="24"/>
          <w:szCs w:val="24"/>
        </w:rPr>
        <w:t xml:space="preserve">he total domestic funding commitment for 2021 to 2023 is USD 176 million. </w:t>
      </w:r>
      <w:r>
        <w:rPr>
          <w:highlight w:val="white"/>
        </w:rPr>
        <w:t xml:space="preserve">While this </w:t>
      </w:r>
      <w:r>
        <w:rPr>
          <w:highlight w:val="white"/>
        </w:rPr>
        <w:t>consists of national government, social health insurance</w:t>
      </w:r>
      <w:r w:rsidR="00902DFE">
        <w:rPr>
          <w:highlight w:val="white"/>
        </w:rPr>
        <w:t>,</w:t>
      </w:r>
      <w:r>
        <w:rPr>
          <w:highlight w:val="white"/>
        </w:rPr>
        <w:t xml:space="preserve"> and private sector commitment, the subsequent utilization data is available only for national and Phil</w:t>
      </w:r>
      <w:r w:rsidR="00902DFE">
        <w:rPr>
          <w:highlight w:val="white"/>
        </w:rPr>
        <w:t>H</w:t>
      </w:r>
      <w:r>
        <w:rPr>
          <w:highlight w:val="white"/>
        </w:rPr>
        <w:t xml:space="preserve">ealth and none from the private sector. </w:t>
      </w:r>
      <w:r>
        <w:rPr>
          <w:color w:val="000000"/>
          <w:sz w:val="24"/>
          <w:szCs w:val="24"/>
        </w:rPr>
        <w:t>For 2021, the committed budget is USD 40 million, while</w:t>
      </w:r>
      <w:r>
        <w:rPr>
          <w:color w:val="000000"/>
          <w:sz w:val="24"/>
          <w:szCs w:val="24"/>
        </w:rPr>
        <w:t xml:space="preserve"> the actual budget utilized is USD 24 million based on </w:t>
      </w:r>
      <w:r>
        <w:rPr>
          <w:color w:val="000000"/>
          <w:sz w:val="24"/>
          <w:szCs w:val="24"/>
        </w:rPr>
        <w:lastRenderedPageBreak/>
        <w:t xml:space="preserve">actual national government disbursements and social health insurance reimbursements. </w:t>
      </w:r>
      <w:r>
        <w:rPr>
          <w:color w:val="000000"/>
          <w:sz w:val="24"/>
          <w:szCs w:val="24"/>
          <w:highlight w:val="white"/>
        </w:rPr>
        <w:t xml:space="preserve">While this </w:t>
      </w:r>
      <w:r w:rsidR="00902DFE">
        <w:rPr>
          <w:color w:val="000000"/>
          <w:sz w:val="24"/>
          <w:szCs w:val="24"/>
          <w:highlight w:val="white"/>
        </w:rPr>
        <w:t>includes</w:t>
      </w:r>
      <w:r>
        <w:rPr>
          <w:color w:val="000000"/>
          <w:sz w:val="24"/>
          <w:szCs w:val="24"/>
          <w:highlight w:val="white"/>
        </w:rPr>
        <w:t xml:space="preserve"> the national government, social health insurance, and private sector commitment, the subsequent </w:t>
      </w:r>
      <w:r>
        <w:rPr>
          <w:color w:val="000000"/>
          <w:sz w:val="24"/>
          <w:szCs w:val="24"/>
          <w:highlight w:val="white"/>
        </w:rPr>
        <w:t xml:space="preserve">utilization data is available only for national and PhilHealth and none from the private sector. </w:t>
      </w:r>
      <w:r>
        <w:rPr>
          <w:color w:val="000000"/>
          <w:sz w:val="24"/>
          <w:szCs w:val="24"/>
        </w:rPr>
        <w:t>This results in a 59% actual-to-committed ratio for the 2021 TB budget. For 2022, the ratio of actual to committed budget is 53% for a budget difference of USD</w:t>
      </w:r>
      <w:r>
        <w:rPr>
          <w:color w:val="000000"/>
          <w:sz w:val="24"/>
          <w:szCs w:val="24"/>
        </w:rPr>
        <w:t xml:space="preserve"> 33 million. The 2023 ongoing actual-to-committed ratio is 77% for the budget difference of USD 17 million.</w:t>
      </w:r>
    </w:p>
    <w:tbl>
      <w:tblPr>
        <w:tblStyle w:val="a9"/>
        <w:tblW w:w="10193" w:type="dxa"/>
        <w:tblBorders>
          <w:top w:val="single" w:sz="4" w:space="0" w:color="2E4DF9"/>
          <w:left w:val="single" w:sz="4" w:space="0" w:color="2E4DF9"/>
          <w:bottom w:val="single" w:sz="4" w:space="0" w:color="2E4DF9"/>
          <w:right w:val="single" w:sz="4" w:space="0" w:color="2E4DF9"/>
          <w:insideH w:val="single" w:sz="4" w:space="0" w:color="999999"/>
          <w:insideV w:val="single" w:sz="4" w:space="0" w:color="999999"/>
        </w:tblBorders>
        <w:tblLayout w:type="fixed"/>
        <w:tblLook w:val="04A0" w:firstRow="1" w:lastRow="0" w:firstColumn="1" w:lastColumn="0" w:noHBand="0" w:noVBand="1"/>
      </w:tblPr>
      <w:tblGrid>
        <w:gridCol w:w="3344"/>
        <w:gridCol w:w="2283"/>
        <w:gridCol w:w="2283"/>
        <w:gridCol w:w="2283"/>
      </w:tblGrid>
      <w:tr w:rsidR="00155420" w14:paraId="1010B1D7" w14:textId="77777777" w:rsidTr="0015542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45" w:type="dxa"/>
          </w:tcPr>
          <w:p w14:paraId="7028C201" w14:textId="77777777" w:rsidR="00155420" w:rsidRDefault="00E84F93">
            <w:pPr>
              <w:jc w:val="center"/>
            </w:pPr>
            <w:r>
              <w:t>Particulars</w:t>
            </w:r>
          </w:p>
        </w:tc>
        <w:tc>
          <w:tcPr>
            <w:tcW w:w="2283" w:type="dxa"/>
          </w:tcPr>
          <w:p w14:paraId="66A7952D" w14:textId="77777777" w:rsidR="00155420" w:rsidRDefault="00E84F93">
            <w:pPr>
              <w:jc w:val="center"/>
              <w:cnfStyle w:val="100000000000" w:firstRow="1" w:lastRow="0" w:firstColumn="0" w:lastColumn="0" w:oddVBand="0" w:evenVBand="0" w:oddHBand="0" w:evenHBand="0" w:firstRowFirstColumn="0" w:firstRowLastColumn="0" w:lastRowFirstColumn="0" w:lastRowLastColumn="0"/>
            </w:pPr>
            <w:r>
              <w:t>2021</w:t>
            </w:r>
          </w:p>
          <w:p w14:paraId="4612C014" w14:textId="77777777" w:rsidR="00155420" w:rsidRDefault="00E84F93">
            <w:pPr>
              <w:jc w:val="center"/>
              <w:cnfStyle w:val="100000000000" w:firstRow="1" w:lastRow="0" w:firstColumn="0" w:lastColumn="0" w:oddVBand="0" w:evenVBand="0" w:oddHBand="0" w:evenHBand="0" w:firstRowFirstColumn="0" w:firstRowLastColumn="0" w:lastRowFirstColumn="0" w:lastRowLastColumn="0"/>
            </w:pPr>
            <w:r>
              <w:t>(USD M)</w:t>
            </w:r>
          </w:p>
        </w:tc>
        <w:tc>
          <w:tcPr>
            <w:tcW w:w="2283" w:type="dxa"/>
          </w:tcPr>
          <w:p w14:paraId="585FAC36" w14:textId="77777777" w:rsidR="00155420" w:rsidRDefault="00E84F93">
            <w:pPr>
              <w:jc w:val="center"/>
              <w:cnfStyle w:val="100000000000" w:firstRow="1" w:lastRow="0" w:firstColumn="0" w:lastColumn="0" w:oddVBand="0" w:evenVBand="0" w:oddHBand="0" w:evenHBand="0" w:firstRowFirstColumn="0" w:firstRowLastColumn="0" w:lastRowFirstColumn="0" w:lastRowLastColumn="0"/>
            </w:pPr>
            <w:r>
              <w:t>2022</w:t>
            </w:r>
          </w:p>
          <w:p w14:paraId="695E7180" w14:textId="77777777" w:rsidR="00155420" w:rsidRDefault="00E84F93">
            <w:pPr>
              <w:jc w:val="center"/>
              <w:cnfStyle w:val="100000000000" w:firstRow="1" w:lastRow="0" w:firstColumn="0" w:lastColumn="0" w:oddVBand="0" w:evenVBand="0" w:oddHBand="0" w:evenHBand="0" w:firstRowFirstColumn="0" w:firstRowLastColumn="0" w:lastRowFirstColumn="0" w:lastRowLastColumn="0"/>
            </w:pPr>
            <w:r>
              <w:t>(USD M)</w:t>
            </w:r>
          </w:p>
        </w:tc>
        <w:tc>
          <w:tcPr>
            <w:tcW w:w="2283" w:type="dxa"/>
          </w:tcPr>
          <w:p w14:paraId="67352C31" w14:textId="77777777" w:rsidR="00155420" w:rsidRDefault="00E84F93">
            <w:pPr>
              <w:jc w:val="center"/>
              <w:cnfStyle w:val="100000000000" w:firstRow="1" w:lastRow="0" w:firstColumn="0" w:lastColumn="0" w:oddVBand="0" w:evenVBand="0" w:oddHBand="0" w:evenHBand="0" w:firstRowFirstColumn="0" w:firstRowLastColumn="0" w:lastRowFirstColumn="0" w:lastRowLastColumn="0"/>
            </w:pPr>
            <w:r>
              <w:t>2023</w:t>
            </w:r>
          </w:p>
          <w:p w14:paraId="7DED34D4" w14:textId="77777777" w:rsidR="00155420" w:rsidRDefault="00E84F93">
            <w:pPr>
              <w:jc w:val="center"/>
              <w:cnfStyle w:val="100000000000" w:firstRow="1" w:lastRow="0" w:firstColumn="0" w:lastColumn="0" w:oddVBand="0" w:evenVBand="0" w:oddHBand="0" w:evenHBand="0" w:firstRowFirstColumn="0" w:firstRowLastColumn="0" w:lastRowFirstColumn="0" w:lastRowLastColumn="0"/>
            </w:pPr>
            <w:r>
              <w:t>(USD M)</w:t>
            </w:r>
          </w:p>
        </w:tc>
      </w:tr>
      <w:tr w:rsidR="00155420" w14:paraId="24DC4E9C"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45" w:type="dxa"/>
          </w:tcPr>
          <w:p w14:paraId="6B832C4A" w14:textId="77777777" w:rsidR="00155420" w:rsidRDefault="00E84F93">
            <w:pPr>
              <w:keepNext w:val="0"/>
              <w:pBdr>
                <w:top w:val="nil"/>
                <w:left w:val="nil"/>
                <w:bottom w:val="nil"/>
                <w:right w:val="nil"/>
                <w:between w:val="nil"/>
              </w:pBdr>
              <w:tabs>
                <w:tab w:val="left" w:pos="900"/>
              </w:tabs>
              <w:spacing w:before="0" w:line="360" w:lineRule="auto"/>
              <w:ind w:left="0" w:right="0"/>
              <w:jc w:val="right"/>
              <w:rPr>
                <w:color w:val="000000"/>
                <w:sz w:val="24"/>
                <w:szCs w:val="24"/>
              </w:rPr>
            </w:pPr>
            <w:r>
              <w:rPr>
                <w:b w:val="0"/>
                <w:color w:val="000000"/>
                <w:sz w:val="24"/>
                <w:szCs w:val="24"/>
              </w:rPr>
              <w:t xml:space="preserve">Committed </w:t>
            </w:r>
          </w:p>
        </w:tc>
        <w:tc>
          <w:tcPr>
            <w:tcW w:w="2283" w:type="dxa"/>
          </w:tcPr>
          <w:p w14:paraId="22471303" w14:textId="77777777" w:rsidR="00155420" w:rsidRDefault="00E84F93">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40</w:t>
            </w:r>
          </w:p>
        </w:tc>
        <w:tc>
          <w:tcPr>
            <w:tcW w:w="2283" w:type="dxa"/>
          </w:tcPr>
          <w:p w14:paraId="1BB124F2" w14:textId="77777777" w:rsidR="00155420" w:rsidRDefault="00E84F93">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62</w:t>
            </w:r>
          </w:p>
        </w:tc>
        <w:tc>
          <w:tcPr>
            <w:tcW w:w="2283" w:type="dxa"/>
          </w:tcPr>
          <w:p w14:paraId="75E31CFF" w14:textId="77777777" w:rsidR="00155420" w:rsidRDefault="00E84F93">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74</w:t>
            </w:r>
          </w:p>
        </w:tc>
      </w:tr>
      <w:tr w:rsidR="00155420" w14:paraId="45E1A0AD" w14:textId="77777777" w:rsidTr="00155420">
        <w:trPr>
          <w:cantSplit/>
        </w:trPr>
        <w:tc>
          <w:tcPr>
            <w:cnfStyle w:val="001000000000" w:firstRow="0" w:lastRow="0" w:firstColumn="1" w:lastColumn="0" w:oddVBand="0" w:evenVBand="0" w:oddHBand="0" w:evenHBand="0" w:firstRowFirstColumn="0" w:firstRowLastColumn="0" w:lastRowFirstColumn="0" w:lastRowLastColumn="0"/>
            <w:tcW w:w="3345" w:type="dxa"/>
          </w:tcPr>
          <w:p w14:paraId="32C086C5" w14:textId="77777777" w:rsidR="00155420" w:rsidRDefault="00E84F93">
            <w:pPr>
              <w:keepNext w:val="0"/>
              <w:pBdr>
                <w:top w:val="nil"/>
                <w:left w:val="nil"/>
                <w:bottom w:val="nil"/>
                <w:right w:val="nil"/>
                <w:between w:val="nil"/>
              </w:pBdr>
              <w:tabs>
                <w:tab w:val="left" w:pos="900"/>
              </w:tabs>
              <w:spacing w:before="0" w:line="360" w:lineRule="auto"/>
              <w:ind w:left="0" w:right="0"/>
              <w:jc w:val="right"/>
              <w:rPr>
                <w:color w:val="000000"/>
                <w:sz w:val="24"/>
                <w:szCs w:val="24"/>
              </w:rPr>
            </w:pPr>
            <w:r>
              <w:rPr>
                <w:b w:val="0"/>
                <w:color w:val="000000"/>
                <w:sz w:val="24"/>
                <w:szCs w:val="24"/>
              </w:rPr>
              <w:t>Actual</w:t>
            </w:r>
          </w:p>
        </w:tc>
        <w:tc>
          <w:tcPr>
            <w:tcW w:w="2283" w:type="dxa"/>
          </w:tcPr>
          <w:p w14:paraId="1EFF1414" w14:textId="77777777" w:rsidR="00155420" w:rsidRDefault="00E84F93">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24*</w:t>
            </w:r>
          </w:p>
        </w:tc>
        <w:tc>
          <w:tcPr>
            <w:tcW w:w="2283" w:type="dxa"/>
          </w:tcPr>
          <w:p w14:paraId="3AB1F4F2" w14:textId="77777777" w:rsidR="00155420" w:rsidRDefault="00E84F93">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33*</w:t>
            </w:r>
          </w:p>
        </w:tc>
        <w:tc>
          <w:tcPr>
            <w:tcW w:w="2283" w:type="dxa"/>
          </w:tcPr>
          <w:p w14:paraId="580EABCC" w14:textId="77777777" w:rsidR="00155420" w:rsidRDefault="00E84F93">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57*</w:t>
            </w:r>
          </w:p>
        </w:tc>
      </w:tr>
      <w:tr w:rsidR="00155420" w14:paraId="477C40BA" w14:textId="77777777" w:rsidTr="001554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45" w:type="dxa"/>
          </w:tcPr>
          <w:p w14:paraId="7BDDF871" w14:textId="77777777" w:rsidR="00155420" w:rsidRDefault="00E84F93">
            <w:pPr>
              <w:keepNext w:val="0"/>
              <w:pBdr>
                <w:top w:val="nil"/>
                <w:left w:val="nil"/>
                <w:bottom w:val="nil"/>
                <w:right w:val="nil"/>
                <w:between w:val="nil"/>
              </w:pBdr>
              <w:tabs>
                <w:tab w:val="left" w:pos="900"/>
              </w:tabs>
              <w:spacing w:before="0" w:line="360" w:lineRule="auto"/>
              <w:ind w:left="0" w:right="0"/>
              <w:jc w:val="right"/>
              <w:rPr>
                <w:color w:val="000000"/>
                <w:sz w:val="24"/>
                <w:szCs w:val="24"/>
              </w:rPr>
            </w:pPr>
            <w:r>
              <w:rPr>
                <w:b w:val="0"/>
                <w:color w:val="000000"/>
                <w:sz w:val="24"/>
                <w:szCs w:val="24"/>
              </w:rPr>
              <w:t>Ratio actual/committed</w:t>
            </w:r>
          </w:p>
        </w:tc>
        <w:tc>
          <w:tcPr>
            <w:tcW w:w="2283" w:type="dxa"/>
          </w:tcPr>
          <w:p w14:paraId="0D9100F6" w14:textId="77777777" w:rsidR="00155420" w:rsidRDefault="00E84F93">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59%</w:t>
            </w:r>
          </w:p>
        </w:tc>
        <w:tc>
          <w:tcPr>
            <w:tcW w:w="2283" w:type="dxa"/>
          </w:tcPr>
          <w:p w14:paraId="0EDEA53A" w14:textId="77777777" w:rsidR="00155420" w:rsidRDefault="00E84F93">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53%</w:t>
            </w:r>
          </w:p>
        </w:tc>
        <w:tc>
          <w:tcPr>
            <w:tcW w:w="2283" w:type="dxa"/>
          </w:tcPr>
          <w:p w14:paraId="0E755CF8" w14:textId="77777777" w:rsidR="00155420" w:rsidRDefault="00E84F93">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77%</w:t>
            </w:r>
          </w:p>
        </w:tc>
      </w:tr>
    </w:tbl>
    <w:p w14:paraId="04CC06FA" w14:textId="77777777" w:rsidR="00155420" w:rsidRDefault="00E84F93">
      <w:pPr>
        <w:pBdr>
          <w:top w:val="nil"/>
          <w:left w:val="nil"/>
          <w:bottom w:val="nil"/>
          <w:right w:val="nil"/>
          <w:between w:val="nil"/>
        </w:pBdr>
        <w:tabs>
          <w:tab w:val="left" w:pos="900"/>
        </w:tabs>
        <w:spacing w:after="0" w:line="264" w:lineRule="auto"/>
        <w:rPr>
          <w:color w:val="000000"/>
        </w:rPr>
      </w:pPr>
      <w:r>
        <w:rPr>
          <w:color w:val="000000"/>
        </w:rPr>
        <w:t xml:space="preserve">*Based on 2021 </w:t>
      </w:r>
      <w:r>
        <w:rPr>
          <w:color w:val="000000"/>
        </w:rPr>
        <w:t>national government TB budget disbursement, 2022-2023 national government TB budget allotment, and social health insurance reimbursements</w:t>
      </w:r>
    </w:p>
    <w:p w14:paraId="22344B69" w14:textId="77777777" w:rsidR="00155420" w:rsidRDefault="00155420">
      <w:pPr>
        <w:pBdr>
          <w:top w:val="nil"/>
          <w:left w:val="nil"/>
          <w:bottom w:val="nil"/>
          <w:right w:val="nil"/>
          <w:between w:val="nil"/>
        </w:pBdr>
        <w:tabs>
          <w:tab w:val="left" w:pos="900"/>
        </w:tabs>
        <w:spacing w:line="264" w:lineRule="auto"/>
        <w:rPr>
          <w:b/>
          <w:color w:val="000000"/>
          <w:sz w:val="24"/>
          <w:szCs w:val="24"/>
        </w:rPr>
      </w:pPr>
    </w:p>
    <w:p w14:paraId="4B3DC386" w14:textId="77777777" w:rsidR="00155420" w:rsidRDefault="00E84F93">
      <w:pPr>
        <w:numPr>
          <w:ilvl w:val="0"/>
          <w:numId w:val="13"/>
        </w:numPr>
        <w:pBdr>
          <w:top w:val="nil"/>
          <w:left w:val="nil"/>
          <w:bottom w:val="nil"/>
          <w:right w:val="nil"/>
          <w:between w:val="nil"/>
        </w:pBdr>
        <w:tabs>
          <w:tab w:val="left" w:pos="900"/>
        </w:tabs>
        <w:spacing w:line="264" w:lineRule="auto"/>
        <w:ind w:left="900"/>
        <w:rPr>
          <w:b/>
          <w:color w:val="000000"/>
          <w:sz w:val="24"/>
          <w:szCs w:val="24"/>
        </w:rPr>
      </w:pPr>
      <w:r>
        <w:rPr>
          <w:b/>
          <w:color w:val="000000"/>
          <w:sz w:val="24"/>
          <w:szCs w:val="24"/>
        </w:rPr>
        <w:t>Describe how co-financing will increase over the 2024-2026 allocation period, how these co-financing commitments will</w:t>
      </w:r>
      <w:r>
        <w:rPr>
          <w:b/>
          <w:color w:val="000000"/>
          <w:sz w:val="24"/>
          <w:szCs w:val="24"/>
        </w:rPr>
        <w:t xml:space="preserve"> be tracked and reported, and planned actions to address remaining funding gaps.</w:t>
      </w:r>
    </w:p>
    <w:p w14:paraId="1B82D75B" w14:textId="77777777" w:rsidR="00155420" w:rsidRDefault="00E84F93">
      <w:pPr>
        <w:pBdr>
          <w:top w:val="nil"/>
          <w:left w:val="nil"/>
          <w:bottom w:val="nil"/>
          <w:right w:val="nil"/>
          <w:between w:val="nil"/>
        </w:pBdr>
        <w:tabs>
          <w:tab w:val="left" w:pos="900"/>
        </w:tabs>
        <w:spacing w:line="264" w:lineRule="auto"/>
        <w:jc w:val="both"/>
        <w:rPr>
          <w:color w:val="000000"/>
          <w:sz w:val="24"/>
          <w:szCs w:val="24"/>
        </w:rPr>
      </w:pPr>
      <w:r>
        <w:rPr>
          <w:color w:val="000000"/>
          <w:sz w:val="24"/>
          <w:szCs w:val="24"/>
        </w:rPr>
        <w:t>The total funding requirement for fully implementing the TB sub-plan for three years is USD 619 million. This implies a year-on-year increase in funding requirement of 8% from</w:t>
      </w:r>
      <w:r>
        <w:rPr>
          <w:color w:val="000000"/>
          <w:sz w:val="24"/>
          <w:szCs w:val="24"/>
        </w:rPr>
        <w:t xml:space="preserve"> 2024 to 2025 and 12% from 2025 to 2026. The total TB committed funding from all funding sources is USD 412 million. This leaves a total funding gap of USD 207 million (33%) to achieve the planned TB programs for the next three years. If the entire USAID f</w:t>
      </w:r>
      <w:r>
        <w:rPr>
          <w:color w:val="000000"/>
          <w:sz w:val="24"/>
          <w:szCs w:val="24"/>
        </w:rPr>
        <w:t xml:space="preserve">unding is utilized to address the </w:t>
      </w:r>
      <w:r>
        <w:rPr>
          <w:sz w:val="24"/>
          <w:szCs w:val="24"/>
        </w:rPr>
        <w:t>funding</w:t>
      </w:r>
      <w:r>
        <w:rPr>
          <w:color w:val="000000"/>
          <w:sz w:val="24"/>
          <w:szCs w:val="24"/>
        </w:rPr>
        <w:t xml:space="preserve"> needs in the TB-HIV co-financing plan, the </w:t>
      </w:r>
      <w:r>
        <w:rPr>
          <w:sz w:val="24"/>
          <w:szCs w:val="24"/>
        </w:rPr>
        <w:t>funding</w:t>
      </w:r>
      <w:r>
        <w:rPr>
          <w:color w:val="000000"/>
          <w:sz w:val="24"/>
          <w:szCs w:val="24"/>
        </w:rPr>
        <w:t xml:space="preserve"> gap may be reduced to USID 181 million (29%).  </w:t>
      </w:r>
    </w:p>
    <w:tbl>
      <w:tblPr>
        <w:tblStyle w:val="aa"/>
        <w:tblW w:w="10069" w:type="dxa"/>
        <w:tblBorders>
          <w:top w:val="single" w:sz="4" w:space="0" w:color="2E4DF9"/>
          <w:left w:val="single" w:sz="4" w:space="0" w:color="2E4DF9"/>
          <w:bottom w:val="single" w:sz="4" w:space="0" w:color="2E4DF9"/>
          <w:right w:val="single" w:sz="4" w:space="0" w:color="2E4DF9"/>
          <w:insideH w:val="single" w:sz="4" w:space="0" w:color="999999"/>
          <w:insideV w:val="single" w:sz="4" w:space="0" w:color="999999"/>
        </w:tblBorders>
        <w:tblLayout w:type="fixed"/>
        <w:tblLook w:val="04A0" w:firstRow="1" w:lastRow="0" w:firstColumn="1" w:lastColumn="0" w:noHBand="0" w:noVBand="1"/>
      </w:tblPr>
      <w:tblGrid>
        <w:gridCol w:w="4308"/>
        <w:gridCol w:w="1482"/>
        <w:gridCol w:w="1482"/>
        <w:gridCol w:w="1482"/>
        <w:gridCol w:w="1315"/>
      </w:tblGrid>
      <w:tr w:rsidR="00155420" w14:paraId="66DB6B70" w14:textId="77777777" w:rsidTr="00155420">
        <w:trPr>
          <w:cnfStyle w:val="100000000000" w:firstRow="1" w:lastRow="0" w:firstColumn="0" w:lastColumn="0" w:oddVBand="0" w:evenVBand="0" w:oddHBand="0" w:evenHBand="0" w:firstRowFirstColumn="0" w:firstRowLastColumn="0" w:lastRowFirstColumn="0" w:lastRowLastColumn="0"/>
          <w:cantSplit/>
          <w:trHeight w:val="386"/>
        </w:trPr>
        <w:tc>
          <w:tcPr>
            <w:cnfStyle w:val="001000000000" w:firstRow="0" w:lastRow="0" w:firstColumn="1" w:lastColumn="0" w:oddVBand="0" w:evenVBand="0" w:oddHBand="0" w:evenHBand="0" w:firstRowFirstColumn="0" w:firstRowLastColumn="0" w:lastRowFirstColumn="0" w:lastRowLastColumn="0"/>
            <w:tcW w:w="4308" w:type="dxa"/>
          </w:tcPr>
          <w:p w14:paraId="058C7236" w14:textId="77777777" w:rsidR="00155420" w:rsidRDefault="00E84F93">
            <w:pPr>
              <w:rPr>
                <w:sz w:val="24"/>
                <w:szCs w:val="24"/>
              </w:rPr>
            </w:pPr>
            <w:r>
              <w:rPr>
                <w:sz w:val="24"/>
                <w:szCs w:val="24"/>
              </w:rPr>
              <w:t>Particulars</w:t>
            </w:r>
          </w:p>
        </w:tc>
        <w:tc>
          <w:tcPr>
            <w:tcW w:w="1482" w:type="dxa"/>
          </w:tcPr>
          <w:p w14:paraId="78064546" w14:textId="77777777" w:rsidR="00155420" w:rsidRDefault="00E84F93">
            <w:pPr>
              <w:jc w:val="cente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2024</w:t>
            </w:r>
          </w:p>
          <w:p w14:paraId="239C8F75" w14:textId="77777777" w:rsidR="00155420" w:rsidRDefault="00E84F9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1"/>
                <w:szCs w:val="21"/>
              </w:rPr>
              <w:t>(USD M)</w:t>
            </w:r>
          </w:p>
        </w:tc>
        <w:tc>
          <w:tcPr>
            <w:tcW w:w="1482" w:type="dxa"/>
          </w:tcPr>
          <w:p w14:paraId="48384D40" w14:textId="77777777" w:rsidR="00155420" w:rsidRDefault="00E84F93">
            <w:pPr>
              <w:jc w:val="cente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2025</w:t>
            </w:r>
          </w:p>
          <w:p w14:paraId="32F8709C" w14:textId="77777777" w:rsidR="00155420" w:rsidRDefault="00E84F9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1"/>
                <w:szCs w:val="21"/>
              </w:rPr>
              <w:t>(USD M)</w:t>
            </w:r>
          </w:p>
        </w:tc>
        <w:tc>
          <w:tcPr>
            <w:tcW w:w="1482" w:type="dxa"/>
          </w:tcPr>
          <w:p w14:paraId="0004DAC8" w14:textId="77777777" w:rsidR="00155420" w:rsidRDefault="00E84F93">
            <w:pPr>
              <w:jc w:val="cente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2026</w:t>
            </w:r>
          </w:p>
          <w:p w14:paraId="5549D06B" w14:textId="77777777" w:rsidR="00155420" w:rsidRDefault="00E84F9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1"/>
                <w:szCs w:val="21"/>
              </w:rPr>
              <w:t>(USD M)</w:t>
            </w:r>
          </w:p>
        </w:tc>
        <w:tc>
          <w:tcPr>
            <w:tcW w:w="1315" w:type="dxa"/>
          </w:tcPr>
          <w:p w14:paraId="0BCD87B2" w14:textId="77777777" w:rsidR="00155420" w:rsidRDefault="00E84F9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1"/>
                <w:szCs w:val="21"/>
              </w:rPr>
              <w:t>TOTAL</w:t>
            </w:r>
          </w:p>
        </w:tc>
      </w:tr>
      <w:tr w:rsidR="00155420" w14:paraId="4454BF61" w14:textId="77777777" w:rsidTr="00155420">
        <w:trPr>
          <w:cnfStyle w:val="000000100000" w:firstRow="0" w:lastRow="0" w:firstColumn="0" w:lastColumn="0" w:oddVBand="0" w:evenVBand="0" w:oddHBand="1" w:evenHBand="0" w:firstRowFirstColumn="0" w:firstRowLastColumn="0" w:lastRowFirstColumn="0" w:lastRowLastColumn="0"/>
          <w:cantSplit/>
          <w:trHeight w:val="348"/>
        </w:trPr>
        <w:tc>
          <w:tcPr>
            <w:cnfStyle w:val="001000000000" w:firstRow="0" w:lastRow="0" w:firstColumn="1" w:lastColumn="0" w:oddVBand="0" w:evenVBand="0" w:oddHBand="0" w:evenHBand="0" w:firstRowFirstColumn="0" w:firstRowLastColumn="0" w:lastRowFirstColumn="0" w:lastRowLastColumn="0"/>
            <w:tcW w:w="4308" w:type="dxa"/>
          </w:tcPr>
          <w:p w14:paraId="0AB5953C" w14:textId="77777777" w:rsidR="00155420" w:rsidRDefault="00E84F93">
            <w:pPr>
              <w:spacing w:line="360" w:lineRule="auto"/>
              <w:rPr>
                <w:color w:val="000000"/>
                <w:sz w:val="24"/>
                <w:szCs w:val="24"/>
              </w:rPr>
            </w:pPr>
            <w:r>
              <w:rPr>
                <w:i/>
                <w:color w:val="000000"/>
              </w:rPr>
              <w:t>Funding Requirement</w:t>
            </w:r>
          </w:p>
        </w:tc>
        <w:tc>
          <w:tcPr>
            <w:tcW w:w="1482" w:type="dxa"/>
          </w:tcPr>
          <w:p w14:paraId="732AE7B3" w14:textId="77777777" w:rsidR="00155420" w:rsidRDefault="00E84F93">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rPr>
              <w:t>188</w:t>
            </w:r>
          </w:p>
        </w:tc>
        <w:tc>
          <w:tcPr>
            <w:tcW w:w="1482" w:type="dxa"/>
          </w:tcPr>
          <w:p w14:paraId="5007B41D" w14:textId="77777777" w:rsidR="00155420" w:rsidRDefault="00E84F93">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203</w:t>
            </w:r>
          </w:p>
        </w:tc>
        <w:tc>
          <w:tcPr>
            <w:tcW w:w="1482" w:type="dxa"/>
          </w:tcPr>
          <w:p w14:paraId="5295A090" w14:textId="77777777" w:rsidR="00155420" w:rsidRDefault="00E84F93">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227</w:t>
            </w:r>
          </w:p>
        </w:tc>
        <w:tc>
          <w:tcPr>
            <w:tcW w:w="1315" w:type="dxa"/>
          </w:tcPr>
          <w:p w14:paraId="513DA0F5" w14:textId="77777777" w:rsidR="00155420" w:rsidRDefault="00E84F93">
            <w:pPr>
              <w:spacing w:line="360" w:lineRule="auto"/>
              <w:jc w:val="center"/>
              <w:cnfStyle w:val="000000100000" w:firstRow="0" w:lastRow="0" w:firstColumn="0" w:lastColumn="0" w:oddVBand="0" w:evenVBand="0" w:oddHBand="1" w:evenHBand="0" w:firstRowFirstColumn="0" w:firstRowLastColumn="0" w:lastRowFirstColumn="0" w:lastRowLastColumn="0"/>
              <w:rPr>
                <w:b/>
                <w:color w:val="000000"/>
              </w:rPr>
            </w:pPr>
            <w:r>
              <w:rPr>
                <w:b/>
                <w:color w:val="000000"/>
              </w:rPr>
              <w:t>619</w:t>
            </w:r>
          </w:p>
        </w:tc>
      </w:tr>
      <w:tr w:rsidR="00155420" w14:paraId="2C2A67BD" w14:textId="77777777" w:rsidTr="00155420">
        <w:trPr>
          <w:cantSplit/>
          <w:trHeight w:val="348"/>
        </w:trPr>
        <w:tc>
          <w:tcPr>
            <w:cnfStyle w:val="001000000000" w:firstRow="0" w:lastRow="0" w:firstColumn="1" w:lastColumn="0" w:oddVBand="0" w:evenVBand="0" w:oddHBand="0" w:evenHBand="0" w:firstRowFirstColumn="0" w:firstRowLastColumn="0" w:lastRowFirstColumn="0" w:lastRowLastColumn="0"/>
            <w:tcW w:w="4308" w:type="dxa"/>
          </w:tcPr>
          <w:p w14:paraId="023EC70E" w14:textId="77777777" w:rsidR="00155420" w:rsidRDefault="00E84F93">
            <w:pPr>
              <w:spacing w:line="360" w:lineRule="auto"/>
              <w:rPr>
                <w:color w:val="000000"/>
                <w:sz w:val="24"/>
                <w:szCs w:val="24"/>
              </w:rPr>
            </w:pPr>
            <w:r>
              <w:rPr>
                <w:i/>
                <w:color w:val="000000"/>
              </w:rPr>
              <w:t>Funding Commitment</w:t>
            </w:r>
          </w:p>
        </w:tc>
        <w:tc>
          <w:tcPr>
            <w:tcW w:w="1482" w:type="dxa"/>
          </w:tcPr>
          <w:p w14:paraId="3D671D42" w14:textId="77777777" w:rsidR="00155420" w:rsidRDefault="00E84F93">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122</w:t>
            </w:r>
          </w:p>
        </w:tc>
        <w:tc>
          <w:tcPr>
            <w:tcW w:w="1482" w:type="dxa"/>
          </w:tcPr>
          <w:p w14:paraId="37DA3729" w14:textId="77777777" w:rsidR="00155420" w:rsidRDefault="00E84F93">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133</w:t>
            </w:r>
          </w:p>
        </w:tc>
        <w:tc>
          <w:tcPr>
            <w:tcW w:w="1482" w:type="dxa"/>
          </w:tcPr>
          <w:p w14:paraId="4982E3A1" w14:textId="77777777" w:rsidR="00155420" w:rsidRDefault="00E84F93">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157</w:t>
            </w:r>
          </w:p>
        </w:tc>
        <w:tc>
          <w:tcPr>
            <w:tcW w:w="1315" w:type="dxa"/>
          </w:tcPr>
          <w:p w14:paraId="3D63791F" w14:textId="77777777" w:rsidR="00155420" w:rsidRDefault="00E84F93">
            <w:pPr>
              <w:spacing w:line="360" w:lineRule="auto"/>
              <w:jc w:val="center"/>
              <w:cnfStyle w:val="000000000000" w:firstRow="0" w:lastRow="0" w:firstColumn="0" w:lastColumn="0" w:oddVBand="0" w:evenVBand="0" w:oddHBand="0" w:evenHBand="0" w:firstRowFirstColumn="0" w:firstRowLastColumn="0" w:lastRowFirstColumn="0" w:lastRowLastColumn="0"/>
              <w:rPr>
                <w:b/>
                <w:color w:val="000000"/>
              </w:rPr>
            </w:pPr>
            <w:r>
              <w:rPr>
                <w:b/>
                <w:color w:val="000000"/>
              </w:rPr>
              <w:t>412</w:t>
            </w:r>
          </w:p>
        </w:tc>
      </w:tr>
      <w:tr w:rsidR="00155420" w14:paraId="2F6FA560" w14:textId="77777777" w:rsidTr="00155420">
        <w:trPr>
          <w:cnfStyle w:val="000000100000" w:firstRow="0" w:lastRow="0" w:firstColumn="0" w:lastColumn="0" w:oddVBand="0" w:evenVBand="0" w:oddHBand="1" w:evenHBand="0" w:firstRowFirstColumn="0" w:firstRowLastColumn="0" w:lastRowFirstColumn="0" w:lastRowLastColumn="0"/>
          <w:cantSplit/>
          <w:trHeight w:val="325"/>
        </w:trPr>
        <w:tc>
          <w:tcPr>
            <w:cnfStyle w:val="001000000000" w:firstRow="0" w:lastRow="0" w:firstColumn="1" w:lastColumn="0" w:oddVBand="0" w:evenVBand="0" w:oddHBand="0" w:evenHBand="0" w:firstRowFirstColumn="0" w:firstRowLastColumn="0" w:lastRowFirstColumn="0" w:lastRowLastColumn="0"/>
            <w:tcW w:w="4308" w:type="dxa"/>
          </w:tcPr>
          <w:p w14:paraId="71DA9074" w14:textId="77777777" w:rsidR="00155420" w:rsidRDefault="00E84F93">
            <w:pPr>
              <w:spacing w:line="360" w:lineRule="auto"/>
              <w:rPr>
                <w:color w:val="000000"/>
                <w:sz w:val="24"/>
                <w:szCs w:val="24"/>
              </w:rPr>
            </w:pPr>
            <w:r>
              <w:rPr>
                <w:i/>
                <w:color w:val="000000"/>
              </w:rPr>
              <w:t>National Government</w:t>
            </w:r>
          </w:p>
        </w:tc>
        <w:tc>
          <w:tcPr>
            <w:tcW w:w="1482" w:type="dxa"/>
          </w:tcPr>
          <w:p w14:paraId="68E4A754" w14:textId="77777777" w:rsidR="00155420" w:rsidRDefault="00E84F93">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t>54</w:t>
            </w:r>
          </w:p>
        </w:tc>
        <w:tc>
          <w:tcPr>
            <w:tcW w:w="1482" w:type="dxa"/>
          </w:tcPr>
          <w:p w14:paraId="26F41EA7" w14:textId="77777777" w:rsidR="00155420" w:rsidRDefault="00E84F93">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t>65</w:t>
            </w:r>
          </w:p>
        </w:tc>
        <w:tc>
          <w:tcPr>
            <w:tcW w:w="1482" w:type="dxa"/>
          </w:tcPr>
          <w:p w14:paraId="7E48BE09" w14:textId="77777777" w:rsidR="00155420" w:rsidRDefault="00E84F93">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t>81</w:t>
            </w:r>
          </w:p>
        </w:tc>
        <w:tc>
          <w:tcPr>
            <w:tcW w:w="1315" w:type="dxa"/>
          </w:tcPr>
          <w:p w14:paraId="47AF6983" w14:textId="77777777" w:rsidR="00155420" w:rsidRDefault="00E84F93">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t>200</w:t>
            </w:r>
          </w:p>
        </w:tc>
      </w:tr>
      <w:tr w:rsidR="00155420" w14:paraId="3C929D2F" w14:textId="77777777" w:rsidTr="00155420">
        <w:trPr>
          <w:cantSplit/>
          <w:trHeight w:val="297"/>
        </w:trPr>
        <w:tc>
          <w:tcPr>
            <w:cnfStyle w:val="001000000000" w:firstRow="0" w:lastRow="0" w:firstColumn="1" w:lastColumn="0" w:oddVBand="0" w:evenVBand="0" w:oddHBand="0" w:evenHBand="0" w:firstRowFirstColumn="0" w:firstRowLastColumn="0" w:lastRowFirstColumn="0" w:lastRowLastColumn="0"/>
            <w:tcW w:w="4308" w:type="dxa"/>
          </w:tcPr>
          <w:p w14:paraId="69282518" w14:textId="77777777" w:rsidR="00155420" w:rsidRDefault="00E84F93">
            <w:pPr>
              <w:spacing w:line="360" w:lineRule="auto"/>
              <w:rPr>
                <w:color w:val="000000"/>
                <w:sz w:val="24"/>
                <w:szCs w:val="24"/>
              </w:rPr>
            </w:pPr>
            <w:r>
              <w:rPr>
                <w:i/>
                <w:color w:val="000000"/>
              </w:rPr>
              <w:t>PhilHealth</w:t>
            </w:r>
          </w:p>
        </w:tc>
        <w:tc>
          <w:tcPr>
            <w:tcW w:w="1482" w:type="dxa"/>
          </w:tcPr>
          <w:p w14:paraId="44240606" w14:textId="77777777" w:rsidR="00155420" w:rsidRDefault="00E84F93">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t>5</w:t>
            </w:r>
          </w:p>
        </w:tc>
        <w:tc>
          <w:tcPr>
            <w:tcW w:w="1482" w:type="dxa"/>
          </w:tcPr>
          <w:p w14:paraId="3507FB22" w14:textId="77777777" w:rsidR="00155420" w:rsidRDefault="00E84F93">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t>6</w:t>
            </w:r>
          </w:p>
        </w:tc>
        <w:tc>
          <w:tcPr>
            <w:tcW w:w="1482" w:type="dxa"/>
          </w:tcPr>
          <w:p w14:paraId="0E3A10DC" w14:textId="77777777" w:rsidR="00155420" w:rsidRDefault="00E84F93">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t>6</w:t>
            </w:r>
          </w:p>
        </w:tc>
        <w:tc>
          <w:tcPr>
            <w:tcW w:w="1315" w:type="dxa"/>
          </w:tcPr>
          <w:p w14:paraId="64A582AA" w14:textId="77777777" w:rsidR="00155420" w:rsidRDefault="00E84F93">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t>17</w:t>
            </w:r>
          </w:p>
        </w:tc>
      </w:tr>
      <w:tr w:rsidR="00155420" w14:paraId="26884C51" w14:textId="77777777" w:rsidTr="00155420">
        <w:trPr>
          <w:cnfStyle w:val="000000100000" w:firstRow="0" w:lastRow="0" w:firstColumn="0" w:lastColumn="0" w:oddVBand="0" w:evenVBand="0" w:oddHBand="1" w:evenHBand="0" w:firstRowFirstColumn="0" w:firstRowLastColumn="0" w:lastRowFirstColumn="0" w:lastRowLastColumn="0"/>
          <w:cantSplit/>
          <w:trHeight w:val="318"/>
        </w:trPr>
        <w:tc>
          <w:tcPr>
            <w:cnfStyle w:val="001000000000" w:firstRow="0" w:lastRow="0" w:firstColumn="1" w:lastColumn="0" w:oddVBand="0" w:evenVBand="0" w:oddHBand="0" w:evenHBand="0" w:firstRowFirstColumn="0" w:firstRowLastColumn="0" w:lastRowFirstColumn="0" w:lastRowLastColumn="0"/>
            <w:tcW w:w="4308" w:type="dxa"/>
          </w:tcPr>
          <w:p w14:paraId="5FA4DD5A" w14:textId="77777777" w:rsidR="00155420" w:rsidRDefault="00E84F93">
            <w:pPr>
              <w:spacing w:line="360" w:lineRule="auto"/>
              <w:rPr>
                <w:color w:val="000000"/>
                <w:sz w:val="24"/>
                <w:szCs w:val="24"/>
              </w:rPr>
            </w:pPr>
            <w:r>
              <w:rPr>
                <w:i/>
                <w:color w:val="000000"/>
              </w:rPr>
              <w:t>Local Government Unit</w:t>
            </w:r>
          </w:p>
        </w:tc>
        <w:tc>
          <w:tcPr>
            <w:tcW w:w="1482" w:type="dxa"/>
          </w:tcPr>
          <w:p w14:paraId="52CCB843" w14:textId="77777777" w:rsidR="00155420" w:rsidRDefault="00E84F93">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t>6</w:t>
            </w:r>
          </w:p>
        </w:tc>
        <w:tc>
          <w:tcPr>
            <w:tcW w:w="1482" w:type="dxa"/>
          </w:tcPr>
          <w:p w14:paraId="12C5B1C4" w14:textId="77777777" w:rsidR="00155420" w:rsidRDefault="00E84F93">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t>7</w:t>
            </w:r>
          </w:p>
        </w:tc>
        <w:tc>
          <w:tcPr>
            <w:tcW w:w="1482" w:type="dxa"/>
          </w:tcPr>
          <w:p w14:paraId="4541745C" w14:textId="77777777" w:rsidR="00155420" w:rsidRDefault="00E84F93">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t>8</w:t>
            </w:r>
          </w:p>
        </w:tc>
        <w:tc>
          <w:tcPr>
            <w:tcW w:w="1315" w:type="dxa"/>
          </w:tcPr>
          <w:p w14:paraId="7B19C430" w14:textId="77777777" w:rsidR="00155420" w:rsidRDefault="00E84F93">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t>21</w:t>
            </w:r>
          </w:p>
        </w:tc>
      </w:tr>
      <w:tr w:rsidR="00155420" w14:paraId="06EEC3F7" w14:textId="77777777" w:rsidTr="00155420">
        <w:trPr>
          <w:cantSplit/>
          <w:trHeight w:val="263"/>
        </w:trPr>
        <w:tc>
          <w:tcPr>
            <w:cnfStyle w:val="001000000000" w:firstRow="0" w:lastRow="0" w:firstColumn="1" w:lastColumn="0" w:oddVBand="0" w:evenVBand="0" w:oddHBand="0" w:evenHBand="0" w:firstRowFirstColumn="0" w:firstRowLastColumn="0" w:lastRowFirstColumn="0" w:lastRowLastColumn="0"/>
            <w:tcW w:w="4308" w:type="dxa"/>
          </w:tcPr>
          <w:p w14:paraId="55E48209" w14:textId="77777777" w:rsidR="00155420" w:rsidRDefault="00E84F93">
            <w:pPr>
              <w:spacing w:line="360" w:lineRule="auto"/>
              <w:rPr>
                <w:color w:val="000000"/>
                <w:sz w:val="24"/>
                <w:szCs w:val="24"/>
              </w:rPr>
            </w:pPr>
            <w:r>
              <w:rPr>
                <w:i/>
                <w:color w:val="000000"/>
              </w:rPr>
              <w:t>Foreign Assisted Projects: USAID*</w:t>
            </w:r>
          </w:p>
        </w:tc>
        <w:tc>
          <w:tcPr>
            <w:tcW w:w="1482" w:type="dxa"/>
          </w:tcPr>
          <w:p w14:paraId="3A5D7F77" w14:textId="77777777" w:rsidR="00155420" w:rsidRDefault="00E84F93">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t>11</w:t>
            </w:r>
          </w:p>
        </w:tc>
        <w:tc>
          <w:tcPr>
            <w:tcW w:w="1482" w:type="dxa"/>
          </w:tcPr>
          <w:p w14:paraId="2FEFDD29" w14:textId="77777777" w:rsidR="00155420" w:rsidRDefault="00E84F93">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8</w:t>
            </w:r>
          </w:p>
        </w:tc>
        <w:tc>
          <w:tcPr>
            <w:tcW w:w="1482" w:type="dxa"/>
          </w:tcPr>
          <w:p w14:paraId="20043B13" w14:textId="77777777" w:rsidR="00155420" w:rsidRDefault="00E84F93">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t>12</w:t>
            </w:r>
          </w:p>
        </w:tc>
        <w:tc>
          <w:tcPr>
            <w:tcW w:w="1315" w:type="dxa"/>
          </w:tcPr>
          <w:p w14:paraId="5D5AFED3" w14:textId="77777777" w:rsidR="00155420" w:rsidRDefault="00E84F93">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t>31</w:t>
            </w:r>
          </w:p>
        </w:tc>
      </w:tr>
      <w:tr w:rsidR="00155420" w14:paraId="4C4ACDD3" w14:textId="77777777" w:rsidTr="00155420">
        <w:trPr>
          <w:cnfStyle w:val="000000100000" w:firstRow="0" w:lastRow="0" w:firstColumn="0" w:lastColumn="0" w:oddVBand="0" w:evenVBand="0" w:oddHBand="1" w:evenHBand="0" w:firstRowFirstColumn="0" w:firstRowLastColumn="0" w:lastRowFirstColumn="0" w:lastRowLastColumn="0"/>
          <w:cantSplit/>
          <w:trHeight w:val="263"/>
        </w:trPr>
        <w:tc>
          <w:tcPr>
            <w:cnfStyle w:val="001000000000" w:firstRow="0" w:lastRow="0" w:firstColumn="1" w:lastColumn="0" w:oddVBand="0" w:evenVBand="0" w:oddHBand="0" w:evenHBand="0" w:firstRowFirstColumn="0" w:firstRowLastColumn="0" w:lastRowFirstColumn="0" w:lastRowLastColumn="0"/>
            <w:tcW w:w="4308" w:type="dxa"/>
          </w:tcPr>
          <w:p w14:paraId="10E09002" w14:textId="77777777" w:rsidR="00155420" w:rsidRDefault="00E84F93">
            <w:pPr>
              <w:spacing w:line="360" w:lineRule="auto"/>
              <w:rPr>
                <w:i/>
                <w:color w:val="000000"/>
              </w:rPr>
            </w:pPr>
            <w:r>
              <w:rPr>
                <w:i/>
                <w:color w:val="000000"/>
              </w:rPr>
              <w:t>Foreign Assisted Projects: TGF</w:t>
            </w:r>
          </w:p>
        </w:tc>
        <w:tc>
          <w:tcPr>
            <w:tcW w:w="1482" w:type="dxa"/>
          </w:tcPr>
          <w:p w14:paraId="120155D3" w14:textId="77777777" w:rsidR="00155420" w:rsidRDefault="00E84F93">
            <w:pPr>
              <w:spacing w:line="360" w:lineRule="auto"/>
              <w:jc w:val="center"/>
              <w:cnfStyle w:val="000000100000" w:firstRow="0" w:lastRow="0" w:firstColumn="0" w:lastColumn="0" w:oddVBand="0" w:evenVBand="0" w:oddHBand="1" w:evenHBand="0" w:firstRowFirstColumn="0" w:firstRowLastColumn="0" w:lastRowFirstColumn="0" w:lastRowLastColumn="0"/>
            </w:pPr>
            <w:r>
              <w:t>45</w:t>
            </w:r>
          </w:p>
        </w:tc>
        <w:tc>
          <w:tcPr>
            <w:tcW w:w="1482" w:type="dxa"/>
          </w:tcPr>
          <w:p w14:paraId="584642DD" w14:textId="77777777" w:rsidR="00155420" w:rsidRDefault="00E84F93">
            <w:pPr>
              <w:spacing w:line="360" w:lineRule="auto"/>
              <w:jc w:val="center"/>
              <w:cnfStyle w:val="000000100000" w:firstRow="0" w:lastRow="0" w:firstColumn="0" w:lastColumn="0" w:oddVBand="0" w:evenVBand="0" w:oddHBand="1" w:evenHBand="0" w:firstRowFirstColumn="0" w:firstRowLastColumn="0" w:lastRowFirstColumn="0" w:lastRowLastColumn="0"/>
            </w:pPr>
            <w:r>
              <w:t>46</w:t>
            </w:r>
          </w:p>
        </w:tc>
        <w:tc>
          <w:tcPr>
            <w:tcW w:w="1482" w:type="dxa"/>
          </w:tcPr>
          <w:p w14:paraId="1A7FEF81" w14:textId="77777777" w:rsidR="00155420" w:rsidRDefault="00E84F93">
            <w:pPr>
              <w:spacing w:line="360" w:lineRule="auto"/>
              <w:jc w:val="center"/>
              <w:cnfStyle w:val="000000100000" w:firstRow="0" w:lastRow="0" w:firstColumn="0" w:lastColumn="0" w:oddVBand="0" w:evenVBand="0" w:oddHBand="1" w:evenHBand="0" w:firstRowFirstColumn="0" w:firstRowLastColumn="0" w:lastRowFirstColumn="0" w:lastRowLastColumn="0"/>
            </w:pPr>
            <w:r>
              <w:t>49</w:t>
            </w:r>
          </w:p>
        </w:tc>
        <w:tc>
          <w:tcPr>
            <w:tcW w:w="1315" w:type="dxa"/>
          </w:tcPr>
          <w:p w14:paraId="3913EBD3" w14:textId="77777777" w:rsidR="00155420" w:rsidRDefault="00E84F93">
            <w:pPr>
              <w:spacing w:line="360" w:lineRule="auto"/>
              <w:jc w:val="center"/>
              <w:cnfStyle w:val="000000100000" w:firstRow="0" w:lastRow="0" w:firstColumn="0" w:lastColumn="0" w:oddVBand="0" w:evenVBand="0" w:oddHBand="1" w:evenHBand="0" w:firstRowFirstColumn="0" w:firstRowLastColumn="0" w:lastRowFirstColumn="0" w:lastRowLastColumn="0"/>
            </w:pPr>
            <w:r>
              <w:t>140</w:t>
            </w:r>
          </w:p>
        </w:tc>
      </w:tr>
      <w:tr w:rsidR="00155420" w14:paraId="45399FA0" w14:textId="77777777" w:rsidTr="00155420">
        <w:trPr>
          <w:cantSplit/>
          <w:trHeight w:val="290"/>
        </w:trPr>
        <w:tc>
          <w:tcPr>
            <w:cnfStyle w:val="001000000000" w:firstRow="0" w:lastRow="0" w:firstColumn="1" w:lastColumn="0" w:oddVBand="0" w:evenVBand="0" w:oddHBand="0" w:evenHBand="0" w:firstRowFirstColumn="0" w:firstRowLastColumn="0" w:lastRowFirstColumn="0" w:lastRowLastColumn="0"/>
            <w:tcW w:w="4308" w:type="dxa"/>
          </w:tcPr>
          <w:p w14:paraId="6CC6FF20" w14:textId="77777777" w:rsidR="00155420" w:rsidRDefault="00E84F93">
            <w:pPr>
              <w:spacing w:line="360" w:lineRule="auto"/>
              <w:rPr>
                <w:color w:val="000000"/>
                <w:sz w:val="24"/>
                <w:szCs w:val="24"/>
              </w:rPr>
            </w:pPr>
            <w:r>
              <w:rPr>
                <w:i/>
                <w:color w:val="000000"/>
              </w:rPr>
              <w:t>Out of Pocket</w:t>
            </w:r>
          </w:p>
        </w:tc>
        <w:tc>
          <w:tcPr>
            <w:tcW w:w="1482" w:type="dxa"/>
          </w:tcPr>
          <w:p w14:paraId="293668E9" w14:textId="77777777" w:rsidR="00155420" w:rsidRDefault="00E84F93">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t>1</w:t>
            </w:r>
          </w:p>
        </w:tc>
        <w:tc>
          <w:tcPr>
            <w:tcW w:w="1482" w:type="dxa"/>
          </w:tcPr>
          <w:p w14:paraId="276376E8" w14:textId="77777777" w:rsidR="00155420" w:rsidRDefault="00E84F93">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t>1</w:t>
            </w:r>
          </w:p>
        </w:tc>
        <w:tc>
          <w:tcPr>
            <w:tcW w:w="1482" w:type="dxa"/>
          </w:tcPr>
          <w:p w14:paraId="2DD567F7" w14:textId="77777777" w:rsidR="00155420" w:rsidRDefault="00E84F93">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t>1</w:t>
            </w:r>
          </w:p>
        </w:tc>
        <w:tc>
          <w:tcPr>
            <w:tcW w:w="1315" w:type="dxa"/>
          </w:tcPr>
          <w:p w14:paraId="6F0245B8" w14:textId="77777777" w:rsidR="00155420" w:rsidRDefault="00E84F93">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t>4</w:t>
            </w:r>
          </w:p>
        </w:tc>
      </w:tr>
      <w:tr w:rsidR="00155420" w14:paraId="1E77EE33" w14:textId="77777777" w:rsidTr="00155420">
        <w:trPr>
          <w:cnfStyle w:val="000000100000" w:firstRow="0" w:lastRow="0" w:firstColumn="0" w:lastColumn="0" w:oddVBand="0" w:evenVBand="0" w:oddHBand="1" w:evenHBand="0" w:firstRowFirstColumn="0" w:firstRowLastColumn="0" w:lastRowFirstColumn="0" w:lastRowLastColumn="0"/>
          <w:cantSplit/>
          <w:trHeight w:val="511"/>
        </w:trPr>
        <w:tc>
          <w:tcPr>
            <w:cnfStyle w:val="001000000000" w:firstRow="0" w:lastRow="0" w:firstColumn="1" w:lastColumn="0" w:oddVBand="0" w:evenVBand="0" w:oddHBand="0" w:evenHBand="0" w:firstRowFirstColumn="0" w:firstRowLastColumn="0" w:lastRowFirstColumn="0" w:lastRowLastColumn="0"/>
            <w:tcW w:w="4308" w:type="dxa"/>
          </w:tcPr>
          <w:p w14:paraId="4EAD99A9" w14:textId="77777777" w:rsidR="00155420" w:rsidRDefault="00E84F93">
            <w:pPr>
              <w:spacing w:line="360" w:lineRule="auto"/>
              <w:rPr>
                <w:color w:val="000000"/>
                <w:sz w:val="24"/>
                <w:szCs w:val="24"/>
              </w:rPr>
            </w:pPr>
            <w:r>
              <w:rPr>
                <w:i/>
                <w:color w:val="000000"/>
              </w:rPr>
              <w:t>Funding Gap</w:t>
            </w:r>
          </w:p>
        </w:tc>
        <w:tc>
          <w:tcPr>
            <w:tcW w:w="1482" w:type="dxa"/>
          </w:tcPr>
          <w:p w14:paraId="74ECCEBE" w14:textId="77777777" w:rsidR="00155420" w:rsidRDefault="00E84F93">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t>66</w:t>
            </w:r>
          </w:p>
        </w:tc>
        <w:tc>
          <w:tcPr>
            <w:tcW w:w="1482" w:type="dxa"/>
          </w:tcPr>
          <w:p w14:paraId="3BC453DF" w14:textId="77777777" w:rsidR="00155420" w:rsidRDefault="00E84F93">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t>71</w:t>
            </w:r>
          </w:p>
        </w:tc>
        <w:tc>
          <w:tcPr>
            <w:tcW w:w="1482" w:type="dxa"/>
          </w:tcPr>
          <w:p w14:paraId="75D26DCC" w14:textId="77777777" w:rsidR="00155420" w:rsidRDefault="00E84F93">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t>70</w:t>
            </w:r>
          </w:p>
        </w:tc>
        <w:tc>
          <w:tcPr>
            <w:tcW w:w="1315" w:type="dxa"/>
          </w:tcPr>
          <w:p w14:paraId="24CB1882" w14:textId="77777777" w:rsidR="00155420" w:rsidRDefault="00E84F93">
            <w:pPr>
              <w:spacing w:line="360" w:lineRule="auto"/>
              <w:jc w:val="center"/>
              <w:cnfStyle w:val="000000100000" w:firstRow="0" w:lastRow="0" w:firstColumn="0" w:lastColumn="0" w:oddVBand="0" w:evenVBand="0" w:oddHBand="1" w:evenHBand="0" w:firstRowFirstColumn="0" w:firstRowLastColumn="0" w:lastRowFirstColumn="0" w:lastRowLastColumn="0"/>
              <w:rPr>
                <w:b/>
                <w:color w:val="000000"/>
              </w:rPr>
            </w:pPr>
            <w:r>
              <w:rPr>
                <w:b/>
                <w:color w:val="000000"/>
              </w:rPr>
              <w:t>207</w:t>
            </w:r>
          </w:p>
        </w:tc>
      </w:tr>
    </w:tbl>
    <w:p w14:paraId="79F9CC20" w14:textId="77777777" w:rsidR="00155420" w:rsidRDefault="00E84F93">
      <w:pPr>
        <w:pBdr>
          <w:top w:val="nil"/>
          <w:left w:val="nil"/>
          <w:bottom w:val="nil"/>
          <w:right w:val="nil"/>
          <w:between w:val="nil"/>
        </w:pBdr>
        <w:tabs>
          <w:tab w:val="left" w:pos="900"/>
        </w:tabs>
        <w:spacing w:line="264" w:lineRule="auto"/>
        <w:jc w:val="both"/>
        <w:rPr>
          <w:color w:val="000000"/>
          <w:sz w:val="18"/>
          <w:szCs w:val="18"/>
        </w:rPr>
      </w:pPr>
      <w:r>
        <w:rPr>
          <w:color w:val="000000"/>
          <w:sz w:val="18"/>
          <w:szCs w:val="18"/>
        </w:rPr>
        <w:t xml:space="preserve">*Values </w:t>
      </w:r>
      <w:r>
        <w:rPr>
          <w:color w:val="000000"/>
          <w:sz w:val="18"/>
          <w:szCs w:val="18"/>
        </w:rPr>
        <w:t>correspond to activities in the TB-HIV co-financing plan that have clearly been identified as supported by USAID funding. However, the total USAID funding forecast is much higher at USD 9M per year for a total of USD 57M.</w:t>
      </w:r>
    </w:p>
    <w:p w14:paraId="7F18F144" w14:textId="77777777" w:rsidR="00155420" w:rsidRDefault="00E84F93">
      <w:pPr>
        <w:pBdr>
          <w:top w:val="nil"/>
          <w:left w:val="nil"/>
          <w:bottom w:val="nil"/>
          <w:right w:val="nil"/>
          <w:between w:val="nil"/>
        </w:pBdr>
        <w:tabs>
          <w:tab w:val="left" w:pos="900"/>
        </w:tabs>
        <w:spacing w:line="264" w:lineRule="auto"/>
        <w:rPr>
          <w:color w:val="000000"/>
          <w:sz w:val="24"/>
          <w:szCs w:val="24"/>
        </w:rPr>
      </w:pPr>
      <w:r>
        <w:rPr>
          <w:color w:val="000000"/>
          <w:sz w:val="24"/>
          <w:szCs w:val="24"/>
        </w:rPr>
        <w:lastRenderedPageBreak/>
        <w:t>The DOH-Bureau for International H</w:t>
      </w:r>
      <w:r>
        <w:rPr>
          <w:color w:val="000000"/>
          <w:sz w:val="24"/>
          <w:szCs w:val="24"/>
        </w:rPr>
        <w:t xml:space="preserve">ealth Cooperation will consolidate reporting of annual TB-related expenditures of DOH, PhilHealth, and the Department of </w:t>
      </w:r>
      <w:proofErr w:type="spellStart"/>
      <w:r>
        <w:rPr>
          <w:color w:val="000000"/>
          <w:sz w:val="24"/>
          <w:szCs w:val="24"/>
        </w:rPr>
        <w:t>Labor</w:t>
      </w:r>
      <w:proofErr w:type="spellEnd"/>
      <w:r>
        <w:rPr>
          <w:color w:val="000000"/>
          <w:sz w:val="24"/>
          <w:szCs w:val="24"/>
        </w:rPr>
        <w:t xml:space="preserve"> and Employment to The Global Fund. In 2023, the Philippine CCM will design the mechanism and release the necessary resolutions. T</w:t>
      </w:r>
      <w:r>
        <w:rPr>
          <w:color w:val="000000"/>
          <w:sz w:val="24"/>
          <w:szCs w:val="24"/>
        </w:rPr>
        <w:t>he DOH will also work with the Department of Interior and Local Government (DILG) or other appropriate offices to improve the recording and reporting of LGU’s annual TB-related budget and expenditure reporting. Furthermore, DOH will work with the TB Nation</w:t>
      </w:r>
      <w:r>
        <w:rPr>
          <w:color w:val="000000"/>
          <w:sz w:val="24"/>
          <w:szCs w:val="24"/>
        </w:rPr>
        <w:t>al Coordinating Council to establish the same reporting mechanism for the members of the TB NCC.</w:t>
      </w:r>
    </w:p>
    <w:p w14:paraId="7AECB177" w14:textId="62DDC41F" w:rsidR="00155420" w:rsidRDefault="00E84F93">
      <w:pPr>
        <w:pBdr>
          <w:top w:val="nil"/>
          <w:left w:val="nil"/>
          <w:bottom w:val="nil"/>
          <w:right w:val="nil"/>
          <w:between w:val="nil"/>
        </w:pBdr>
        <w:tabs>
          <w:tab w:val="left" w:pos="900"/>
        </w:tabs>
        <w:spacing w:line="264" w:lineRule="auto"/>
        <w:rPr>
          <w:color w:val="000000"/>
          <w:sz w:val="24"/>
          <w:szCs w:val="24"/>
        </w:rPr>
      </w:pPr>
      <w:r>
        <w:rPr>
          <w:color w:val="000000"/>
          <w:sz w:val="24"/>
          <w:szCs w:val="24"/>
        </w:rPr>
        <w:t xml:space="preserve">The national government and PhilHealth co-financing will be available annually through the DOH, and PhilHealth reports, respectively, while USAID expenditures </w:t>
      </w:r>
      <w:r>
        <w:rPr>
          <w:color w:val="000000"/>
          <w:sz w:val="24"/>
          <w:szCs w:val="24"/>
        </w:rPr>
        <w:t xml:space="preserve">annually can be provided by the USAID country mission. The next TB NCC meeting will discuss the feasibility of DOLE reporting on private financing for </w:t>
      </w:r>
      <w:r w:rsidR="00902DFE">
        <w:rPr>
          <w:color w:val="000000"/>
          <w:sz w:val="24"/>
          <w:szCs w:val="24"/>
        </w:rPr>
        <w:t>employment related</w:t>
      </w:r>
      <w:r>
        <w:rPr>
          <w:color w:val="000000"/>
          <w:sz w:val="24"/>
          <w:szCs w:val="24"/>
        </w:rPr>
        <w:t xml:space="preserve"> CXR. A system for monitoring LGU expenditures for health will be set up alongside the </w:t>
      </w:r>
      <w:r>
        <w:rPr>
          <w:color w:val="000000"/>
          <w:sz w:val="24"/>
          <w:szCs w:val="24"/>
        </w:rPr>
        <w:t>systems to operate the Special Health Fund. For all available data, the DOH- Bureau for International Health Cooperation, as secretariat for the Philippine CCM, will consolidate the reports generated and submit them to TGF.</w:t>
      </w:r>
    </w:p>
    <w:p w14:paraId="6561147F" w14:textId="7D91A5A9" w:rsidR="00155420" w:rsidRDefault="00E84F93">
      <w:pPr>
        <w:pBdr>
          <w:top w:val="nil"/>
          <w:left w:val="nil"/>
          <w:bottom w:val="nil"/>
          <w:right w:val="nil"/>
          <w:between w:val="nil"/>
        </w:pBdr>
        <w:tabs>
          <w:tab w:val="left" w:pos="900"/>
        </w:tabs>
        <w:spacing w:line="264" w:lineRule="auto"/>
        <w:rPr>
          <w:color w:val="000000"/>
          <w:sz w:val="24"/>
          <w:szCs w:val="24"/>
        </w:rPr>
      </w:pPr>
      <w:r>
        <w:rPr>
          <w:color w:val="000000"/>
          <w:sz w:val="24"/>
          <w:szCs w:val="24"/>
        </w:rPr>
        <w:t>Increasing LGU investment and Ph</w:t>
      </w:r>
      <w:r>
        <w:rPr>
          <w:color w:val="000000"/>
          <w:sz w:val="24"/>
          <w:szCs w:val="24"/>
        </w:rPr>
        <w:t xml:space="preserve">ilHealth co-financing will be the two main interventions to address the funding gap. </w:t>
      </w:r>
      <w:r w:rsidR="00902DFE" w:rsidRPr="00902DFE">
        <w:rPr>
          <w:color w:val="000000"/>
          <w:sz w:val="24"/>
          <w:szCs w:val="24"/>
        </w:rPr>
        <w:t>The government and other partners plan various interventions to build LGU capacity on UHC implementation and PhilHealth co-financing</w:t>
      </w:r>
      <w:r>
        <w:rPr>
          <w:color w:val="000000"/>
          <w:sz w:val="24"/>
          <w:szCs w:val="24"/>
        </w:rPr>
        <w:t>, including those proposed in this fund</w:t>
      </w:r>
      <w:r>
        <w:rPr>
          <w:color w:val="000000"/>
          <w:sz w:val="24"/>
          <w:szCs w:val="24"/>
        </w:rPr>
        <w:t xml:space="preserve">ing request. </w:t>
      </w:r>
    </w:p>
    <w:p w14:paraId="585C2620" w14:textId="77777777" w:rsidR="00155420" w:rsidRDefault="00155420">
      <w:pPr>
        <w:pBdr>
          <w:top w:val="nil"/>
          <w:left w:val="nil"/>
          <w:bottom w:val="nil"/>
          <w:right w:val="nil"/>
          <w:between w:val="nil"/>
        </w:pBdr>
        <w:tabs>
          <w:tab w:val="left" w:pos="900"/>
        </w:tabs>
        <w:spacing w:line="264" w:lineRule="auto"/>
        <w:rPr>
          <w:color w:val="000000"/>
          <w:sz w:val="24"/>
          <w:szCs w:val="24"/>
        </w:rPr>
      </w:pPr>
    </w:p>
    <w:p w14:paraId="622F793B" w14:textId="77777777" w:rsidR="00155420" w:rsidRDefault="00E84F93">
      <w:pPr>
        <w:pBdr>
          <w:top w:val="nil"/>
          <w:left w:val="nil"/>
          <w:bottom w:val="nil"/>
          <w:right w:val="nil"/>
          <w:between w:val="nil"/>
        </w:pBdr>
        <w:tabs>
          <w:tab w:val="left" w:pos="900"/>
        </w:tabs>
        <w:spacing w:line="264" w:lineRule="auto"/>
        <w:rPr>
          <w:color w:val="000000"/>
          <w:sz w:val="24"/>
          <w:szCs w:val="24"/>
        </w:rPr>
      </w:pPr>
      <w:r>
        <w:rPr>
          <w:color w:val="000000"/>
          <w:sz w:val="24"/>
          <w:szCs w:val="24"/>
        </w:rPr>
        <w:t xml:space="preserve">   </w:t>
      </w:r>
    </w:p>
    <w:p w14:paraId="524AC3F2" w14:textId="77777777" w:rsidR="00155420" w:rsidRDefault="00E84F93">
      <w:pPr>
        <w:numPr>
          <w:ilvl w:val="0"/>
          <w:numId w:val="13"/>
        </w:numPr>
        <w:pBdr>
          <w:top w:val="nil"/>
          <w:left w:val="nil"/>
          <w:bottom w:val="nil"/>
          <w:right w:val="nil"/>
          <w:between w:val="nil"/>
        </w:pBdr>
        <w:tabs>
          <w:tab w:val="left" w:pos="900"/>
        </w:tabs>
        <w:spacing w:line="264" w:lineRule="auto"/>
        <w:ind w:left="900"/>
        <w:rPr>
          <w:b/>
          <w:color w:val="000000"/>
          <w:sz w:val="24"/>
          <w:szCs w:val="24"/>
        </w:rPr>
      </w:pPr>
      <w:r>
        <w:rPr>
          <w:b/>
          <w:color w:val="000000"/>
          <w:sz w:val="24"/>
          <w:szCs w:val="24"/>
        </w:rPr>
        <w:t>If applicable, describe specific arrangements and modalities for innovative financing approaches linked to this funding request and the national response.</w:t>
      </w:r>
    </w:p>
    <w:p w14:paraId="194BE9E4" w14:textId="77777777" w:rsidR="00155420" w:rsidRDefault="00E84F93">
      <w:pPr>
        <w:pBdr>
          <w:top w:val="nil"/>
          <w:left w:val="nil"/>
          <w:bottom w:val="nil"/>
          <w:right w:val="nil"/>
          <w:between w:val="nil"/>
        </w:pBdr>
        <w:tabs>
          <w:tab w:val="left" w:pos="900"/>
        </w:tabs>
        <w:spacing w:line="264" w:lineRule="auto"/>
        <w:rPr>
          <w:color w:val="000000"/>
          <w:sz w:val="24"/>
          <w:szCs w:val="24"/>
        </w:rPr>
      </w:pPr>
      <w:r>
        <w:rPr>
          <w:color w:val="000000"/>
          <w:sz w:val="24"/>
          <w:szCs w:val="24"/>
        </w:rPr>
        <w:t xml:space="preserve">None for the National TB Program. </w:t>
      </w:r>
    </w:p>
    <w:p w14:paraId="1058948A" w14:textId="77777777" w:rsidR="00155420" w:rsidRDefault="00E84F93">
      <w:pPr>
        <w:pStyle w:val="Heading2"/>
        <w:numPr>
          <w:ilvl w:val="1"/>
          <w:numId w:val="38"/>
        </w:numPr>
      </w:pPr>
      <w:r>
        <w:t xml:space="preserve">Pandemic Preparedness </w:t>
      </w:r>
    </w:p>
    <w:p w14:paraId="31473B44" w14:textId="77777777" w:rsidR="00155420" w:rsidRDefault="00E84F93">
      <w:pPr>
        <w:pBdr>
          <w:top w:val="nil"/>
          <w:left w:val="nil"/>
          <w:bottom w:val="nil"/>
          <w:right w:val="nil"/>
          <w:between w:val="nil"/>
        </w:pBdr>
        <w:spacing w:line="264" w:lineRule="auto"/>
        <w:rPr>
          <w:b/>
          <w:color w:val="000000"/>
          <w:sz w:val="24"/>
          <w:szCs w:val="24"/>
        </w:rPr>
      </w:pPr>
      <w:r>
        <w:rPr>
          <w:b/>
          <w:color w:val="000000"/>
          <w:sz w:val="24"/>
          <w:szCs w:val="24"/>
        </w:rPr>
        <w:t xml:space="preserve">Describe how the Global </w:t>
      </w:r>
      <w:r>
        <w:rPr>
          <w:b/>
          <w:color w:val="000000"/>
          <w:sz w:val="24"/>
          <w:szCs w:val="24"/>
        </w:rPr>
        <w:t>Fund-supported program(s) build capacities most critical to prevent, detect and respond to infectious disease outbreaks.</w:t>
      </w:r>
    </w:p>
    <w:p w14:paraId="14B95DF9" w14:textId="77777777" w:rsidR="00155420" w:rsidRDefault="00155420">
      <w:pPr>
        <w:pBdr>
          <w:top w:val="nil"/>
          <w:left w:val="nil"/>
          <w:bottom w:val="nil"/>
          <w:right w:val="nil"/>
          <w:between w:val="nil"/>
        </w:pBdr>
        <w:spacing w:line="264" w:lineRule="auto"/>
        <w:rPr>
          <w:color w:val="000000"/>
          <w:sz w:val="24"/>
          <w:szCs w:val="24"/>
        </w:rPr>
      </w:pPr>
    </w:p>
    <w:p w14:paraId="2656CAC3" w14:textId="77777777" w:rsidR="00155420" w:rsidRDefault="00E84F93">
      <w:pPr>
        <w:rPr>
          <w:sz w:val="24"/>
          <w:szCs w:val="24"/>
        </w:rPr>
      </w:pPr>
      <w:r>
        <w:rPr>
          <w:sz w:val="24"/>
          <w:szCs w:val="24"/>
        </w:rPr>
        <w:t>The C19RM grant supported the country’s interventions in controlling and containing COVID-19 by improving laboratory and hospital pati</w:t>
      </w:r>
      <w:r>
        <w:rPr>
          <w:sz w:val="24"/>
          <w:szCs w:val="24"/>
        </w:rPr>
        <w:t>ent management capacities. These include procurement of hospital, laboratory, and ICU equipment like RT-PCR machines, mechanical ventilators, non-invasive ventilators, pulse oximeters, high-flow nasal cannulas, and oxygen concentrators. The C19RM grant has</w:t>
      </w:r>
      <w:r>
        <w:rPr>
          <w:sz w:val="24"/>
          <w:szCs w:val="24"/>
        </w:rPr>
        <w:t xml:space="preserve"> also improved testing and treatment by procuring rapid antigen test kits and COVID-19 medicines. </w:t>
      </w:r>
    </w:p>
    <w:p w14:paraId="6AAD623F" w14:textId="77777777" w:rsidR="00155420" w:rsidRDefault="00E84F93">
      <w:pPr>
        <w:rPr>
          <w:sz w:val="24"/>
          <w:szCs w:val="24"/>
        </w:rPr>
      </w:pPr>
      <w:r>
        <w:rPr>
          <w:sz w:val="24"/>
          <w:szCs w:val="24"/>
        </w:rPr>
        <w:t>Additional funding for C19RM under the Wave 1 activities was approved and is currently being carried out. Items included are the procurement of 50 portable x</w:t>
      </w:r>
      <w:r>
        <w:rPr>
          <w:sz w:val="24"/>
          <w:szCs w:val="24"/>
        </w:rPr>
        <w:t>-rays and 100 GeneXpert machines (Gx4), and 300,000 Xpert MTB-Rif cartridges. Wave 1 approved activities also include TA support to EB Strategic Assessment and Road mapping of Public Health Surveillance Systems activities and Institutional Strengthening fo</w:t>
      </w:r>
      <w:r>
        <w:rPr>
          <w:sz w:val="24"/>
          <w:szCs w:val="24"/>
        </w:rPr>
        <w:t xml:space="preserve">r Pandemic Resiliency which is for review and clearance by the GF Country team. </w:t>
      </w:r>
    </w:p>
    <w:p w14:paraId="189EE8B3" w14:textId="77777777" w:rsidR="00155420" w:rsidRDefault="00E84F93">
      <w:pPr>
        <w:rPr>
          <w:sz w:val="24"/>
          <w:szCs w:val="24"/>
        </w:rPr>
      </w:pPr>
      <w:r>
        <w:rPr>
          <w:sz w:val="24"/>
          <w:szCs w:val="24"/>
        </w:rPr>
        <w:lastRenderedPageBreak/>
        <w:t xml:space="preserve">Final proposals from various DOH departments are expected to be submitted on March 13, 2023 for the C19RM Wave 2. It will be submitted to the Global Fund on March 20, 2023. </w:t>
      </w:r>
    </w:p>
    <w:p w14:paraId="2351DE64"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T</w:t>
      </w:r>
      <w:r>
        <w:rPr>
          <w:color w:val="000000"/>
          <w:sz w:val="24"/>
          <w:szCs w:val="24"/>
        </w:rPr>
        <w:t>he country has yet to develop a robust pandemic preparedness plan. USAID has committed to support this process through its Global Health Security Project in the Philippines, which begins in March 2023. As mentioned, the DOH has expressed interest in submit</w:t>
      </w:r>
      <w:r>
        <w:rPr>
          <w:color w:val="000000"/>
          <w:sz w:val="24"/>
          <w:szCs w:val="24"/>
        </w:rPr>
        <w:t xml:space="preserve">ting to the World Bank Pandemic Preparedness Fund. </w:t>
      </w:r>
    </w:p>
    <w:p w14:paraId="16CD611F"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 xml:space="preserve">One of the strategic thrusts of the Health Sector Strategy 2023-2028 is </w:t>
      </w:r>
      <w:r>
        <w:rPr>
          <w:b/>
          <w:color w:val="000000"/>
          <w:sz w:val="24"/>
          <w:szCs w:val="24"/>
        </w:rPr>
        <w:t>“Protect from Health Risks.”</w:t>
      </w:r>
      <w:r>
        <w:rPr>
          <w:color w:val="000000"/>
          <w:sz w:val="24"/>
          <w:szCs w:val="24"/>
        </w:rPr>
        <w:t xml:space="preserve"> The primary interventions committed are to strengthen health systems structures which include: </w:t>
      </w:r>
    </w:p>
    <w:p w14:paraId="60139DFA" w14:textId="77777777" w:rsidR="00155420" w:rsidRDefault="00E84F93">
      <w:pPr>
        <w:numPr>
          <w:ilvl w:val="1"/>
          <w:numId w:val="17"/>
        </w:numPr>
        <w:pBdr>
          <w:top w:val="nil"/>
          <w:left w:val="nil"/>
          <w:bottom w:val="nil"/>
          <w:right w:val="nil"/>
          <w:between w:val="nil"/>
        </w:pBdr>
        <w:spacing w:line="264" w:lineRule="auto"/>
        <w:rPr>
          <w:i/>
          <w:color w:val="000000"/>
          <w:sz w:val="24"/>
          <w:szCs w:val="24"/>
        </w:rPr>
      </w:pPr>
      <w:r>
        <w:rPr>
          <w:i/>
          <w:color w:val="000000"/>
          <w:sz w:val="24"/>
          <w:szCs w:val="24"/>
        </w:rPr>
        <w:t xml:space="preserve">Establishing the Philippine CDC and the Virology Institute, </w:t>
      </w:r>
    </w:p>
    <w:p w14:paraId="6BA0771B" w14:textId="77777777" w:rsidR="00155420" w:rsidRDefault="00E84F93">
      <w:pPr>
        <w:numPr>
          <w:ilvl w:val="1"/>
          <w:numId w:val="17"/>
        </w:numPr>
        <w:pBdr>
          <w:top w:val="nil"/>
          <w:left w:val="nil"/>
          <w:bottom w:val="nil"/>
          <w:right w:val="nil"/>
          <w:between w:val="nil"/>
        </w:pBdr>
        <w:spacing w:line="264" w:lineRule="auto"/>
        <w:rPr>
          <w:i/>
          <w:color w:val="000000"/>
          <w:sz w:val="24"/>
          <w:szCs w:val="24"/>
        </w:rPr>
      </w:pPr>
      <w:r>
        <w:rPr>
          <w:i/>
          <w:color w:val="000000"/>
          <w:sz w:val="24"/>
          <w:szCs w:val="24"/>
        </w:rPr>
        <w:t xml:space="preserve">Improve local epidemiology and surveillance, </w:t>
      </w:r>
    </w:p>
    <w:p w14:paraId="0606273F" w14:textId="77777777" w:rsidR="00155420" w:rsidRDefault="00E84F93">
      <w:pPr>
        <w:numPr>
          <w:ilvl w:val="1"/>
          <w:numId w:val="17"/>
        </w:numPr>
        <w:pBdr>
          <w:top w:val="nil"/>
          <w:left w:val="nil"/>
          <w:bottom w:val="nil"/>
          <w:right w:val="nil"/>
          <w:between w:val="nil"/>
        </w:pBdr>
        <w:spacing w:line="264" w:lineRule="auto"/>
        <w:rPr>
          <w:i/>
          <w:color w:val="000000"/>
          <w:sz w:val="24"/>
          <w:szCs w:val="24"/>
        </w:rPr>
      </w:pPr>
      <w:r>
        <w:rPr>
          <w:i/>
          <w:color w:val="000000"/>
          <w:sz w:val="24"/>
          <w:szCs w:val="24"/>
        </w:rPr>
        <w:t xml:space="preserve">Improving the laboratory health systems, </w:t>
      </w:r>
    </w:p>
    <w:p w14:paraId="351C46AC" w14:textId="77777777" w:rsidR="00155420" w:rsidRDefault="00E84F93">
      <w:pPr>
        <w:numPr>
          <w:ilvl w:val="1"/>
          <w:numId w:val="17"/>
        </w:numPr>
        <w:pBdr>
          <w:top w:val="nil"/>
          <w:left w:val="nil"/>
          <w:bottom w:val="nil"/>
          <w:right w:val="nil"/>
          <w:between w:val="nil"/>
        </w:pBdr>
        <w:spacing w:line="264" w:lineRule="auto"/>
        <w:rPr>
          <w:i/>
          <w:color w:val="000000"/>
          <w:sz w:val="24"/>
          <w:szCs w:val="24"/>
        </w:rPr>
      </w:pPr>
      <w:r>
        <w:rPr>
          <w:i/>
          <w:color w:val="000000"/>
          <w:sz w:val="24"/>
          <w:szCs w:val="24"/>
        </w:rPr>
        <w:t xml:space="preserve">Strengthening health emergency auxiliary response teams. </w:t>
      </w:r>
    </w:p>
    <w:p w14:paraId="18D00376" w14:textId="77777777" w:rsidR="00155420" w:rsidRDefault="00E84F93">
      <w:pPr>
        <w:numPr>
          <w:ilvl w:val="1"/>
          <w:numId w:val="17"/>
        </w:numPr>
        <w:pBdr>
          <w:top w:val="nil"/>
          <w:left w:val="nil"/>
          <w:bottom w:val="nil"/>
          <w:right w:val="nil"/>
          <w:between w:val="nil"/>
        </w:pBdr>
        <w:spacing w:line="264" w:lineRule="auto"/>
        <w:rPr>
          <w:i/>
          <w:color w:val="000000"/>
          <w:sz w:val="24"/>
          <w:szCs w:val="24"/>
        </w:rPr>
      </w:pPr>
      <w:r>
        <w:rPr>
          <w:i/>
          <w:color w:val="000000"/>
          <w:sz w:val="24"/>
          <w:szCs w:val="24"/>
        </w:rPr>
        <w:t>Updating the pandemic preparedness plan</w:t>
      </w:r>
    </w:p>
    <w:p w14:paraId="7F218A93" w14:textId="77777777" w:rsidR="00155420" w:rsidRDefault="00E84F93">
      <w:pPr>
        <w:numPr>
          <w:ilvl w:val="1"/>
          <w:numId w:val="17"/>
        </w:numPr>
        <w:pBdr>
          <w:top w:val="nil"/>
          <w:left w:val="nil"/>
          <w:bottom w:val="nil"/>
          <w:right w:val="nil"/>
          <w:between w:val="nil"/>
        </w:pBdr>
        <w:spacing w:line="264" w:lineRule="auto"/>
        <w:rPr>
          <w:i/>
          <w:color w:val="000000"/>
          <w:sz w:val="24"/>
          <w:szCs w:val="24"/>
        </w:rPr>
      </w:pPr>
      <w:r>
        <w:rPr>
          <w:i/>
          <w:color w:val="000000"/>
          <w:sz w:val="24"/>
          <w:szCs w:val="24"/>
        </w:rPr>
        <w:t>Establish</w:t>
      </w:r>
      <w:r>
        <w:rPr>
          <w:i/>
          <w:color w:val="000000"/>
          <w:sz w:val="24"/>
          <w:szCs w:val="24"/>
        </w:rPr>
        <w:t xml:space="preserve">ing standards and guidelines for diagnosis and management of disease outbreaks. </w:t>
      </w:r>
    </w:p>
    <w:p w14:paraId="44CE18E5" w14:textId="77777777" w:rsidR="00155420" w:rsidRDefault="00E84F93">
      <w:pPr>
        <w:numPr>
          <w:ilvl w:val="1"/>
          <w:numId w:val="17"/>
        </w:numPr>
        <w:pBdr>
          <w:top w:val="nil"/>
          <w:left w:val="nil"/>
          <w:bottom w:val="nil"/>
          <w:right w:val="nil"/>
          <w:between w:val="nil"/>
        </w:pBdr>
        <w:spacing w:line="264" w:lineRule="auto"/>
        <w:rPr>
          <w:i/>
          <w:color w:val="000000"/>
          <w:sz w:val="24"/>
          <w:szCs w:val="24"/>
        </w:rPr>
      </w:pPr>
      <w:r>
        <w:rPr>
          <w:i/>
          <w:color w:val="000000"/>
          <w:sz w:val="24"/>
          <w:szCs w:val="24"/>
        </w:rPr>
        <w:t xml:space="preserve">Facilitate regulatory pathways for emergency medicines and technologies and implement risk-based regulation. </w:t>
      </w:r>
    </w:p>
    <w:p w14:paraId="319DEDD2" w14:textId="77777777" w:rsidR="00155420" w:rsidRDefault="00E84F93">
      <w:pPr>
        <w:numPr>
          <w:ilvl w:val="1"/>
          <w:numId w:val="17"/>
        </w:numPr>
        <w:pBdr>
          <w:top w:val="nil"/>
          <w:left w:val="nil"/>
          <w:bottom w:val="nil"/>
          <w:right w:val="nil"/>
          <w:between w:val="nil"/>
        </w:pBdr>
        <w:spacing w:line="264" w:lineRule="auto"/>
        <w:rPr>
          <w:i/>
          <w:color w:val="000000"/>
          <w:sz w:val="24"/>
          <w:szCs w:val="24"/>
        </w:rPr>
      </w:pPr>
      <w:r>
        <w:rPr>
          <w:i/>
          <w:color w:val="000000"/>
          <w:sz w:val="24"/>
          <w:szCs w:val="24"/>
        </w:rPr>
        <w:t>Ensuring availability of mechanisms for self-sufficiency during e</w:t>
      </w:r>
      <w:r>
        <w:rPr>
          <w:i/>
          <w:color w:val="000000"/>
          <w:sz w:val="24"/>
          <w:szCs w:val="24"/>
        </w:rPr>
        <w:t xml:space="preserve">mergencies. </w:t>
      </w:r>
    </w:p>
    <w:p w14:paraId="12B968F5" w14:textId="77777777" w:rsidR="00155420" w:rsidRDefault="00E84F93">
      <w:pPr>
        <w:numPr>
          <w:ilvl w:val="1"/>
          <w:numId w:val="17"/>
        </w:numPr>
        <w:pBdr>
          <w:top w:val="nil"/>
          <w:left w:val="nil"/>
          <w:bottom w:val="nil"/>
          <w:right w:val="nil"/>
          <w:between w:val="nil"/>
        </w:pBdr>
        <w:spacing w:line="264" w:lineRule="auto"/>
        <w:rPr>
          <w:i/>
          <w:color w:val="000000"/>
          <w:sz w:val="24"/>
          <w:szCs w:val="24"/>
        </w:rPr>
      </w:pPr>
      <w:r>
        <w:rPr>
          <w:i/>
          <w:color w:val="000000"/>
          <w:sz w:val="24"/>
          <w:szCs w:val="24"/>
        </w:rPr>
        <w:t>Build resilient facilities by securing capital assets and ensuring quality through local and international 3</w:t>
      </w:r>
      <w:r>
        <w:rPr>
          <w:i/>
          <w:color w:val="000000"/>
          <w:sz w:val="24"/>
          <w:szCs w:val="24"/>
          <w:vertAlign w:val="superscript"/>
        </w:rPr>
        <w:t>rd</w:t>
      </w:r>
      <w:r>
        <w:rPr>
          <w:i/>
          <w:color w:val="000000"/>
          <w:sz w:val="24"/>
          <w:szCs w:val="24"/>
        </w:rPr>
        <w:t xml:space="preserve"> party accreditation.</w:t>
      </w:r>
    </w:p>
    <w:p w14:paraId="6DFC4668" w14:textId="39424693" w:rsidR="00155420" w:rsidRDefault="00E84F93">
      <w:pPr>
        <w:pBdr>
          <w:top w:val="nil"/>
          <w:left w:val="nil"/>
          <w:bottom w:val="nil"/>
          <w:right w:val="nil"/>
          <w:between w:val="nil"/>
        </w:pBdr>
        <w:spacing w:line="264" w:lineRule="auto"/>
        <w:rPr>
          <w:color w:val="000000"/>
          <w:sz w:val="24"/>
          <w:szCs w:val="24"/>
          <w:highlight w:val="yellow"/>
        </w:rPr>
      </w:pPr>
      <w:r>
        <w:rPr>
          <w:color w:val="000000"/>
          <w:sz w:val="24"/>
          <w:szCs w:val="24"/>
        </w:rPr>
        <w:t>In the interim, the TB program will be guided by the DOH AO 2015-0039: Guidelines for Managing TB Control Progr</w:t>
      </w:r>
      <w:r>
        <w:rPr>
          <w:color w:val="000000"/>
          <w:sz w:val="24"/>
          <w:szCs w:val="24"/>
        </w:rPr>
        <w:t>am During Emergencies and Disasters (</w:t>
      </w:r>
      <w:r w:rsidR="005E61FD">
        <w:rPr>
          <w:color w:val="000000"/>
          <w:sz w:val="24"/>
          <w:szCs w:val="24"/>
        </w:rPr>
        <w:t xml:space="preserve">Annex </w:t>
      </w:r>
      <w:r>
        <w:rPr>
          <w:color w:val="000000"/>
          <w:sz w:val="24"/>
          <w:szCs w:val="24"/>
        </w:rPr>
        <w:t xml:space="preserve"> </w:t>
      </w:r>
      <w:r w:rsidR="007C36C5">
        <w:rPr>
          <w:color w:val="000000"/>
          <w:sz w:val="24"/>
          <w:szCs w:val="24"/>
        </w:rPr>
        <w:t>20</w:t>
      </w:r>
      <w:r>
        <w:rPr>
          <w:color w:val="000000"/>
          <w:sz w:val="24"/>
          <w:szCs w:val="24"/>
        </w:rPr>
        <w:t xml:space="preserve">) and the TB Adaptive Plan outlining the procedures </w:t>
      </w:r>
      <w:r w:rsidR="00902DFE">
        <w:rPr>
          <w:color w:val="000000"/>
          <w:sz w:val="24"/>
          <w:szCs w:val="24"/>
        </w:rPr>
        <w:t>for</w:t>
      </w:r>
      <w:r>
        <w:rPr>
          <w:color w:val="000000"/>
          <w:sz w:val="24"/>
          <w:szCs w:val="24"/>
        </w:rPr>
        <w:t xml:space="preserve"> operating the program during a pandemic (</w:t>
      </w:r>
      <w:r w:rsidR="005E61FD">
        <w:rPr>
          <w:color w:val="000000"/>
          <w:sz w:val="24"/>
          <w:szCs w:val="24"/>
        </w:rPr>
        <w:t xml:space="preserve">Annex </w:t>
      </w:r>
      <w:r>
        <w:rPr>
          <w:color w:val="000000"/>
          <w:sz w:val="24"/>
          <w:szCs w:val="24"/>
        </w:rPr>
        <w:t xml:space="preserve"> </w:t>
      </w:r>
      <w:r w:rsidR="007C36C5">
        <w:rPr>
          <w:color w:val="000000"/>
          <w:sz w:val="24"/>
          <w:szCs w:val="24"/>
        </w:rPr>
        <w:t>21</w:t>
      </w:r>
      <w:r>
        <w:rPr>
          <w:color w:val="000000"/>
          <w:sz w:val="24"/>
          <w:szCs w:val="24"/>
        </w:rPr>
        <w:t>).</w:t>
      </w:r>
    </w:p>
    <w:p w14:paraId="022607F5" w14:textId="77777777" w:rsidR="00155420" w:rsidRDefault="00E84F93">
      <w:pPr>
        <w:pStyle w:val="Heading1"/>
        <w:numPr>
          <w:ilvl w:val="0"/>
          <w:numId w:val="38"/>
        </w:numPr>
      </w:pPr>
      <w:r>
        <w:t>Implementation</w:t>
      </w:r>
    </w:p>
    <w:p w14:paraId="080C055E" w14:textId="77777777" w:rsidR="00155420" w:rsidRDefault="00E84F93">
      <w:pPr>
        <w:pStyle w:val="Heading2"/>
        <w:numPr>
          <w:ilvl w:val="1"/>
          <w:numId w:val="38"/>
        </w:numPr>
      </w:pPr>
      <w:r>
        <w:t>Implementation Arrangements</w:t>
      </w:r>
    </w:p>
    <w:p w14:paraId="5036A5F1" w14:textId="77777777" w:rsidR="00155420" w:rsidRDefault="00E84F93">
      <w:pPr>
        <w:numPr>
          <w:ilvl w:val="0"/>
          <w:numId w:val="8"/>
        </w:numPr>
        <w:pBdr>
          <w:top w:val="nil"/>
          <w:left w:val="nil"/>
          <w:bottom w:val="nil"/>
          <w:right w:val="nil"/>
          <w:between w:val="nil"/>
        </w:pBdr>
        <w:spacing w:line="264" w:lineRule="auto"/>
        <w:ind w:left="990" w:hanging="450"/>
        <w:rPr>
          <w:b/>
          <w:color w:val="000000"/>
          <w:sz w:val="24"/>
          <w:szCs w:val="24"/>
        </w:rPr>
      </w:pPr>
      <w:r>
        <w:rPr>
          <w:b/>
          <w:color w:val="000000"/>
          <w:sz w:val="24"/>
          <w:szCs w:val="24"/>
        </w:rPr>
        <w:t xml:space="preserve">Describe changes to implementation arrangements that will </w:t>
      </w:r>
      <w:r>
        <w:rPr>
          <w:b/>
          <w:color w:val="000000"/>
          <w:sz w:val="24"/>
          <w:szCs w:val="24"/>
        </w:rPr>
        <w:t>maximize implementation effectiveness and optimize efficiency.</w:t>
      </w:r>
    </w:p>
    <w:p w14:paraId="5B88E143" w14:textId="77777777" w:rsidR="00155420" w:rsidRDefault="00155420">
      <w:pPr>
        <w:pBdr>
          <w:top w:val="nil"/>
          <w:left w:val="nil"/>
          <w:bottom w:val="nil"/>
          <w:right w:val="nil"/>
          <w:between w:val="nil"/>
        </w:pBdr>
        <w:spacing w:line="264" w:lineRule="auto"/>
        <w:ind w:left="720"/>
        <w:rPr>
          <w:color w:val="000000"/>
          <w:sz w:val="24"/>
          <w:szCs w:val="24"/>
          <w:u w:val="single"/>
        </w:rPr>
      </w:pPr>
    </w:p>
    <w:p w14:paraId="2D36A647" w14:textId="77777777" w:rsidR="00155420" w:rsidRDefault="00E84F93">
      <w:pPr>
        <w:pBdr>
          <w:top w:val="nil"/>
          <w:left w:val="nil"/>
          <w:bottom w:val="nil"/>
          <w:right w:val="nil"/>
          <w:between w:val="nil"/>
        </w:pBdr>
        <w:spacing w:line="264" w:lineRule="auto"/>
        <w:rPr>
          <w:color w:val="000000"/>
          <w:sz w:val="24"/>
          <w:szCs w:val="24"/>
          <w:u w:val="single"/>
        </w:rPr>
      </w:pPr>
      <w:r>
        <w:rPr>
          <w:color w:val="000000"/>
          <w:sz w:val="24"/>
          <w:szCs w:val="24"/>
          <w:u w:val="single"/>
        </w:rPr>
        <w:t>Program Management</w:t>
      </w:r>
    </w:p>
    <w:p w14:paraId="2495AA97" w14:textId="77777777" w:rsidR="00155420" w:rsidRDefault="00E84F93">
      <w:pPr>
        <w:pBdr>
          <w:top w:val="nil"/>
          <w:left w:val="nil"/>
          <w:bottom w:val="nil"/>
          <w:right w:val="nil"/>
          <w:between w:val="nil"/>
        </w:pBdr>
        <w:spacing w:line="264" w:lineRule="auto"/>
        <w:rPr>
          <w:color w:val="000000"/>
          <w:sz w:val="24"/>
          <w:szCs w:val="24"/>
          <w:u w:val="single"/>
        </w:rPr>
      </w:pPr>
      <w:r>
        <w:rPr>
          <w:color w:val="000000"/>
          <w:sz w:val="24"/>
          <w:szCs w:val="24"/>
        </w:rPr>
        <w:t>The Philippine CCM endorsed the Philippine Business for Social Progress, Inc. (PBSP) as the principal recipient (PR) for the TGF TB grant cycle 2023-2026. PBSP is the PR for</w:t>
      </w:r>
      <w:r>
        <w:rPr>
          <w:color w:val="000000"/>
          <w:sz w:val="24"/>
          <w:szCs w:val="24"/>
        </w:rPr>
        <w:t xml:space="preserve"> the TGF TB grant cycle 2021-2023.  </w:t>
      </w:r>
    </w:p>
    <w:p w14:paraId="1CBE308F" w14:textId="77777777" w:rsidR="00155420" w:rsidRDefault="00E84F93">
      <w:pPr>
        <w:pBdr>
          <w:top w:val="nil"/>
          <w:left w:val="nil"/>
          <w:bottom w:val="nil"/>
          <w:right w:val="nil"/>
          <w:between w:val="nil"/>
        </w:pBdr>
        <w:spacing w:line="264" w:lineRule="auto"/>
        <w:rPr>
          <w:rFonts w:ascii="Times New Roman" w:eastAsia="Times New Roman" w:hAnsi="Times New Roman" w:cs="Times New Roman"/>
          <w:color w:val="000000"/>
          <w:sz w:val="24"/>
          <w:szCs w:val="24"/>
        </w:rPr>
      </w:pPr>
      <w:r>
        <w:rPr>
          <w:color w:val="000000"/>
          <w:sz w:val="24"/>
          <w:szCs w:val="24"/>
        </w:rPr>
        <w:lastRenderedPageBreak/>
        <w:t>PBSP will directly administer the grant, and implementation will be through the DOH national and regional centers in coordination with the health facilities at the various LGUs. </w:t>
      </w:r>
    </w:p>
    <w:p w14:paraId="47599F49" w14:textId="77777777" w:rsidR="00155420" w:rsidRDefault="00E84F93">
      <w:pPr>
        <w:pBdr>
          <w:top w:val="nil"/>
          <w:left w:val="nil"/>
          <w:bottom w:val="nil"/>
          <w:right w:val="nil"/>
          <w:between w:val="nil"/>
        </w:pBdr>
        <w:spacing w:line="264" w:lineRule="auto"/>
        <w:rPr>
          <w:rFonts w:ascii="Times New Roman" w:eastAsia="Times New Roman" w:hAnsi="Times New Roman" w:cs="Times New Roman"/>
          <w:color w:val="000000"/>
          <w:sz w:val="24"/>
          <w:szCs w:val="24"/>
        </w:rPr>
      </w:pPr>
      <w:r>
        <w:rPr>
          <w:color w:val="000000"/>
          <w:sz w:val="24"/>
          <w:szCs w:val="24"/>
        </w:rPr>
        <w:t>The TB-HIV TWG will continue providing t</w:t>
      </w:r>
      <w:r>
        <w:rPr>
          <w:color w:val="000000"/>
          <w:sz w:val="24"/>
          <w:szCs w:val="24"/>
        </w:rPr>
        <w:t>echnical oversight for the grant and regularly report to the PCOC and the PCCM.    </w:t>
      </w:r>
    </w:p>
    <w:p w14:paraId="54409C58" w14:textId="77777777" w:rsidR="00155420" w:rsidRDefault="00E84F93">
      <w:pPr>
        <w:pBdr>
          <w:top w:val="nil"/>
          <w:left w:val="nil"/>
          <w:bottom w:val="nil"/>
          <w:right w:val="nil"/>
          <w:between w:val="nil"/>
        </w:pBdr>
        <w:spacing w:line="264" w:lineRule="auto"/>
        <w:rPr>
          <w:rFonts w:ascii="Times New Roman" w:eastAsia="Times New Roman" w:hAnsi="Times New Roman" w:cs="Times New Roman"/>
          <w:color w:val="000000"/>
          <w:sz w:val="24"/>
          <w:szCs w:val="24"/>
        </w:rPr>
      </w:pPr>
      <w:r>
        <w:rPr>
          <w:color w:val="000000"/>
          <w:sz w:val="24"/>
          <w:szCs w:val="24"/>
        </w:rPr>
        <w:t>PBSP will maintain its current structure, organizing teams by geographical coverage. This allows for more integrated management of the grant, which proved to be more effici</w:t>
      </w:r>
      <w:r>
        <w:rPr>
          <w:color w:val="000000"/>
          <w:sz w:val="24"/>
          <w:szCs w:val="24"/>
        </w:rPr>
        <w:t>ent considering the scale of operations. </w:t>
      </w:r>
    </w:p>
    <w:p w14:paraId="4DBABA3A" w14:textId="33689F95" w:rsidR="00155420" w:rsidRDefault="00902DFE">
      <w:pPr>
        <w:pBdr>
          <w:top w:val="nil"/>
          <w:left w:val="nil"/>
          <w:bottom w:val="nil"/>
          <w:right w:val="nil"/>
          <w:between w:val="nil"/>
        </w:pBdr>
        <w:spacing w:line="264" w:lineRule="auto"/>
        <w:rPr>
          <w:color w:val="000000"/>
          <w:sz w:val="24"/>
          <w:szCs w:val="24"/>
        </w:rPr>
      </w:pPr>
      <w:r>
        <w:rPr>
          <w:color w:val="000000"/>
          <w:sz w:val="24"/>
          <w:szCs w:val="24"/>
        </w:rPr>
        <w:t xml:space="preserve">WAMBO and GDF will be the international procurement </w:t>
      </w:r>
      <w:r>
        <w:rPr>
          <w:sz w:val="24"/>
          <w:szCs w:val="24"/>
        </w:rPr>
        <w:t>channels</w:t>
      </w:r>
      <w:r>
        <w:rPr>
          <w:color w:val="000000"/>
          <w:sz w:val="24"/>
          <w:szCs w:val="24"/>
        </w:rPr>
        <w:t xml:space="preserve"> that will be used. Local procurement will follow the PBSP procurement policy and guidelines. Noteworthy is the Bids and Awards Committee, PBSP Levels of Authority Manual, and a Fixed Assets Registry. </w:t>
      </w:r>
    </w:p>
    <w:p w14:paraId="0F87303E" w14:textId="77777777" w:rsidR="00155420" w:rsidRDefault="00E84F93">
      <w:pPr>
        <w:pBdr>
          <w:top w:val="nil"/>
          <w:left w:val="nil"/>
          <w:bottom w:val="nil"/>
          <w:right w:val="nil"/>
          <w:between w:val="nil"/>
        </w:pBdr>
        <w:spacing w:line="264" w:lineRule="auto"/>
        <w:rPr>
          <w:color w:val="000000"/>
          <w:sz w:val="24"/>
          <w:szCs w:val="24"/>
          <w:u w:val="single"/>
        </w:rPr>
      </w:pPr>
      <w:r>
        <w:rPr>
          <w:color w:val="000000"/>
          <w:sz w:val="24"/>
          <w:szCs w:val="24"/>
          <w:u w:val="single"/>
        </w:rPr>
        <w:t xml:space="preserve">DRTB Diagnosis, Treatment, and Care Interventions </w:t>
      </w:r>
    </w:p>
    <w:p w14:paraId="505286F3"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 xml:space="preserve">PBSP will directly manage this module. DOH will be the technical lead to provide guidelines. CHDs/PHOs/CHOs will supervise operations of iDOTS facilities and TB laboratories (RDT sites, TB culture centers, and DST Centers). </w:t>
      </w:r>
      <w:r>
        <w:rPr>
          <w:sz w:val="24"/>
          <w:szCs w:val="24"/>
        </w:rPr>
        <w:t xml:space="preserve">CHDs will also manage about 120 </w:t>
      </w:r>
      <w:r>
        <w:rPr>
          <w:sz w:val="24"/>
          <w:szCs w:val="24"/>
        </w:rPr>
        <w:t>PMDT specialists to provide technical assistance, coaching, and mentoring among all iDOTS facilities nationwide. The Lung Center of the Philippines remains as the training arm for PMDT and is responsible for the performance management of the 120 PMDT speci</w:t>
      </w:r>
      <w:r>
        <w:rPr>
          <w:sz w:val="24"/>
          <w:szCs w:val="24"/>
        </w:rPr>
        <w:t xml:space="preserve">alists. The </w:t>
      </w:r>
      <w:r>
        <w:rPr>
          <w:color w:val="000000"/>
          <w:sz w:val="24"/>
          <w:szCs w:val="24"/>
        </w:rPr>
        <w:t xml:space="preserve">CHD will directly manage the operations of regional TB MAC. </w:t>
      </w:r>
    </w:p>
    <w:p w14:paraId="090FFC9C" w14:textId="77777777" w:rsidR="00155420" w:rsidRDefault="00E84F93">
      <w:pPr>
        <w:pBdr>
          <w:top w:val="nil"/>
          <w:left w:val="nil"/>
          <w:bottom w:val="nil"/>
          <w:right w:val="nil"/>
          <w:between w:val="nil"/>
        </w:pBdr>
        <w:spacing w:line="264" w:lineRule="auto"/>
        <w:rPr>
          <w:color w:val="000000"/>
          <w:sz w:val="24"/>
          <w:szCs w:val="24"/>
          <w:u w:val="single"/>
        </w:rPr>
      </w:pPr>
      <w:r>
        <w:rPr>
          <w:color w:val="000000"/>
          <w:sz w:val="24"/>
          <w:szCs w:val="24"/>
          <w:u w:val="single"/>
        </w:rPr>
        <w:t>TB/DR Prevention Interventions</w:t>
      </w:r>
    </w:p>
    <w:p w14:paraId="455AA877"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PBSP to procure PPD and TPT (3</w:t>
      </w:r>
      <w:r>
        <w:rPr>
          <w:sz w:val="24"/>
          <w:szCs w:val="24"/>
        </w:rPr>
        <w:t xml:space="preserve">HP) </w:t>
      </w:r>
      <w:r>
        <w:rPr>
          <w:color w:val="000000"/>
          <w:sz w:val="24"/>
          <w:szCs w:val="24"/>
        </w:rPr>
        <w:t>and production of SBCC materials for health care workers and the general public. The CHDs will conduct TPT orientation</w:t>
      </w:r>
      <w:r>
        <w:rPr>
          <w:color w:val="000000"/>
          <w:sz w:val="24"/>
          <w:szCs w:val="24"/>
        </w:rPr>
        <w:t xml:space="preserve"> sessions with support from PBSP. TPT provision will be through primary care centers. DOH-KMITS will enhance the ITIS to improve TPT recording and reporting functions. PBSP will directly engage </w:t>
      </w:r>
      <w:r>
        <w:rPr>
          <w:sz w:val="24"/>
          <w:szCs w:val="24"/>
        </w:rPr>
        <w:t>450</w:t>
      </w:r>
      <w:r>
        <w:rPr>
          <w:color w:val="000000"/>
          <w:sz w:val="24"/>
          <w:szCs w:val="24"/>
        </w:rPr>
        <w:t xml:space="preserve"> community volunteers (with prefer</w:t>
      </w:r>
      <w:r>
        <w:rPr>
          <w:sz w:val="24"/>
          <w:szCs w:val="24"/>
        </w:rPr>
        <w:t>ence for eligible</w:t>
      </w:r>
      <w:r>
        <w:rPr>
          <w:color w:val="000000"/>
          <w:sz w:val="24"/>
          <w:szCs w:val="24"/>
        </w:rPr>
        <w:t xml:space="preserve"> KAP mem</w:t>
      </w:r>
      <w:r>
        <w:rPr>
          <w:color w:val="000000"/>
          <w:sz w:val="24"/>
          <w:szCs w:val="24"/>
        </w:rPr>
        <w:t>bers</w:t>
      </w:r>
      <w:r>
        <w:rPr>
          <w:sz w:val="24"/>
          <w:szCs w:val="24"/>
        </w:rPr>
        <w:t>)</w:t>
      </w:r>
      <w:r>
        <w:rPr>
          <w:color w:val="000000"/>
          <w:sz w:val="24"/>
          <w:szCs w:val="24"/>
        </w:rPr>
        <w:t xml:space="preserve"> to perform contact investigation and TPT provision. </w:t>
      </w:r>
    </w:p>
    <w:p w14:paraId="41FDB51F" w14:textId="77777777" w:rsidR="00155420" w:rsidRDefault="00E84F93">
      <w:pPr>
        <w:pBdr>
          <w:top w:val="nil"/>
          <w:left w:val="nil"/>
          <w:bottom w:val="nil"/>
          <w:right w:val="nil"/>
          <w:between w:val="nil"/>
        </w:pBdr>
        <w:spacing w:line="264" w:lineRule="auto"/>
        <w:rPr>
          <w:color w:val="000000"/>
          <w:sz w:val="24"/>
          <w:szCs w:val="24"/>
          <w:u w:val="single"/>
        </w:rPr>
      </w:pPr>
      <w:r>
        <w:rPr>
          <w:color w:val="000000"/>
          <w:sz w:val="24"/>
          <w:szCs w:val="24"/>
          <w:u w:val="single"/>
        </w:rPr>
        <w:t>CWOPS Interventions</w:t>
      </w:r>
    </w:p>
    <w:p w14:paraId="3D1A4293" w14:textId="77777777" w:rsidR="00155420" w:rsidRDefault="00E84F93">
      <w:pPr>
        <w:pBdr>
          <w:top w:val="nil"/>
          <w:left w:val="nil"/>
          <w:bottom w:val="nil"/>
          <w:right w:val="nil"/>
          <w:between w:val="nil"/>
        </w:pBdr>
        <w:spacing w:line="264" w:lineRule="auto"/>
        <w:rPr>
          <w:color w:val="000000"/>
          <w:sz w:val="24"/>
          <w:szCs w:val="24"/>
        </w:rPr>
      </w:pPr>
      <w:r>
        <w:rPr>
          <w:sz w:val="24"/>
          <w:szCs w:val="24"/>
        </w:rPr>
        <w:t xml:space="preserve">For the private sector engagement, </w:t>
      </w:r>
      <w:r>
        <w:rPr>
          <w:color w:val="000000"/>
          <w:sz w:val="24"/>
          <w:szCs w:val="24"/>
        </w:rPr>
        <w:t>PBSP will engage a</w:t>
      </w:r>
      <w:r>
        <w:rPr>
          <w:sz w:val="24"/>
          <w:szCs w:val="24"/>
        </w:rPr>
        <w:t xml:space="preserve"> sub-recipient </w:t>
      </w:r>
      <w:r>
        <w:rPr>
          <w:color w:val="000000"/>
          <w:sz w:val="24"/>
          <w:szCs w:val="24"/>
        </w:rPr>
        <w:t xml:space="preserve">to implement the TB Mn/RX Pass and other private-sector engagement interventions. PBSP will directly </w:t>
      </w:r>
      <w:r>
        <w:rPr>
          <w:sz w:val="24"/>
          <w:szCs w:val="24"/>
        </w:rPr>
        <w:t>d</w:t>
      </w:r>
      <w:r>
        <w:rPr>
          <w:color w:val="000000"/>
          <w:sz w:val="24"/>
          <w:szCs w:val="24"/>
        </w:rPr>
        <w:t>isburse</w:t>
      </w:r>
      <w:r>
        <w:rPr>
          <w:color w:val="000000"/>
          <w:sz w:val="24"/>
          <w:szCs w:val="24"/>
        </w:rPr>
        <w:t xml:space="preserve"> incentives</w:t>
      </w:r>
      <w:r>
        <w:rPr>
          <w:sz w:val="24"/>
          <w:szCs w:val="24"/>
        </w:rPr>
        <w:t xml:space="preserve"> for eligible private care providers.  </w:t>
      </w:r>
    </w:p>
    <w:p w14:paraId="3378D2DA" w14:textId="77777777" w:rsidR="00155420" w:rsidRDefault="00E84F93">
      <w:pPr>
        <w:pBdr>
          <w:top w:val="nil"/>
          <w:left w:val="nil"/>
          <w:bottom w:val="nil"/>
          <w:right w:val="nil"/>
          <w:between w:val="nil"/>
        </w:pBdr>
        <w:spacing w:line="264" w:lineRule="auto"/>
        <w:rPr>
          <w:sz w:val="24"/>
          <w:szCs w:val="24"/>
        </w:rPr>
      </w:pPr>
      <w:r>
        <w:rPr>
          <w:sz w:val="24"/>
          <w:szCs w:val="24"/>
        </w:rPr>
        <w:t>For CBO/CSO/KAP capacity building, a</w:t>
      </w:r>
      <w:r>
        <w:rPr>
          <w:color w:val="000000"/>
          <w:sz w:val="24"/>
          <w:szCs w:val="24"/>
        </w:rPr>
        <w:t xml:space="preserve"> service contractor </w:t>
      </w:r>
      <w:r>
        <w:rPr>
          <w:sz w:val="24"/>
          <w:szCs w:val="24"/>
        </w:rPr>
        <w:t>will be engaged in</w:t>
      </w:r>
      <w:r>
        <w:rPr>
          <w:color w:val="000000"/>
          <w:sz w:val="24"/>
          <w:szCs w:val="24"/>
        </w:rPr>
        <w:t xml:space="preserve"> designing and implementing the identified interventions</w:t>
      </w:r>
      <w:r>
        <w:rPr>
          <w:sz w:val="24"/>
          <w:szCs w:val="24"/>
        </w:rPr>
        <w:t xml:space="preserve">. </w:t>
      </w:r>
    </w:p>
    <w:p w14:paraId="3D3DB9AE" w14:textId="77777777" w:rsidR="00155420" w:rsidRDefault="00E84F93">
      <w:pPr>
        <w:pBdr>
          <w:top w:val="nil"/>
          <w:left w:val="nil"/>
          <w:bottom w:val="nil"/>
          <w:right w:val="nil"/>
          <w:between w:val="nil"/>
        </w:pBdr>
        <w:spacing w:line="264" w:lineRule="auto"/>
        <w:rPr>
          <w:color w:val="000000"/>
          <w:sz w:val="24"/>
          <w:szCs w:val="24"/>
          <w:u w:val="single"/>
        </w:rPr>
      </w:pPr>
      <w:r>
        <w:rPr>
          <w:color w:val="000000"/>
          <w:sz w:val="24"/>
          <w:szCs w:val="24"/>
          <w:u w:val="single"/>
        </w:rPr>
        <w:t>KVP Interventions</w:t>
      </w:r>
    </w:p>
    <w:p w14:paraId="040922CE"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 xml:space="preserve">PBSP will directly operate four </w:t>
      </w:r>
      <w:proofErr w:type="spellStart"/>
      <w:r>
        <w:rPr>
          <w:color w:val="000000"/>
          <w:sz w:val="24"/>
          <w:szCs w:val="24"/>
        </w:rPr>
        <w:t>Konsutayo</w:t>
      </w:r>
      <w:proofErr w:type="spellEnd"/>
      <w:r>
        <w:rPr>
          <w:color w:val="000000"/>
          <w:sz w:val="24"/>
          <w:szCs w:val="24"/>
        </w:rPr>
        <w:t xml:space="preserve"> </w:t>
      </w:r>
      <w:r>
        <w:rPr>
          <w:sz w:val="24"/>
          <w:szCs w:val="24"/>
        </w:rPr>
        <w:t>V</w:t>
      </w:r>
      <w:r>
        <w:rPr>
          <w:color w:val="000000"/>
          <w:sz w:val="24"/>
          <w:szCs w:val="24"/>
        </w:rPr>
        <w:t>ans (KV). C</w:t>
      </w:r>
      <w:r>
        <w:rPr>
          <w:color w:val="000000"/>
          <w:sz w:val="24"/>
          <w:szCs w:val="24"/>
        </w:rPr>
        <w:t xml:space="preserve">HDs/LGUs will operate 17 KVs. PBSP will maintain the 21 vans. PBSP will only support the </w:t>
      </w:r>
      <w:r>
        <w:rPr>
          <w:sz w:val="24"/>
          <w:szCs w:val="24"/>
        </w:rPr>
        <w:t>manpower</w:t>
      </w:r>
      <w:r>
        <w:rPr>
          <w:color w:val="000000"/>
          <w:sz w:val="24"/>
          <w:szCs w:val="24"/>
        </w:rPr>
        <w:t xml:space="preserve"> and operating expenses for the 17 KVs assigned to CHDs/LGUs for the first year. PBSP will also engage five private organizations as ACF contractors. PBSP will</w:t>
      </w:r>
      <w:r>
        <w:rPr>
          <w:color w:val="000000"/>
          <w:sz w:val="24"/>
          <w:szCs w:val="24"/>
        </w:rPr>
        <w:t xml:space="preserve"> directly manage the X-ray voucher system.  Community Health volunteers will also be tapped into ACF and ICF activities. </w:t>
      </w:r>
    </w:p>
    <w:p w14:paraId="6D88DD19" w14:textId="77777777" w:rsidR="00155420" w:rsidRDefault="00E84F93">
      <w:pPr>
        <w:pBdr>
          <w:top w:val="nil"/>
          <w:left w:val="nil"/>
          <w:bottom w:val="nil"/>
          <w:right w:val="nil"/>
          <w:between w:val="nil"/>
        </w:pBdr>
        <w:spacing w:line="264" w:lineRule="auto"/>
        <w:rPr>
          <w:sz w:val="24"/>
          <w:szCs w:val="24"/>
        </w:rPr>
      </w:pPr>
      <w:r>
        <w:rPr>
          <w:sz w:val="24"/>
          <w:szCs w:val="24"/>
        </w:rPr>
        <w:t xml:space="preserve">PBSP will directly conduct ACF in jails and prisons. TB-HIV services will be provided to PDLs.  </w:t>
      </w:r>
    </w:p>
    <w:p w14:paraId="369704FD" w14:textId="77777777" w:rsidR="00155420" w:rsidRDefault="00E84F93">
      <w:pPr>
        <w:pBdr>
          <w:top w:val="nil"/>
          <w:left w:val="nil"/>
          <w:bottom w:val="nil"/>
          <w:right w:val="nil"/>
          <w:between w:val="nil"/>
        </w:pBdr>
        <w:spacing w:line="264" w:lineRule="auto"/>
        <w:rPr>
          <w:color w:val="000000"/>
          <w:sz w:val="24"/>
          <w:szCs w:val="24"/>
          <w:u w:val="single"/>
        </w:rPr>
      </w:pPr>
      <w:r>
        <w:rPr>
          <w:color w:val="000000"/>
          <w:sz w:val="24"/>
          <w:szCs w:val="24"/>
          <w:u w:val="single"/>
        </w:rPr>
        <w:t>TB/HIV Interventions</w:t>
      </w:r>
    </w:p>
    <w:p w14:paraId="5AA72FF5"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lastRenderedPageBreak/>
        <w:t>PBSP will engage</w:t>
      </w:r>
      <w:r>
        <w:rPr>
          <w:color w:val="000000"/>
          <w:sz w:val="24"/>
          <w:szCs w:val="24"/>
        </w:rPr>
        <w:t xml:space="preserve"> </w:t>
      </w:r>
      <w:r>
        <w:rPr>
          <w:sz w:val="24"/>
          <w:szCs w:val="24"/>
        </w:rPr>
        <w:t xml:space="preserve">35 medical technologists and 10 nurses to support the provision of TB-HIV services </w:t>
      </w:r>
      <w:r>
        <w:rPr>
          <w:color w:val="000000"/>
          <w:sz w:val="24"/>
          <w:szCs w:val="24"/>
        </w:rPr>
        <w:t xml:space="preserve">nationwide. CHDs will </w:t>
      </w:r>
      <w:r>
        <w:rPr>
          <w:sz w:val="24"/>
          <w:szCs w:val="24"/>
        </w:rPr>
        <w:t xml:space="preserve">conduct </w:t>
      </w:r>
      <w:r>
        <w:rPr>
          <w:color w:val="000000"/>
          <w:sz w:val="24"/>
          <w:szCs w:val="24"/>
        </w:rPr>
        <w:t xml:space="preserve">PICT </w:t>
      </w:r>
      <w:r>
        <w:rPr>
          <w:sz w:val="24"/>
          <w:szCs w:val="24"/>
        </w:rPr>
        <w:t>training supported by the grant. Part of the FR is subsidizing EQAS registration for all laboratory-based HIV testing facilities. DOH will develop the guideline implementation tool for Urine LAM in 2023 and procurement for urine LAM is included in this FR.</w:t>
      </w:r>
      <w:r>
        <w:rPr>
          <w:sz w:val="24"/>
          <w:szCs w:val="24"/>
        </w:rPr>
        <w:t xml:space="preserve"> PBSP will also procure 3HP for PLHIV that will be administered by HIV facilities nationwide.  </w:t>
      </w:r>
    </w:p>
    <w:p w14:paraId="5AE79FDF" w14:textId="77777777" w:rsidR="00155420" w:rsidRDefault="00E84F93">
      <w:pPr>
        <w:pBdr>
          <w:top w:val="nil"/>
          <w:left w:val="nil"/>
          <w:bottom w:val="nil"/>
          <w:right w:val="nil"/>
          <w:between w:val="nil"/>
        </w:pBdr>
        <w:spacing w:line="264" w:lineRule="auto"/>
        <w:rPr>
          <w:color w:val="000000"/>
          <w:sz w:val="24"/>
          <w:szCs w:val="24"/>
          <w:u w:val="single"/>
        </w:rPr>
      </w:pPr>
      <w:r>
        <w:rPr>
          <w:color w:val="000000"/>
          <w:sz w:val="24"/>
          <w:szCs w:val="24"/>
          <w:u w:val="single"/>
        </w:rPr>
        <w:t>RHRGBR Interventions</w:t>
      </w:r>
    </w:p>
    <w:p w14:paraId="02ED0E00" w14:textId="77777777" w:rsidR="00155420" w:rsidRDefault="00E84F93">
      <w:pPr>
        <w:pBdr>
          <w:top w:val="nil"/>
          <w:left w:val="nil"/>
          <w:bottom w:val="nil"/>
          <w:right w:val="nil"/>
          <w:between w:val="nil"/>
        </w:pBdr>
        <w:spacing w:line="264" w:lineRule="auto"/>
        <w:rPr>
          <w:color w:val="000000"/>
          <w:sz w:val="24"/>
          <w:szCs w:val="24"/>
        </w:rPr>
      </w:pPr>
      <w:r>
        <w:rPr>
          <w:sz w:val="24"/>
          <w:szCs w:val="24"/>
        </w:rPr>
        <w:t>In 2023, the TB and HIV programs will develop a common HRG module that will be disseminated to media professionals, healthcare workers, and</w:t>
      </w:r>
      <w:r>
        <w:rPr>
          <w:sz w:val="24"/>
          <w:szCs w:val="24"/>
        </w:rPr>
        <w:t xml:space="preserve"> correction officers. These will be rolled out in 2024-2026 through </w:t>
      </w:r>
      <w:r>
        <w:rPr>
          <w:color w:val="000000"/>
          <w:sz w:val="24"/>
          <w:szCs w:val="24"/>
        </w:rPr>
        <w:t xml:space="preserve">service contractors. </w:t>
      </w:r>
    </w:p>
    <w:p w14:paraId="5B3EBD43" w14:textId="77777777" w:rsidR="00155420" w:rsidRDefault="00E84F93">
      <w:pPr>
        <w:pBdr>
          <w:top w:val="nil"/>
          <w:left w:val="nil"/>
          <w:bottom w:val="nil"/>
          <w:right w:val="nil"/>
          <w:between w:val="nil"/>
        </w:pBdr>
        <w:spacing w:line="264" w:lineRule="auto"/>
        <w:rPr>
          <w:sz w:val="24"/>
          <w:szCs w:val="24"/>
        </w:rPr>
      </w:pPr>
      <w:r>
        <w:rPr>
          <w:sz w:val="24"/>
          <w:szCs w:val="24"/>
        </w:rPr>
        <w:t>A service contractor will also be engaged to scale-up the redress mechanism to 11 regions based on learning from the ongoing establishment of a TB redress mechanism f</w:t>
      </w:r>
      <w:r>
        <w:rPr>
          <w:sz w:val="24"/>
          <w:szCs w:val="24"/>
        </w:rPr>
        <w:t xml:space="preserve">or 6 regions. </w:t>
      </w:r>
    </w:p>
    <w:p w14:paraId="10EF9414" w14:textId="77777777" w:rsidR="00155420" w:rsidRDefault="00E84F93">
      <w:pPr>
        <w:pBdr>
          <w:top w:val="nil"/>
          <w:left w:val="nil"/>
          <w:bottom w:val="nil"/>
          <w:right w:val="nil"/>
          <w:between w:val="nil"/>
        </w:pBdr>
        <w:spacing w:line="264" w:lineRule="auto"/>
        <w:rPr>
          <w:sz w:val="24"/>
          <w:szCs w:val="24"/>
        </w:rPr>
      </w:pPr>
      <w:r>
        <w:rPr>
          <w:sz w:val="24"/>
          <w:szCs w:val="24"/>
        </w:rPr>
        <w:t xml:space="preserve">The TB patient hotline is the platform for the TB redress mechanism. It includes links to retainer lawyers and psychologists for legal aid and mental health services, respectively. </w:t>
      </w:r>
    </w:p>
    <w:p w14:paraId="52107A7D" w14:textId="77777777" w:rsidR="00155420" w:rsidRDefault="00E84F93">
      <w:pPr>
        <w:pBdr>
          <w:top w:val="nil"/>
          <w:left w:val="nil"/>
          <w:bottom w:val="nil"/>
          <w:right w:val="nil"/>
          <w:between w:val="nil"/>
        </w:pBdr>
        <w:spacing w:line="264" w:lineRule="auto"/>
        <w:rPr>
          <w:sz w:val="24"/>
          <w:szCs w:val="24"/>
        </w:rPr>
      </w:pPr>
      <w:r>
        <w:rPr>
          <w:sz w:val="24"/>
          <w:szCs w:val="24"/>
        </w:rPr>
        <w:t xml:space="preserve">PBSP will engage consultants to support the development of </w:t>
      </w:r>
      <w:r>
        <w:rPr>
          <w:sz w:val="24"/>
          <w:szCs w:val="24"/>
        </w:rPr>
        <w:t xml:space="preserve">the implementing rules and regulations of the amended TB Law.  </w:t>
      </w:r>
    </w:p>
    <w:p w14:paraId="5D37E23A" w14:textId="77777777" w:rsidR="00155420" w:rsidRDefault="00E84F93">
      <w:pPr>
        <w:pBdr>
          <w:top w:val="nil"/>
          <w:left w:val="nil"/>
          <w:bottom w:val="nil"/>
          <w:right w:val="nil"/>
          <w:between w:val="nil"/>
        </w:pBdr>
        <w:spacing w:line="264" w:lineRule="auto"/>
        <w:rPr>
          <w:color w:val="000000"/>
          <w:sz w:val="24"/>
          <w:szCs w:val="24"/>
          <w:u w:val="single"/>
        </w:rPr>
      </w:pPr>
      <w:r>
        <w:rPr>
          <w:color w:val="000000"/>
          <w:sz w:val="24"/>
          <w:szCs w:val="24"/>
          <w:u w:val="single"/>
        </w:rPr>
        <w:t>RSSH Interventions</w:t>
      </w:r>
    </w:p>
    <w:p w14:paraId="43EEBC96"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 xml:space="preserve">Considering the diverse expertise needed to provide technical assistance on the proposed RSSH interventions, PBSP will engage short-term consultants or service providers as </w:t>
      </w:r>
      <w:r>
        <w:rPr>
          <w:color w:val="000000"/>
          <w:sz w:val="24"/>
          <w:szCs w:val="24"/>
        </w:rPr>
        <w:t xml:space="preserve">applicable. PBSP will manage the contracts with appropriate DOH representatives to co-develop scopes of work </w:t>
      </w:r>
      <w:r>
        <w:rPr>
          <w:sz w:val="24"/>
          <w:szCs w:val="24"/>
        </w:rPr>
        <w:t xml:space="preserve">and </w:t>
      </w:r>
      <w:r>
        <w:rPr>
          <w:color w:val="000000"/>
          <w:sz w:val="24"/>
          <w:szCs w:val="24"/>
        </w:rPr>
        <w:t>approve technical deliverables.</w:t>
      </w:r>
    </w:p>
    <w:p w14:paraId="38C5A773" w14:textId="77777777" w:rsidR="00155420" w:rsidRDefault="00E84F93">
      <w:pPr>
        <w:pBdr>
          <w:top w:val="nil"/>
          <w:left w:val="nil"/>
          <w:bottom w:val="nil"/>
          <w:right w:val="nil"/>
          <w:between w:val="nil"/>
        </w:pBdr>
        <w:spacing w:line="264" w:lineRule="auto"/>
        <w:rPr>
          <w:color w:val="000000"/>
          <w:sz w:val="24"/>
          <w:szCs w:val="24"/>
        </w:rPr>
      </w:pPr>
      <w:r>
        <w:rPr>
          <w:sz w:val="24"/>
          <w:szCs w:val="24"/>
        </w:rPr>
        <w:t>PBSP will engage a program lead for RSSH who will ensure all interventions are implemented and will regularly c</w:t>
      </w:r>
      <w:r>
        <w:rPr>
          <w:sz w:val="24"/>
          <w:szCs w:val="24"/>
        </w:rPr>
        <w:t xml:space="preserve">oordinate/report progress to the DOH and the PCCM. </w:t>
      </w:r>
      <w:r>
        <w:rPr>
          <w:color w:val="000000"/>
          <w:sz w:val="24"/>
          <w:szCs w:val="24"/>
        </w:rPr>
        <w:t xml:space="preserve">   </w:t>
      </w:r>
    </w:p>
    <w:p w14:paraId="11B5C245" w14:textId="77777777" w:rsidR="00155420" w:rsidRDefault="00155420">
      <w:pPr>
        <w:pBdr>
          <w:top w:val="nil"/>
          <w:left w:val="nil"/>
          <w:bottom w:val="nil"/>
          <w:right w:val="nil"/>
          <w:between w:val="nil"/>
        </w:pBdr>
        <w:spacing w:line="264" w:lineRule="auto"/>
        <w:ind w:left="990"/>
        <w:rPr>
          <w:b/>
          <w:color w:val="000000"/>
          <w:sz w:val="24"/>
          <w:szCs w:val="24"/>
        </w:rPr>
      </w:pPr>
    </w:p>
    <w:p w14:paraId="04EA7C3B" w14:textId="77777777" w:rsidR="00155420" w:rsidRDefault="00E84F93">
      <w:pPr>
        <w:numPr>
          <w:ilvl w:val="0"/>
          <w:numId w:val="8"/>
        </w:numPr>
        <w:pBdr>
          <w:top w:val="nil"/>
          <w:left w:val="nil"/>
          <w:bottom w:val="nil"/>
          <w:right w:val="nil"/>
          <w:between w:val="nil"/>
        </w:pBdr>
        <w:spacing w:line="264" w:lineRule="auto"/>
        <w:ind w:left="990" w:hanging="450"/>
        <w:rPr>
          <w:b/>
          <w:color w:val="000000"/>
          <w:sz w:val="24"/>
          <w:szCs w:val="24"/>
        </w:rPr>
      </w:pPr>
      <w:r>
        <w:rPr>
          <w:b/>
          <w:color w:val="000000"/>
          <w:sz w:val="24"/>
          <w:szCs w:val="24"/>
        </w:rPr>
        <w:t>Describe the role that community-based and community-led organizations will have in implementing programs supported by the Global Fund.</w:t>
      </w:r>
    </w:p>
    <w:p w14:paraId="32AC8886" w14:textId="77777777" w:rsidR="00155420" w:rsidRDefault="00155420">
      <w:pPr>
        <w:pBdr>
          <w:top w:val="nil"/>
          <w:left w:val="nil"/>
          <w:bottom w:val="nil"/>
          <w:right w:val="nil"/>
          <w:between w:val="nil"/>
        </w:pBdr>
        <w:spacing w:line="264" w:lineRule="auto"/>
        <w:rPr>
          <w:color w:val="000000"/>
          <w:sz w:val="24"/>
          <w:szCs w:val="24"/>
        </w:rPr>
      </w:pPr>
    </w:p>
    <w:p w14:paraId="1FFE5326" w14:textId="77777777" w:rsidR="00155420" w:rsidRDefault="00E84F93">
      <w:pPr>
        <w:spacing w:after="0"/>
        <w:rPr>
          <w:color w:val="000000"/>
          <w:sz w:val="24"/>
          <w:szCs w:val="24"/>
        </w:rPr>
      </w:pPr>
      <w:r>
        <w:rPr>
          <w:color w:val="000000"/>
          <w:sz w:val="24"/>
          <w:szCs w:val="24"/>
        </w:rPr>
        <w:t xml:space="preserve">Through patient empowerment and reducing stigma and </w:t>
      </w:r>
      <w:r>
        <w:rPr>
          <w:color w:val="000000"/>
          <w:sz w:val="24"/>
          <w:szCs w:val="24"/>
        </w:rPr>
        <w:t>discrimination, PBSP, through the NTP, will organize a TB Champions Pool to be capacitated to serve as advocacy champions at the national and local levels.  The pool will be selected among the key affected population groups, including healthcare workers an</w:t>
      </w:r>
      <w:r>
        <w:rPr>
          <w:color w:val="000000"/>
          <w:sz w:val="24"/>
          <w:szCs w:val="24"/>
        </w:rPr>
        <w:t>d community leaders, local chief executives, and critical personalities/influencers. They will be capacitated in public speaking and supported to participate in national and regional advocacy initiatives. </w:t>
      </w:r>
    </w:p>
    <w:p w14:paraId="7AC8A3CE" w14:textId="77777777" w:rsidR="00155420" w:rsidRDefault="00155420">
      <w:pPr>
        <w:pBdr>
          <w:top w:val="nil"/>
          <w:left w:val="nil"/>
          <w:bottom w:val="nil"/>
          <w:right w:val="nil"/>
          <w:between w:val="nil"/>
        </w:pBdr>
        <w:spacing w:after="0"/>
        <w:ind w:left="720"/>
        <w:rPr>
          <w:color w:val="000000"/>
          <w:sz w:val="24"/>
          <w:szCs w:val="24"/>
        </w:rPr>
      </w:pPr>
    </w:p>
    <w:p w14:paraId="7E410F37" w14:textId="4F8847F5" w:rsidR="00155420" w:rsidRDefault="00E84F93">
      <w:pPr>
        <w:pBdr>
          <w:top w:val="nil"/>
          <w:left w:val="nil"/>
          <w:bottom w:val="nil"/>
          <w:right w:val="nil"/>
          <w:between w:val="nil"/>
        </w:pBdr>
        <w:spacing w:line="264" w:lineRule="auto"/>
        <w:rPr>
          <w:color w:val="000000"/>
        </w:rPr>
      </w:pPr>
      <w:r>
        <w:rPr>
          <w:color w:val="000000"/>
          <w:sz w:val="24"/>
          <w:szCs w:val="24"/>
        </w:rPr>
        <w:t xml:space="preserve">CLM and redress mechanisms will be scaled up nationwide. </w:t>
      </w:r>
      <w:r>
        <w:rPr>
          <w:color w:val="000000"/>
        </w:rPr>
        <w:t>The end goal is to establish a multi-disease CLM.  However, given that the CLM for TB is under development and the CLM for HIV is also changing, it is unlikely that the CLM for TB-HIV can be integrat</w:t>
      </w:r>
      <w:r>
        <w:rPr>
          <w:color w:val="000000"/>
        </w:rPr>
        <w:t xml:space="preserve">ed within 2024-2026. The vision for integration is </w:t>
      </w:r>
      <w:r w:rsidR="00902DFE">
        <w:rPr>
          <w:color w:val="000000"/>
        </w:rPr>
        <w:t>to have</w:t>
      </w:r>
      <w:r>
        <w:rPr>
          <w:color w:val="000000"/>
        </w:rPr>
        <w:t xml:space="preserve"> a CLM mechanism that will not be disease-specific, with standardized tools and common oversight bodies. </w:t>
      </w:r>
    </w:p>
    <w:p w14:paraId="20F1BB13" w14:textId="17C56B09" w:rsidR="00155420" w:rsidRDefault="00E84F93">
      <w:pPr>
        <w:pBdr>
          <w:top w:val="nil"/>
          <w:left w:val="nil"/>
          <w:bottom w:val="nil"/>
          <w:right w:val="nil"/>
          <w:between w:val="nil"/>
        </w:pBdr>
        <w:spacing w:line="264" w:lineRule="auto"/>
        <w:rPr>
          <w:color w:val="000000"/>
        </w:rPr>
      </w:pPr>
      <w:r>
        <w:rPr>
          <w:color w:val="000000"/>
        </w:rPr>
        <w:t>The TB CLM mechanism will be engaging one CLM team per region. CLM activities will be done a</w:t>
      </w:r>
      <w:r>
        <w:rPr>
          <w:color w:val="000000"/>
        </w:rPr>
        <w:t xml:space="preserve">t the facility level. Using standardized tools, data will be regularly collected and reported to the DOH regional office for action. The DOH regional office will </w:t>
      </w:r>
      <w:r w:rsidR="00902DFE">
        <w:rPr>
          <w:color w:val="000000"/>
        </w:rPr>
        <w:t>discuss and address</w:t>
      </w:r>
      <w:r>
        <w:rPr>
          <w:color w:val="000000"/>
        </w:rPr>
        <w:t xml:space="preserve"> concerns with the local government </w:t>
      </w:r>
      <w:r>
        <w:rPr>
          <w:color w:val="000000"/>
        </w:rPr>
        <w:lastRenderedPageBreak/>
        <w:t xml:space="preserve">units. For findings needing legal aid, </w:t>
      </w:r>
      <w:r>
        <w:rPr>
          <w:color w:val="000000"/>
        </w:rPr>
        <w:t xml:space="preserve">the CLM teams will have access to retainer lawyers that are part of the redress mechanisms in place.    </w:t>
      </w:r>
    </w:p>
    <w:p w14:paraId="74A298BF" w14:textId="77777777" w:rsidR="00155420" w:rsidRDefault="00155420">
      <w:pPr>
        <w:spacing w:after="0"/>
        <w:rPr>
          <w:rFonts w:ascii="Times New Roman" w:eastAsia="Times New Roman" w:hAnsi="Times New Roman" w:cs="Times New Roman"/>
          <w:sz w:val="24"/>
          <w:szCs w:val="24"/>
        </w:rPr>
      </w:pPr>
    </w:p>
    <w:p w14:paraId="1CCAD738" w14:textId="77777777" w:rsidR="00155420" w:rsidRDefault="00E84F93">
      <w:pPr>
        <w:pStyle w:val="Heading2"/>
        <w:numPr>
          <w:ilvl w:val="1"/>
          <w:numId w:val="38"/>
        </w:numPr>
      </w:pPr>
      <w:r>
        <w:t>Key Risks and Mitigation Measures</w:t>
      </w:r>
    </w:p>
    <w:p w14:paraId="2CAF2E53"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In addition to the identified challenges and responses in Section 2.5 on sustainability, the following are other key</w:t>
      </w:r>
      <w:r>
        <w:rPr>
          <w:color w:val="000000"/>
          <w:sz w:val="24"/>
          <w:szCs w:val="24"/>
        </w:rPr>
        <w:t xml:space="preserve"> risks and mitigating </w:t>
      </w:r>
      <w:r>
        <w:rPr>
          <w:sz w:val="24"/>
          <w:szCs w:val="24"/>
        </w:rPr>
        <w:t>measures</w:t>
      </w:r>
      <w:r>
        <w:rPr>
          <w:color w:val="000000"/>
          <w:sz w:val="24"/>
          <w:szCs w:val="24"/>
        </w:rPr>
        <w:t xml:space="preserve">. </w:t>
      </w:r>
    </w:p>
    <w:tbl>
      <w:tblPr>
        <w:tblStyle w:val="ab"/>
        <w:tblW w:w="10194" w:type="dxa"/>
        <w:tblLayout w:type="fixed"/>
        <w:tblLook w:val="0400" w:firstRow="0" w:lastRow="0" w:firstColumn="0" w:lastColumn="0" w:noHBand="0" w:noVBand="1"/>
      </w:tblPr>
      <w:tblGrid>
        <w:gridCol w:w="3472"/>
        <w:gridCol w:w="4845"/>
        <w:gridCol w:w="1877"/>
      </w:tblGrid>
      <w:tr w:rsidR="00155420" w14:paraId="08575EFE" w14:textId="77777777">
        <w:tc>
          <w:tcPr>
            <w:tcW w:w="3472" w:type="dxa"/>
            <w:tcBorders>
              <w:top w:val="single" w:sz="4" w:space="0" w:color="000000"/>
              <w:left w:val="single" w:sz="4" w:space="0" w:color="000000"/>
              <w:bottom w:val="single" w:sz="4" w:space="0" w:color="000000"/>
              <w:right w:val="single" w:sz="4" w:space="0" w:color="000000"/>
            </w:tcBorders>
            <w:shd w:val="clear" w:color="auto" w:fill="F2F2F2"/>
            <w:tcMar>
              <w:top w:w="0" w:type="dxa"/>
              <w:left w:w="115" w:type="dxa"/>
              <w:bottom w:w="0" w:type="dxa"/>
              <w:right w:w="115" w:type="dxa"/>
            </w:tcMar>
            <w:vAlign w:val="center"/>
          </w:tcPr>
          <w:p w14:paraId="5790FBB8" w14:textId="77777777" w:rsidR="00155420" w:rsidRDefault="00E84F93">
            <w:pPr>
              <w:pBdr>
                <w:top w:val="nil"/>
                <w:left w:val="nil"/>
                <w:bottom w:val="nil"/>
                <w:right w:val="nil"/>
                <w:between w:val="nil"/>
              </w:pBdr>
              <w:spacing w:line="264" w:lineRule="auto"/>
              <w:jc w:val="center"/>
              <w:rPr>
                <w:rFonts w:ascii="Times New Roman" w:eastAsia="Times New Roman" w:hAnsi="Times New Roman" w:cs="Times New Roman"/>
                <w:b/>
                <w:color w:val="000000"/>
                <w:sz w:val="24"/>
                <w:szCs w:val="24"/>
              </w:rPr>
            </w:pPr>
            <w:r>
              <w:rPr>
                <w:b/>
                <w:color w:val="000000"/>
                <w:sz w:val="24"/>
                <w:szCs w:val="24"/>
              </w:rPr>
              <w:t>Key Implementation Risks</w:t>
            </w:r>
          </w:p>
          <w:p w14:paraId="7015AC50" w14:textId="77777777" w:rsidR="00155420" w:rsidRDefault="00155420">
            <w:pPr>
              <w:pBdr>
                <w:top w:val="nil"/>
                <w:left w:val="nil"/>
                <w:bottom w:val="nil"/>
                <w:right w:val="nil"/>
                <w:between w:val="nil"/>
              </w:pBdr>
              <w:spacing w:line="264" w:lineRule="auto"/>
              <w:jc w:val="center"/>
              <w:rPr>
                <w:rFonts w:ascii="Times New Roman" w:eastAsia="Times New Roman" w:hAnsi="Times New Roman" w:cs="Times New Roman"/>
                <w:b/>
                <w:color w:val="000000"/>
                <w:sz w:val="24"/>
                <w:szCs w:val="24"/>
              </w:rPr>
            </w:pPr>
          </w:p>
        </w:tc>
        <w:tc>
          <w:tcPr>
            <w:tcW w:w="4845" w:type="dxa"/>
            <w:tcBorders>
              <w:top w:val="single" w:sz="4" w:space="0" w:color="000000"/>
              <w:left w:val="single" w:sz="4" w:space="0" w:color="000000"/>
              <w:bottom w:val="single" w:sz="4" w:space="0" w:color="000000"/>
              <w:right w:val="single" w:sz="4" w:space="0" w:color="000000"/>
            </w:tcBorders>
            <w:shd w:val="clear" w:color="auto" w:fill="F2F2F2"/>
            <w:tcMar>
              <w:top w:w="0" w:type="dxa"/>
              <w:left w:w="115" w:type="dxa"/>
              <w:bottom w:w="0" w:type="dxa"/>
              <w:right w:w="115" w:type="dxa"/>
            </w:tcMar>
            <w:vAlign w:val="center"/>
          </w:tcPr>
          <w:p w14:paraId="0A807D8A" w14:textId="77777777" w:rsidR="00155420" w:rsidRDefault="00E84F93">
            <w:pPr>
              <w:pBdr>
                <w:top w:val="nil"/>
                <w:left w:val="nil"/>
                <w:bottom w:val="nil"/>
                <w:right w:val="nil"/>
                <w:between w:val="nil"/>
              </w:pBdr>
              <w:spacing w:line="264" w:lineRule="auto"/>
              <w:jc w:val="center"/>
              <w:rPr>
                <w:rFonts w:ascii="Times New Roman" w:eastAsia="Times New Roman" w:hAnsi="Times New Roman" w:cs="Times New Roman"/>
                <w:b/>
                <w:color w:val="000000"/>
                <w:sz w:val="24"/>
                <w:szCs w:val="24"/>
              </w:rPr>
            </w:pPr>
            <w:r>
              <w:rPr>
                <w:b/>
                <w:color w:val="000000"/>
                <w:sz w:val="24"/>
                <w:szCs w:val="24"/>
              </w:rPr>
              <w:t>Corresponding Mitigation Measures</w:t>
            </w:r>
          </w:p>
          <w:p w14:paraId="7E5CD000" w14:textId="77777777" w:rsidR="00155420" w:rsidRDefault="00155420">
            <w:pPr>
              <w:pBdr>
                <w:top w:val="nil"/>
                <w:left w:val="nil"/>
                <w:bottom w:val="nil"/>
                <w:right w:val="nil"/>
                <w:between w:val="nil"/>
              </w:pBdr>
              <w:spacing w:line="264" w:lineRule="auto"/>
              <w:jc w:val="center"/>
              <w:rPr>
                <w:rFonts w:ascii="Times New Roman" w:eastAsia="Times New Roman" w:hAnsi="Times New Roman" w:cs="Times New Roman"/>
                <w:b/>
                <w:color w:val="000000"/>
                <w:sz w:val="24"/>
                <w:szCs w:val="24"/>
              </w:rPr>
            </w:pPr>
          </w:p>
        </w:tc>
        <w:tc>
          <w:tcPr>
            <w:tcW w:w="1877" w:type="dxa"/>
            <w:tcBorders>
              <w:top w:val="single" w:sz="4" w:space="0" w:color="000000"/>
              <w:left w:val="single" w:sz="4" w:space="0" w:color="000000"/>
              <w:bottom w:val="single" w:sz="4" w:space="0" w:color="000000"/>
              <w:right w:val="single" w:sz="4" w:space="0" w:color="000000"/>
            </w:tcBorders>
            <w:shd w:val="clear" w:color="auto" w:fill="F2F2F2"/>
            <w:tcMar>
              <w:top w:w="0" w:type="dxa"/>
              <w:left w:w="115" w:type="dxa"/>
              <w:bottom w:w="0" w:type="dxa"/>
              <w:right w:w="115" w:type="dxa"/>
            </w:tcMar>
            <w:vAlign w:val="center"/>
          </w:tcPr>
          <w:p w14:paraId="49A48B08" w14:textId="77777777" w:rsidR="00155420" w:rsidRDefault="00E84F93">
            <w:pPr>
              <w:pBdr>
                <w:top w:val="nil"/>
                <w:left w:val="nil"/>
                <w:bottom w:val="nil"/>
                <w:right w:val="nil"/>
                <w:between w:val="nil"/>
              </w:pBdr>
              <w:spacing w:line="264" w:lineRule="auto"/>
              <w:jc w:val="center"/>
              <w:rPr>
                <w:rFonts w:ascii="Times New Roman" w:eastAsia="Times New Roman" w:hAnsi="Times New Roman" w:cs="Times New Roman"/>
                <w:b/>
                <w:color w:val="000000"/>
                <w:sz w:val="24"/>
                <w:szCs w:val="24"/>
              </w:rPr>
            </w:pPr>
            <w:r>
              <w:rPr>
                <w:b/>
                <w:color w:val="000000"/>
                <w:sz w:val="24"/>
                <w:szCs w:val="24"/>
              </w:rPr>
              <w:t>Entity Responsible</w:t>
            </w:r>
          </w:p>
          <w:p w14:paraId="487695A3" w14:textId="77777777" w:rsidR="00155420" w:rsidRDefault="00155420">
            <w:pPr>
              <w:pBdr>
                <w:top w:val="nil"/>
                <w:left w:val="nil"/>
                <w:bottom w:val="nil"/>
                <w:right w:val="nil"/>
                <w:between w:val="nil"/>
              </w:pBdr>
              <w:spacing w:line="264" w:lineRule="auto"/>
              <w:jc w:val="center"/>
              <w:rPr>
                <w:rFonts w:ascii="Times New Roman" w:eastAsia="Times New Roman" w:hAnsi="Times New Roman" w:cs="Times New Roman"/>
                <w:b/>
                <w:color w:val="000000"/>
                <w:sz w:val="24"/>
                <w:szCs w:val="24"/>
              </w:rPr>
            </w:pPr>
          </w:p>
        </w:tc>
      </w:tr>
      <w:tr w:rsidR="00155420" w14:paraId="0B5EBEED" w14:textId="77777777">
        <w:tc>
          <w:tcPr>
            <w:tcW w:w="34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AE3E269"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[Tax Return] The country will not be able to return tax being recovered by TGF.</w:t>
            </w:r>
          </w:p>
          <w:p w14:paraId="33718919"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 xml:space="preserve">Risk Level: High </w:t>
            </w:r>
          </w:p>
          <w:p w14:paraId="25A54B57"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 xml:space="preserve">Likelihood: High </w:t>
            </w:r>
          </w:p>
        </w:tc>
        <w:tc>
          <w:tcPr>
            <w:tcW w:w="4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148187A" w14:textId="2EDD44E6" w:rsidR="00155420" w:rsidRDefault="00E84F93">
            <w:pPr>
              <w:pBdr>
                <w:top w:val="nil"/>
                <w:left w:val="nil"/>
                <w:bottom w:val="nil"/>
                <w:right w:val="nil"/>
                <w:between w:val="nil"/>
              </w:pBdr>
              <w:spacing w:line="264" w:lineRule="auto"/>
              <w:rPr>
                <w:color w:val="000000"/>
                <w:sz w:val="24"/>
                <w:szCs w:val="24"/>
                <w:highlight w:val="yellow"/>
              </w:rPr>
            </w:pPr>
            <w:r>
              <w:rPr>
                <w:color w:val="000000"/>
                <w:sz w:val="24"/>
                <w:szCs w:val="24"/>
              </w:rPr>
              <w:t>A position paper is being</w:t>
            </w:r>
            <w:r>
              <w:rPr>
                <w:color w:val="000000"/>
                <w:sz w:val="24"/>
                <w:szCs w:val="24"/>
              </w:rPr>
              <w:t xml:space="preserve"> finalized</w:t>
            </w:r>
            <w:r w:rsidR="00902DFE">
              <w:rPr>
                <w:color w:val="000000"/>
                <w:sz w:val="24"/>
                <w:szCs w:val="24"/>
              </w:rPr>
              <w:t xml:space="preserve"> </w:t>
            </w:r>
            <w:r>
              <w:rPr>
                <w:color w:val="000000"/>
                <w:sz w:val="24"/>
                <w:szCs w:val="24"/>
              </w:rPr>
              <w:t xml:space="preserve">to discuss the measures that will be undertaken by the country on this issue. See </w:t>
            </w:r>
            <w:r w:rsidR="00902DFE">
              <w:rPr>
                <w:color w:val="000000"/>
                <w:sz w:val="24"/>
                <w:szCs w:val="24"/>
              </w:rPr>
              <w:t>Annex 22</w:t>
            </w:r>
            <w:r>
              <w:rPr>
                <w:color w:val="000000"/>
                <w:sz w:val="24"/>
                <w:szCs w:val="24"/>
              </w:rPr>
              <w:t xml:space="preserve"> </w:t>
            </w:r>
          </w:p>
        </w:tc>
        <w:tc>
          <w:tcPr>
            <w:tcW w:w="18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DFF249" w14:textId="77777777" w:rsidR="00155420" w:rsidRDefault="00E84F93">
            <w:pPr>
              <w:pBdr>
                <w:top w:val="nil"/>
                <w:left w:val="nil"/>
                <w:bottom w:val="nil"/>
                <w:right w:val="nil"/>
                <w:between w:val="nil"/>
              </w:pBdr>
              <w:spacing w:line="264" w:lineRule="auto"/>
              <w:rPr>
                <w:color w:val="000000"/>
                <w:sz w:val="24"/>
                <w:szCs w:val="24"/>
                <w:highlight w:val="yellow"/>
              </w:rPr>
            </w:pPr>
            <w:r>
              <w:rPr>
                <w:color w:val="000000"/>
                <w:sz w:val="24"/>
                <w:szCs w:val="24"/>
              </w:rPr>
              <w:t>DOH</w:t>
            </w:r>
          </w:p>
        </w:tc>
      </w:tr>
      <w:tr w:rsidR="00155420" w14:paraId="08D73B04" w14:textId="77777777">
        <w:tc>
          <w:tcPr>
            <w:tcW w:w="34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CF4CDC"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 xml:space="preserve">[Governance] Delay in the implementation of UHC Provisions </w:t>
            </w:r>
          </w:p>
          <w:p w14:paraId="47C467B1"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Risk Level: Medium</w:t>
            </w:r>
          </w:p>
          <w:p w14:paraId="54CACDFC"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Likelihood: Medium</w:t>
            </w:r>
          </w:p>
        </w:tc>
        <w:tc>
          <w:tcPr>
            <w:tcW w:w="4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34D30D7"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Fast track EQUITY Project, UHC IS, and UHC CATCH t</w:t>
            </w:r>
            <w:r>
              <w:rPr>
                <w:color w:val="000000"/>
                <w:sz w:val="24"/>
                <w:szCs w:val="24"/>
              </w:rPr>
              <w:t xml:space="preserve">o provide a full demonstration of technical, financial, and managerial integration to serve as the basis for scale-up </w:t>
            </w:r>
          </w:p>
        </w:tc>
        <w:tc>
          <w:tcPr>
            <w:tcW w:w="18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35757FC"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DOH, PHIC, and IPs</w:t>
            </w:r>
          </w:p>
        </w:tc>
      </w:tr>
      <w:tr w:rsidR="00155420" w14:paraId="3C925B78" w14:textId="77777777">
        <w:tc>
          <w:tcPr>
            <w:tcW w:w="34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3FFB21D"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[CSS] CLM recommendations will not be recognized by the government.</w:t>
            </w:r>
          </w:p>
          <w:p w14:paraId="4360DC13"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Risk Level: Medium</w:t>
            </w:r>
          </w:p>
          <w:p w14:paraId="75E7A110" w14:textId="77777777" w:rsidR="00155420" w:rsidRDefault="00E84F93">
            <w:pPr>
              <w:pBdr>
                <w:top w:val="nil"/>
                <w:left w:val="nil"/>
                <w:bottom w:val="nil"/>
                <w:right w:val="nil"/>
                <w:between w:val="nil"/>
              </w:pBdr>
              <w:spacing w:line="264" w:lineRule="auto"/>
              <w:rPr>
                <w:rFonts w:ascii="Times New Roman" w:eastAsia="Times New Roman" w:hAnsi="Times New Roman" w:cs="Times New Roman"/>
                <w:color w:val="000000"/>
                <w:sz w:val="24"/>
                <w:szCs w:val="24"/>
              </w:rPr>
            </w:pPr>
            <w:r>
              <w:rPr>
                <w:color w:val="000000"/>
                <w:sz w:val="24"/>
                <w:szCs w:val="24"/>
              </w:rPr>
              <w:t>Likelihood: Low</w:t>
            </w:r>
          </w:p>
        </w:tc>
        <w:tc>
          <w:tcPr>
            <w:tcW w:w="4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1ACCAF" w14:textId="77777777" w:rsidR="00155420" w:rsidRDefault="00E84F93">
            <w:pPr>
              <w:pBdr>
                <w:top w:val="nil"/>
                <w:left w:val="nil"/>
                <w:bottom w:val="nil"/>
                <w:right w:val="nil"/>
                <w:between w:val="nil"/>
              </w:pBdr>
              <w:spacing w:line="264" w:lineRule="auto"/>
              <w:rPr>
                <w:rFonts w:ascii="Times New Roman" w:eastAsia="Times New Roman" w:hAnsi="Times New Roman" w:cs="Times New Roman"/>
                <w:color w:val="000000"/>
                <w:sz w:val="24"/>
                <w:szCs w:val="24"/>
              </w:rPr>
            </w:pPr>
            <w:r>
              <w:rPr>
                <w:color w:val="000000"/>
                <w:sz w:val="24"/>
                <w:szCs w:val="24"/>
              </w:rPr>
              <w:t>Strengthen the</w:t>
            </w:r>
            <w:r>
              <w:rPr>
                <w:color w:val="000000"/>
                <w:sz w:val="24"/>
                <w:szCs w:val="24"/>
              </w:rPr>
              <w:t xml:space="preserve"> RCC and NCC as platforms for advocacy and communication.  </w:t>
            </w:r>
          </w:p>
        </w:tc>
        <w:tc>
          <w:tcPr>
            <w:tcW w:w="18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92B48BD" w14:textId="77777777" w:rsidR="00155420" w:rsidRDefault="00E84F93">
            <w:pPr>
              <w:pBdr>
                <w:top w:val="nil"/>
                <w:left w:val="nil"/>
                <w:bottom w:val="nil"/>
                <w:right w:val="nil"/>
                <w:between w:val="nil"/>
              </w:pBdr>
              <w:spacing w:line="264" w:lineRule="auto"/>
              <w:rPr>
                <w:rFonts w:ascii="Times New Roman" w:eastAsia="Times New Roman" w:hAnsi="Times New Roman" w:cs="Times New Roman"/>
                <w:color w:val="000000"/>
                <w:sz w:val="24"/>
                <w:szCs w:val="24"/>
              </w:rPr>
            </w:pPr>
            <w:r>
              <w:rPr>
                <w:color w:val="000000"/>
                <w:sz w:val="24"/>
                <w:szCs w:val="24"/>
              </w:rPr>
              <w:t>IPs</w:t>
            </w:r>
          </w:p>
        </w:tc>
      </w:tr>
      <w:tr w:rsidR="00155420" w14:paraId="17CF171D" w14:textId="77777777">
        <w:tc>
          <w:tcPr>
            <w:tcW w:w="34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CBD825"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 xml:space="preserve">[Financing] LGUs fail to manage the increased allocation for health from DOH. </w:t>
            </w:r>
          </w:p>
          <w:p w14:paraId="082FDD36"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Risk Level: Medium</w:t>
            </w:r>
          </w:p>
          <w:p w14:paraId="2F4604F5" w14:textId="77777777" w:rsidR="00155420" w:rsidRDefault="00E84F93">
            <w:pPr>
              <w:pBdr>
                <w:top w:val="nil"/>
                <w:left w:val="nil"/>
                <w:bottom w:val="nil"/>
                <w:right w:val="nil"/>
                <w:between w:val="nil"/>
              </w:pBdr>
              <w:spacing w:line="264" w:lineRule="auto"/>
              <w:rPr>
                <w:rFonts w:ascii="Times New Roman" w:eastAsia="Times New Roman" w:hAnsi="Times New Roman" w:cs="Times New Roman"/>
                <w:color w:val="000000"/>
                <w:sz w:val="24"/>
                <w:szCs w:val="24"/>
              </w:rPr>
            </w:pPr>
            <w:r>
              <w:rPr>
                <w:color w:val="000000"/>
                <w:sz w:val="24"/>
                <w:szCs w:val="24"/>
              </w:rPr>
              <w:t>Likelihood: Medium</w:t>
            </w:r>
          </w:p>
        </w:tc>
        <w:tc>
          <w:tcPr>
            <w:tcW w:w="4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90884" w14:textId="77777777" w:rsidR="00155420" w:rsidRDefault="00E84F93">
            <w:pPr>
              <w:pBdr>
                <w:top w:val="nil"/>
                <w:left w:val="nil"/>
                <w:bottom w:val="nil"/>
                <w:right w:val="nil"/>
                <w:between w:val="nil"/>
              </w:pBdr>
              <w:spacing w:line="264" w:lineRule="auto"/>
              <w:rPr>
                <w:rFonts w:ascii="Times New Roman" w:eastAsia="Times New Roman" w:hAnsi="Times New Roman" w:cs="Times New Roman"/>
                <w:color w:val="000000"/>
                <w:sz w:val="24"/>
                <w:szCs w:val="24"/>
              </w:rPr>
            </w:pPr>
            <w:r>
              <w:rPr>
                <w:color w:val="000000"/>
                <w:sz w:val="24"/>
                <w:szCs w:val="24"/>
              </w:rPr>
              <w:t xml:space="preserve">Establish support channels for LGUs in optimizing health budgets for health programs. Establish emergency channels to support the health needs of poor municipalities </w:t>
            </w:r>
          </w:p>
        </w:tc>
        <w:tc>
          <w:tcPr>
            <w:tcW w:w="18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087DCE" w14:textId="77777777" w:rsidR="00155420" w:rsidRDefault="00E84F93">
            <w:pPr>
              <w:pBdr>
                <w:top w:val="nil"/>
                <w:left w:val="nil"/>
                <w:bottom w:val="nil"/>
                <w:right w:val="nil"/>
                <w:between w:val="nil"/>
              </w:pBdr>
              <w:spacing w:line="264" w:lineRule="auto"/>
              <w:rPr>
                <w:rFonts w:ascii="Times New Roman" w:eastAsia="Times New Roman" w:hAnsi="Times New Roman" w:cs="Times New Roman"/>
                <w:color w:val="000000"/>
                <w:sz w:val="24"/>
                <w:szCs w:val="24"/>
              </w:rPr>
            </w:pPr>
            <w:r>
              <w:rPr>
                <w:color w:val="000000"/>
                <w:sz w:val="24"/>
                <w:szCs w:val="24"/>
              </w:rPr>
              <w:t>DOH (DPCB, BLHSD, FICT)</w:t>
            </w:r>
          </w:p>
        </w:tc>
      </w:tr>
      <w:tr w:rsidR="00155420" w14:paraId="5ADD0C5C" w14:textId="77777777">
        <w:tc>
          <w:tcPr>
            <w:tcW w:w="34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EB66DC0"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[HPMS] Stock out of Xpert cartridges, anti-TB medicines, and rel</w:t>
            </w:r>
            <w:r>
              <w:rPr>
                <w:color w:val="000000"/>
                <w:sz w:val="24"/>
                <w:szCs w:val="24"/>
              </w:rPr>
              <w:t>ated commodities</w:t>
            </w:r>
          </w:p>
          <w:p w14:paraId="379D6420"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Risk Level: Medium</w:t>
            </w:r>
          </w:p>
          <w:p w14:paraId="2C16DF64"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Likelihood: Medium</w:t>
            </w:r>
          </w:p>
        </w:tc>
        <w:tc>
          <w:tcPr>
            <w:tcW w:w="4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84C8E9"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For SLDs, to maintain buffer stock. For SLD and Xpert cartridges to be routinely monitored.</w:t>
            </w:r>
          </w:p>
        </w:tc>
        <w:tc>
          <w:tcPr>
            <w:tcW w:w="18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1C545B" w14:textId="77777777" w:rsidR="00155420" w:rsidRDefault="00155420">
            <w:pPr>
              <w:pBdr>
                <w:top w:val="nil"/>
                <w:left w:val="nil"/>
                <w:bottom w:val="nil"/>
                <w:right w:val="nil"/>
                <w:between w:val="nil"/>
              </w:pBdr>
              <w:spacing w:line="264" w:lineRule="auto"/>
              <w:rPr>
                <w:color w:val="000000"/>
                <w:sz w:val="24"/>
                <w:szCs w:val="24"/>
              </w:rPr>
            </w:pPr>
          </w:p>
        </w:tc>
      </w:tr>
      <w:tr w:rsidR="00155420" w14:paraId="71A076BE" w14:textId="77777777">
        <w:tc>
          <w:tcPr>
            <w:tcW w:w="34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301570"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lastRenderedPageBreak/>
              <w:t xml:space="preserve">[HPMS] eLMIS cannot be operationalized at the LGU level </w:t>
            </w:r>
          </w:p>
          <w:p w14:paraId="68B358BB"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Risk Level: Medium</w:t>
            </w:r>
          </w:p>
          <w:p w14:paraId="435FDF44" w14:textId="77777777" w:rsidR="00155420" w:rsidRDefault="00E84F93">
            <w:pPr>
              <w:pBdr>
                <w:top w:val="nil"/>
                <w:left w:val="nil"/>
                <w:bottom w:val="nil"/>
                <w:right w:val="nil"/>
                <w:between w:val="nil"/>
              </w:pBdr>
              <w:spacing w:line="264" w:lineRule="auto"/>
              <w:rPr>
                <w:rFonts w:ascii="Times New Roman" w:eastAsia="Times New Roman" w:hAnsi="Times New Roman" w:cs="Times New Roman"/>
                <w:color w:val="000000"/>
                <w:sz w:val="24"/>
                <w:szCs w:val="24"/>
              </w:rPr>
            </w:pPr>
            <w:r>
              <w:rPr>
                <w:color w:val="000000"/>
                <w:sz w:val="24"/>
                <w:szCs w:val="24"/>
              </w:rPr>
              <w:t>Likelihood: Medium</w:t>
            </w:r>
          </w:p>
        </w:tc>
        <w:tc>
          <w:tcPr>
            <w:tcW w:w="4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050BAB" w14:textId="77777777" w:rsidR="00155420" w:rsidRDefault="00E84F93">
            <w:pPr>
              <w:pBdr>
                <w:top w:val="nil"/>
                <w:left w:val="nil"/>
                <w:bottom w:val="nil"/>
                <w:right w:val="nil"/>
                <w:between w:val="nil"/>
              </w:pBdr>
              <w:spacing w:line="264" w:lineRule="auto"/>
              <w:rPr>
                <w:rFonts w:ascii="Times New Roman" w:eastAsia="Times New Roman" w:hAnsi="Times New Roman" w:cs="Times New Roman"/>
                <w:color w:val="000000"/>
                <w:sz w:val="24"/>
                <w:szCs w:val="24"/>
              </w:rPr>
            </w:pPr>
            <w:r>
              <w:rPr>
                <w:color w:val="000000"/>
                <w:sz w:val="24"/>
                <w:szCs w:val="24"/>
              </w:rPr>
              <w:t>For FLDs, to</w:t>
            </w:r>
            <w:r>
              <w:rPr>
                <w:color w:val="000000"/>
                <w:sz w:val="24"/>
                <w:szCs w:val="24"/>
              </w:rPr>
              <w:t xml:space="preserve"> maintain buffer stock. For SLDs and Xpert cartridges to be routinely monitored.</w:t>
            </w:r>
          </w:p>
        </w:tc>
        <w:tc>
          <w:tcPr>
            <w:tcW w:w="18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C9D8266" w14:textId="61C861D0" w:rsidR="00155420" w:rsidRDefault="00E84F93">
            <w:pPr>
              <w:pBdr>
                <w:top w:val="nil"/>
                <w:left w:val="nil"/>
                <w:bottom w:val="nil"/>
                <w:right w:val="nil"/>
                <w:between w:val="nil"/>
              </w:pBdr>
              <w:spacing w:line="264" w:lineRule="auto"/>
              <w:rPr>
                <w:rFonts w:ascii="Times New Roman" w:eastAsia="Times New Roman" w:hAnsi="Times New Roman" w:cs="Times New Roman"/>
                <w:color w:val="000000"/>
                <w:sz w:val="24"/>
                <w:szCs w:val="24"/>
              </w:rPr>
            </w:pPr>
            <w:r>
              <w:rPr>
                <w:color w:val="000000"/>
                <w:sz w:val="24"/>
                <w:szCs w:val="24"/>
              </w:rPr>
              <w:t>DOH (DPCB, SCM</w:t>
            </w:r>
            <w:r w:rsidR="00902DFE">
              <w:rPr>
                <w:color w:val="000000"/>
                <w:sz w:val="24"/>
                <w:szCs w:val="24"/>
              </w:rPr>
              <w:t>O</w:t>
            </w:r>
            <w:r>
              <w:rPr>
                <w:color w:val="000000"/>
                <w:sz w:val="24"/>
                <w:szCs w:val="24"/>
              </w:rPr>
              <w:t xml:space="preserve"> &amp; KMITS)</w:t>
            </w:r>
          </w:p>
        </w:tc>
      </w:tr>
      <w:tr w:rsidR="00155420" w14:paraId="3486F744" w14:textId="77777777">
        <w:tc>
          <w:tcPr>
            <w:tcW w:w="34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F8423F"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[HPMS] Delayed release by Bureau of Customs due to delayed DOH concurrence to consignments and related tax charging.</w:t>
            </w:r>
          </w:p>
          <w:p w14:paraId="56124207"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Risk Level: High</w:t>
            </w:r>
          </w:p>
          <w:p w14:paraId="157BE9E7" w14:textId="77777777" w:rsidR="00155420" w:rsidRDefault="00E84F93">
            <w:pPr>
              <w:pBdr>
                <w:top w:val="nil"/>
                <w:left w:val="nil"/>
                <w:bottom w:val="nil"/>
                <w:right w:val="nil"/>
                <w:between w:val="nil"/>
              </w:pBdr>
              <w:spacing w:line="264" w:lineRule="auto"/>
              <w:rPr>
                <w:rFonts w:ascii="Times New Roman" w:eastAsia="Times New Roman" w:hAnsi="Times New Roman" w:cs="Times New Roman"/>
                <w:color w:val="000000"/>
                <w:sz w:val="24"/>
                <w:szCs w:val="24"/>
              </w:rPr>
            </w:pPr>
            <w:r>
              <w:rPr>
                <w:color w:val="000000"/>
                <w:sz w:val="24"/>
                <w:szCs w:val="24"/>
              </w:rPr>
              <w:t>Likelihood: Low</w:t>
            </w:r>
          </w:p>
        </w:tc>
        <w:tc>
          <w:tcPr>
            <w:tcW w:w="4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DC8F0D9" w14:textId="77777777" w:rsidR="00155420" w:rsidRDefault="00E84F93">
            <w:pPr>
              <w:pBdr>
                <w:top w:val="nil"/>
                <w:left w:val="nil"/>
                <w:bottom w:val="nil"/>
                <w:right w:val="nil"/>
                <w:between w:val="nil"/>
              </w:pBdr>
              <w:spacing w:line="264" w:lineRule="auto"/>
              <w:rPr>
                <w:rFonts w:ascii="Times New Roman" w:eastAsia="Times New Roman" w:hAnsi="Times New Roman" w:cs="Times New Roman"/>
                <w:color w:val="000000"/>
                <w:sz w:val="24"/>
                <w:szCs w:val="24"/>
              </w:rPr>
            </w:pPr>
            <w:r>
              <w:rPr>
                <w:color w:val="000000"/>
                <w:sz w:val="24"/>
                <w:szCs w:val="24"/>
              </w:rPr>
              <w:t>For GF procured goods to be monitored closely, supporting DOH to process immediate release.</w:t>
            </w:r>
          </w:p>
        </w:tc>
        <w:tc>
          <w:tcPr>
            <w:tcW w:w="18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C9BEF" w14:textId="77777777" w:rsidR="00155420" w:rsidRDefault="00E84F93">
            <w:pPr>
              <w:pBdr>
                <w:top w:val="nil"/>
                <w:left w:val="nil"/>
                <w:bottom w:val="nil"/>
                <w:right w:val="nil"/>
                <w:between w:val="nil"/>
              </w:pBdr>
              <w:spacing w:line="264" w:lineRule="auto"/>
              <w:rPr>
                <w:rFonts w:ascii="Times New Roman" w:eastAsia="Times New Roman" w:hAnsi="Times New Roman" w:cs="Times New Roman"/>
                <w:color w:val="000000"/>
                <w:sz w:val="24"/>
                <w:szCs w:val="24"/>
              </w:rPr>
            </w:pPr>
            <w:r>
              <w:rPr>
                <w:color w:val="000000"/>
                <w:sz w:val="24"/>
                <w:szCs w:val="24"/>
              </w:rPr>
              <w:t>NTP, PR</w:t>
            </w:r>
          </w:p>
        </w:tc>
      </w:tr>
      <w:tr w:rsidR="00155420" w14:paraId="4295850E" w14:textId="77777777">
        <w:tc>
          <w:tcPr>
            <w:tcW w:w="34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C8C492"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 xml:space="preserve">[HRH] DOH has gradually reduced its HRH deployment program, and LGUs fail to engage the needed health workforce. </w:t>
            </w:r>
          </w:p>
          <w:p w14:paraId="0929D8DA"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Risk Level: Medium</w:t>
            </w:r>
          </w:p>
          <w:p w14:paraId="2570E56F"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Likelihood: Low</w:t>
            </w:r>
          </w:p>
        </w:tc>
        <w:tc>
          <w:tcPr>
            <w:tcW w:w="4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71E9CAD"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Estab</w:t>
            </w:r>
            <w:r>
              <w:rPr>
                <w:color w:val="000000"/>
                <w:sz w:val="24"/>
                <w:szCs w:val="24"/>
              </w:rPr>
              <w:t>lish emergency channels to support the HRH requirements of poor municipalities.</w:t>
            </w:r>
          </w:p>
        </w:tc>
        <w:tc>
          <w:tcPr>
            <w:tcW w:w="18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C6D9261"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DOH- HHRDB</w:t>
            </w:r>
          </w:p>
        </w:tc>
      </w:tr>
      <w:tr w:rsidR="00155420" w14:paraId="595E0403" w14:textId="77777777">
        <w:tc>
          <w:tcPr>
            <w:tcW w:w="34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D1E40A0"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[Program Management] Misuse of grant funds</w:t>
            </w:r>
          </w:p>
          <w:p w14:paraId="0CA23277"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Risk Level: Medium</w:t>
            </w:r>
          </w:p>
          <w:p w14:paraId="4576A7EB" w14:textId="77777777" w:rsidR="00155420" w:rsidRDefault="00E84F93">
            <w:pPr>
              <w:pBdr>
                <w:top w:val="nil"/>
                <w:left w:val="nil"/>
                <w:bottom w:val="nil"/>
                <w:right w:val="nil"/>
                <w:between w:val="nil"/>
              </w:pBdr>
              <w:spacing w:line="264" w:lineRule="auto"/>
              <w:rPr>
                <w:rFonts w:ascii="Times New Roman" w:eastAsia="Times New Roman" w:hAnsi="Times New Roman" w:cs="Times New Roman"/>
                <w:color w:val="000000"/>
                <w:sz w:val="24"/>
                <w:szCs w:val="24"/>
              </w:rPr>
            </w:pPr>
            <w:r>
              <w:rPr>
                <w:color w:val="000000"/>
                <w:sz w:val="24"/>
                <w:szCs w:val="24"/>
              </w:rPr>
              <w:t>Likelihood: Low</w:t>
            </w:r>
          </w:p>
        </w:tc>
        <w:tc>
          <w:tcPr>
            <w:tcW w:w="4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14AE0C" w14:textId="77777777" w:rsidR="00155420" w:rsidRDefault="00E84F93">
            <w:pPr>
              <w:pBdr>
                <w:top w:val="nil"/>
                <w:left w:val="nil"/>
                <w:bottom w:val="nil"/>
                <w:right w:val="nil"/>
                <w:between w:val="nil"/>
              </w:pBdr>
              <w:spacing w:line="264" w:lineRule="auto"/>
              <w:rPr>
                <w:rFonts w:ascii="Times New Roman" w:eastAsia="Times New Roman" w:hAnsi="Times New Roman" w:cs="Times New Roman"/>
                <w:color w:val="000000"/>
                <w:sz w:val="24"/>
                <w:szCs w:val="24"/>
              </w:rPr>
            </w:pPr>
            <w:r>
              <w:rPr>
                <w:color w:val="000000"/>
                <w:sz w:val="24"/>
                <w:szCs w:val="24"/>
              </w:rPr>
              <w:t>Conduct routine and special financial monitoring activities for all PR personnel, SRs,</w:t>
            </w:r>
            <w:r>
              <w:rPr>
                <w:color w:val="000000"/>
                <w:sz w:val="24"/>
                <w:szCs w:val="24"/>
              </w:rPr>
              <w:t xml:space="preserve"> and service contractors involved in financial and procurement transactions. Ensure that the Enterprise Risk Management System is in place and operational.</w:t>
            </w:r>
          </w:p>
        </w:tc>
        <w:tc>
          <w:tcPr>
            <w:tcW w:w="18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865EDBB" w14:textId="77777777" w:rsidR="00155420" w:rsidRDefault="00E84F93">
            <w:pPr>
              <w:pBdr>
                <w:top w:val="nil"/>
                <w:left w:val="nil"/>
                <w:bottom w:val="nil"/>
                <w:right w:val="nil"/>
                <w:between w:val="nil"/>
              </w:pBdr>
              <w:spacing w:line="264" w:lineRule="auto"/>
              <w:rPr>
                <w:rFonts w:ascii="Times New Roman" w:eastAsia="Times New Roman" w:hAnsi="Times New Roman" w:cs="Times New Roman"/>
                <w:color w:val="000000"/>
                <w:sz w:val="24"/>
                <w:szCs w:val="24"/>
              </w:rPr>
            </w:pPr>
            <w:r>
              <w:rPr>
                <w:color w:val="000000"/>
                <w:sz w:val="24"/>
                <w:szCs w:val="24"/>
              </w:rPr>
              <w:t>PR</w:t>
            </w:r>
          </w:p>
        </w:tc>
      </w:tr>
      <w:tr w:rsidR="00155420" w14:paraId="4932A285" w14:textId="77777777">
        <w:tc>
          <w:tcPr>
            <w:tcW w:w="34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6CCC235"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 xml:space="preserve">[Program Management] </w:t>
            </w:r>
          </w:p>
          <w:p w14:paraId="784319EE"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Loss, theft of non-financial assets</w:t>
            </w:r>
          </w:p>
          <w:p w14:paraId="4146C5E2"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Risk Level: Medium</w:t>
            </w:r>
          </w:p>
          <w:p w14:paraId="532243D8" w14:textId="77777777" w:rsidR="00155420" w:rsidRDefault="00E84F93">
            <w:pPr>
              <w:pBdr>
                <w:top w:val="nil"/>
                <w:left w:val="nil"/>
                <w:bottom w:val="nil"/>
                <w:right w:val="nil"/>
                <w:between w:val="nil"/>
              </w:pBdr>
              <w:spacing w:line="264" w:lineRule="auto"/>
              <w:rPr>
                <w:rFonts w:ascii="Times New Roman" w:eastAsia="Times New Roman" w:hAnsi="Times New Roman" w:cs="Times New Roman"/>
                <w:color w:val="000000"/>
                <w:sz w:val="24"/>
                <w:szCs w:val="24"/>
              </w:rPr>
            </w:pPr>
            <w:r>
              <w:rPr>
                <w:color w:val="000000"/>
                <w:sz w:val="24"/>
                <w:szCs w:val="24"/>
              </w:rPr>
              <w:t>Likelihood: Low</w:t>
            </w:r>
          </w:p>
        </w:tc>
        <w:tc>
          <w:tcPr>
            <w:tcW w:w="4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491A004" w14:textId="77777777" w:rsidR="00155420" w:rsidRDefault="00E84F93">
            <w:pPr>
              <w:pBdr>
                <w:top w:val="nil"/>
                <w:left w:val="nil"/>
                <w:bottom w:val="nil"/>
                <w:right w:val="nil"/>
                <w:between w:val="nil"/>
              </w:pBdr>
              <w:spacing w:line="264" w:lineRule="auto"/>
              <w:rPr>
                <w:rFonts w:ascii="Times New Roman" w:eastAsia="Times New Roman" w:hAnsi="Times New Roman" w:cs="Times New Roman"/>
                <w:color w:val="000000"/>
                <w:sz w:val="24"/>
                <w:szCs w:val="24"/>
              </w:rPr>
            </w:pPr>
            <w:r>
              <w:rPr>
                <w:color w:val="000000"/>
                <w:sz w:val="24"/>
                <w:szCs w:val="24"/>
              </w:rPr>
              <w:t>Ens</w:t>
            </w:r>
            <w:r>
              <w:rPr>
                <w:color w:val="000000"/>
                <w:sz w:val="24"/>
                <w:szCs w:val="24"/>
              </w:rPr>
              <w:t>ure the fixed assets registry is up to date and assets are covered by insurance. Ensure FAR is reconciled with expenditure reports. Ensure safety and security checks are made in all facilities with GF properties. </w:t>
            </w:r>
          </w:p>
        </w:tc>
        <w:tc>
          <w:tcPr>
            <w:tcW w:w="18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1B49E88" w14:textId="77777777" w:rsidR="00155420" w:rsidRDefault="00E84F93">
            <w:pPr>
              <w:pBdr>
                <w:top w:val="nil"/>
                <w:left w:val="nil"/>
                <w:bottom w:val="nil"/>
                <w:right w:val="nil"/>
                <w:between w:val="nil"/>
              </w:pBdr>
              <w:spacing w:line="264" w:lineRule="auto"/>
              <w:rPr>
                <w:rFonts w:ascii="Times New Roman" w:eastAsia="Times New Roman" w:hAnsi="Times New Roman" w:cs="Times New Roman"/>
                <w:color w:val="000000"/>
                <w:sz w:val="24"/>
                <w:szCs w:val="24"/>
              </w:rPr>
            </w:pPr>
            <w:r>
              <w:rPr>
                <w:color w:val="000000"/>
                <w:sz w:val="24"/>
                <w:szCs w:val="24"/>
              </w:rPr>
              <w:t>PR</w:t>
            </w:r>
          </w:p>
        </w:tc>
      </w:tr>
      <w:tr w:rsidR="00155420" w14:paraId="2D645445" w14:textId="77777777">
        <w:tc>
          <w:tcPr>
            <w:tcW w:w="34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6919D5C"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[Disaster Risk] Program implementation</w:t>
            </w:r>
            <w:r>
              <w:rPr>
                <w:color w:val="000000"/>
                <w:sz w:val="24"/>
                <w:szCs w:val="24"/>
              </w:rPr>
              <w:t xml:space="preserve"> Delays due to natural or man-made disasters, including epidemics. </w:t>
            </w:r>
          </w:p>
          <w:p w14:paraId="0B4EB27C" w14:textId="77777777" w:rsidR="00155420" w:rsidRDefault="00E84F93">
            <w:pPr>
              <w:pBdr>
                <w:top w:val="nil"/>
                <w:left w:val="nil"/>
                <w:bottom w:val="nil"/>
                <w:right w:val="nil"/>
                <w:between w:val="nil"/>
              </w:pBdr>
              <w:spacing w:line="264" w:lineRule="auto"/>
              <w:rPr>
                <w:color w:val="000000"/>
                <w:sz w:val="24"/>
                <w:szCs w:val="24"/>
              </w:rPr>
            </w:pPr>
            <w:r>
              <w:rPr>
                <w:color w:val="000000"/>
                <w:sz w:val="24"/>
                <w:szCs w:val="24"/>
              </w:rPr>
              <w:t>Risk Level: High</w:t>
            </w:r>
          </w:p>
          <w:p w14:paraId="6521ED47" w14:textId="77777777" w:rsidR="00155420" w:rsidRDefault="00E84F93">
            <w:pPr>
              <w:pBdr>
                <w:top w:val="nil"/>
                <w:left w:val="nil"/>
                <w:bottom w:val="nil"/>
                <w:right w:val="nil"/>
                <w:between w:val="nil"/>
              </w:pBdr>
              <w:spacing w:line="264" w:lineRule="auto"/>
              <w:rPr>
                <w:rFonts w:ascii="Times New Roman" w:eastAsia="Times New Roman" w:hAnsi="Times New Roman" w:cs="Times New Roman"/>
                <w:color w:val="000000"/>
                <w:sz w:val="24"/>
                <w:szCs w:val="24"/>
              </w:rPr>
            </w:pPr>
            <w:r>
              <w:rPr>
                <w:color w:val="000000"/>
                <w:sz w:val="24"/>
                <w:szCs w:val="24"/>
              </w:rPr>
              <w:t>Likelihood: High</w:t>
            </w:r>
          </w:p>
        </w:tc>
        <w:tc>
          <w:tcPr>
            <w:tcW w:w="4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1989967" w14:textId="77777777" w:rsidR="00155420" w:rsidRDefault="00E84F93">
            <w:pPr>
              <w:pBdr>
                <w:top w:val="nil"/>
                <w:left w:val="nil"/>
                <w:bottom w:val="nil"/>
                <w:right w:val="nil"/>
                <w:between w:val="nil"/>
              </w:pBdr>
              <w:spacing w:line="264" w:lineRule="auto"/>
              <w:rPr>
                <w:rFonts w:ascii="Times New Roman" w:eastAsia="Times New Roman" w:hAnsi="Times New Roman" w:cs="Times New Roman"/>
                <w:color w:val="000000"/>
                <w:sz w:val="24"/>
                <w:szCs w:val="24"/>
              </w:rPr>
            </w:pPr>
            <w:r>
              <w:rPr>
                <w:color w:val="000000"/>
                <w:sz w:val="24"/>
                <w:szCs w:val="24"/>
              </w:rPr>
              <w:t>Ensure all TB and HIV Care facilities have business continuity plans or facility emergency protocols.  </w:t>
            </w:r>
          </w:p>
          <w:p w14:paraId="3641F1BD" w14:textId="77777777" w:rsidR="00155420" w:rsidRDefault="00E84F93">
            <w:pPr>
              <w:pBdr>
                <w:top w:val="nil"/>
                <w:left w:val="nil"/>
                <w:bottom w:val="nil"/>
                <w:right w:val="nil"/>
                <w:between w:val="nil"/>
              </w:pBdr>
              <w:spacing w:line="264" w:lineRule="auto"/>
              <w:rPr>
                <w:rFonts w:ascii="Times New Roman" w:eastAsia="Times New Roman" w:hAnsi="Times New Roman" w:cs="Times New Roman"/>
                <w:color w:val="000000"/>
                <w:sz w:val="24"/>
                <w:szCs w:val="24"/>
              </w:rPr>
            </w:pPr>
            <w:r>
              <w:rPr>
                <w:color w:val="000000"/>
                <w:sz w:val="24"/>
                <w:szCs w:val="24"/>
              </w:rPr>
              <w:t xml:space="preserve">Insurance for fixed assets put in place and </w:t>
            </w:r>
            <w:r>
              <w:rPr>
                <w:color w:val="000000"/>
                <w:sz w:val="24"/>
                <w:szCs w:val="24"/>
              </w:rPr>
              <w:t>coverage of medical/accident and life insurance of personnel supporting the grant</w:t>
            </w:r>
          </w:p>
        </w:tc>
        <w:tc>
          <w:tcPr>
            <w:tcW w:w="18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AE3BA07" w14:textId="77777777" w:rsidR="00155420" w:rsidRDefault="00E84F93">
            <w:pPr>
              <w:pBdr>
                <w:top w:val="nil"/>
                <w:left w:val="nil"/>
                <w:bottom w:val="nil"/>
                <w:right w:val="nil"/>
                <w:between w:val="nil"/>
              </w:pBdr>
              <w:spacing w:line="264" w:lineRule="auto"/>
              <w:rPr>
                <w:rFonts w:ascii="Times New Roman" w:eastAsia="Times New Roman" w:hAnsi="Times New Roman" w:cs="Times New Roman"/>
                <w:color w:val="000000"/>
                <w:sz w:val="24"/>
                <w:szCs w:val="24"/>
              </w:rPr>
            </w:pPr>
            <w:r>
              <w:rPr>
                <w:color w:val="000000"/>
                <w:sz w:val="24"/>
                <w:szCs w:val="24"/>
              </w:rPr>
              <w:t>DOH, PR </w:t>
            </w:r>
          </w:p>
        </w:tc>
      </w:tr>
    </w:tbl>
    <w:p w14:paraId="7D01979B" w14:textId="77777777" w:rsidR="00155420" w:rsidRDefault="00155420">
      <w:pPr>
        <w:pBdr>
          <w:top w:val="nil"/>
          <w:left w:val="nil"/>
          <w:bottom w:val="nil"/>
          <w:right w:val="nil"/>
          <w:between w:val="nil"/>
        </w:pBdr>
        <w:spacing w:line="264" w:lineRule="auto"/>
        <w:rPr>
          <w:color w:val="000000"/>
          <w:sz w:val="24"/>
          <w:szCs w:val="24"/>
        </w:rPr>
        <w:sectPr w:rsidR="00155420">
          <w:footerReference w:type="default" r:id="rId21"/>
          <w:footerReference w:type="first" r:id="rId22"/>
          <w:pgSz w:w="11906" w:h="16838"/>
          <w:pgMar w:top="851" w:right="851" w:bottom="1871" w:left="851" w:header="289" w:footer="289" w:gutter="0"/>
          <w:cols w:space="720"/>
          <w:titlePg/>
        </w:sectPr>
      </w:pPr>
    </w:p>
    <w:p w14:paraId="41220C85" w14:textId="77777777" w:rsidR="00155420" w:rsidRDefault="00E84F93">
      <w:pPr>
        <w:keepNext/>
        <w:keepLines/>
        <w:pBdr>
          <w:top w:val="nil"/>
          <w:left w:val="nil"/>
          <w:bottom w:val="nil"/>
          <w:right w:val="nil"/>
          <w:between w:val="nil"/>
        </w:pBdr>
        <w:spacing w:after="0"/>
        <w:rPr>
          <w:rFonts w:ascii="Arial Black" w:eastAsia="Arial Black" w:hAnsi="Arial Black" w:cs="Arial Black"/>
          <w:color w:val="000000"/>
          <w:sz w:val="24"/>
          <w:szCs w:val="24"/>
        </w:rPr>
      </w:pPr>
      <w:r>
        <w:rPr>
          <w:rFonts w:ascii="Arial Black" w:eastAsia="Arial Black" w:hAnsi="Arial Black" w:cs="Arial Black"/>
          <w:color w:val="000000"/>
          <w:sz w:val="24"/>
          <w:szCs w:val="24"/>
        </w:rPr>
        <w:lastRenderedPageBreak/>
        <w:t xml:space="preserve">Annex 1: </w:t>
      </w:r>
      <w:r>
        <w:rPr>
          <w:rFonts w:ascii="Arial Black" w:eastAsia="Arial Black" w:hAnsi="Arial Black" w:cs="Arial Black"/>
          <w:color w:val="000000"/>
          <w:sz w:val="24"/>
          <w:szCs w:val="24"/>
        </w:rPr>
        <w:t>Documents Checklist</w:t>
      </w:r>
    </w:p>
    <w:p w14:paraId="524723DB" w14:textId="77777777" w:rsidR="00155420" w:rsidRDefault="00E84F93">
      <w:pPr>
        <w:pBdr>
          <w:top w:val="nil"/>
          <w:left w:val="nil"/>
          <w:bottom w:val="nil"/>
          <w:right w:val="nil"/>
          <w:between w:val="nil"/>
        </w:pBdr>
        <w:spacing w:after="0" w:line="264" w:lineRule="auto"/>
        <w:rPr>
          <w:color w:val="000000"/>
          <w:sz w:val="20"/>
          <w:szCs w:val="20"/>
        </w:rPr>
      </w:pPr>
      <w:r>
        <w:rPr>
          <w:color w:val="000000"/>
          <w:sz w:val="20"/>
          <w:szCs w:val="20"/>
        </w:rPr>
        <w:t>Use the list below to verify the completeness of your application package.</w:t>
      </w:r>
    </w:p>
    <w:p w14:paraId="0E3764B9" w14:textId="77777777" w:rsidR="00155420" w:rsidRDefault="00E84F93">
      <w:pPr>
        <w:pBdr>
          <w:top w:val="nil"/>
          <w:left w:val="nil"/>
          <w:bottom w:val="nil"/>
          <w:right w:val="nil"/>
          <w:between w:val="nil"/>
        </w:pBdr>
        <w:spacing w:after="0" w:line="264" w:lineRule="auto"/>
        <w:rPr>
          <w:color w:val="000000"/>
          <w:sz w:val="20"/>
          <w:szCs w:val="20"/>
        </w:rPr>
      </w:pPr>
      <w:r>
        <w:rPr>
          <w:color w:val="000000"/>
          <w:sz w:val="20"/>
          <w:szCs w:val="20"/>
        </w:rPr>
        <w:t>This checklist only applies to applicants requested to apply using the Full Review application approach.</w:t>
      </w:r>
    </w:p>
    <w:p w14:paraId="7E1FD0B7" w14:textId="77777777" w:rsidR="00155420" w:rsidRDefault="00E84F93">
      <w:pPr>
        <w:pBdr>
          <w:top w:val="nil"/>
          <w:left w:val="nil"/>
          <w:bottom w:val="nil"/>
          <w:right w:val="nil"/>
          <w:between w:val="nil"/>
        </w:pBdr>
        <w:spacing w:after="0" w:line="264" w:lineRule="auto"/>
        <w:rPr>
          <w:color w:val="000000"/>
          <w:sz w:val="20"/>
          <w:szCs w:val="20"/>
        </w:rPr>
      </w:pPr>
      <w:r>
        <w:rPr>
          <w:color w:val="000000"/>
          <w:sz w:val="20"/>
          <w:szCs w:val="20"/>
        </w:rPr>
        <w:t xml:space="preserve">Refer to the </w:t>
      </w:r>
      <w:hyperlink r:id="rId23">
        <w:r>
          <w:rPr>
            <w:color w:val="2E4DF9"/>
            <w:sz w:val="20"/>
            <w:szCs w:val="20"/>
            <w:u w:val="single"/>
          </w:rPr>
          <w:t>Full Review Instructions</w:t>
        </w:r>
      </w:hyperlink>
      <w:r>
        <w:rPr>
          <w:color w:val="000000"/>
          <w:sz w:val="20"/>
          <w:szCs w:val="20"/>
          <w:vertAlign w:val="superscript"/>
        </w:rPr>
        <w:footnoteReference w:id="4"/>
      </w:r>
      <w:r>
        <w:rPr>
          <w:color w:val="000000"/>
          <w:sz w:val="20"/>
          <w:szCs w:val="20"/>
        </w:rPr>
        <w:t xml:space="preserve"> for details, applicability and resources. </w:t>
      </w:r>
    </w:p>
    <w:p w14:paraId="2596EF92" w14:textId="77777777" w:rsidR="00155420" w:rsidRDefault="00155420">
      <w:pPr>
        <w:pStyle w:val="Heading4"/>
      </w:pPr>
    </w:p>
    <w:p w14:paraId="2A718DE1" w14:textId="77777777" w:rsidR="00155420" w:rsidRDefault="00E84F93">
      <w:pPr>
        <w:pStyle w:val="Heading4"/>
      </w:pPr>
      <w:r>
        <w:t>Documents Reviewed by the Technical Review Panel</w:t>
      </w:r>
    </w:p>
    <w:tbl>
      <w:tblPr>
        <w:tblStyle w:val="ac"/>
        <w:tblW w:w="9209" w:type="dxa"/>
        <w:tblBorders>
          <w:top w:val="single" w:sz="4" w:space="0" w:color="2E4DF9"/>
          <w:left w:val="single" w:sz="4" w:space="0" w:color="2E4DF9"/>
          <w:bottom w:val="single" w:sz="4" w:space="0" w:color="2E4DF9"/>
          <w:right w:val="single" w:sz="4" w:space="0" w:color="2E4DF9"/>
          <w:insideH w:val="single" w:sz="4" w:space="0" w:color="BFBFBF"/>
          <w:insideV w:val="single" w:sz="4" w:space="0" w:color="BFBFBF"/>
        </w:tblBorders>
        <w:tblLayout w:type="fixed"/>
        <w:tblLook w:val="0600" w:firstRow="0" w:lastRow="0" w:firstColumn="0" w:lastColumn="0" w:noHBand="1" w:noVBand="1"/>
      </w:tblPr>
      <w:tblGrid>
        <w:gridCol w:w="567"/>
        <w:gridCol w:w="8642"/>
      </w:tblGrid>
      <w:tr w:rsidR="00155420" w14:paraId="5DAFC8FE" w14:textId="77777777" w:rsidTr="00155420">
        <w:trPr>
          <w:cantSplit/>
          <w:trHeight w:val="432"/>
        </w:trPr>
        <w:tc>
          <w:tcPr>
            <w:tcW w:w="567" w:type="dxa"/>
          </w:tcPr>
          <w:p w14:paraId="615CC269" w14:textId="77777777" w:rsidR="00155420" w:rsidRPr="005C6956" w:rsidRDefault="00E84F93">
            <w:pPr>
              <w:keepNext w:val="0"/>
              <w:pBdr>
                <w:top w:val="nil"/>
                <w:left w:val="nil"/>
                <w:bottom w:val="nil"/>
                <w:right w:val="nil"/>
                <w:between w:val="nil"/>
              </w:pBdr>
              <w:spacing w:before="0" w:after="200"/>
              <w:ind w:left="0" w:right="0"/>
              <w:jc w:val="center"/>
              <w:rPr>
                <w:rFonts w:asciiTheme="minorHAnsi" w:hAnsiTheme="minorHAnsi"/>
                <w:b/>
                <w:bCs/>
                <w:color w:val="1F497D" w:themeColor="text2"/>
                <w:sz w:val="20"/>
                <w:szCs w:val="20"/>
              </w:rPr>
            </w:pPr>
            <w:bookmarkStart w:id="3" w:name="_3znysh7" w:colFirst="0" w:colLast="0"/>
            <w:bookmarkEnd w:id="3"/>
            <w:r w:rsidRPr="005C6956">
              <w:rPr>
                <w:rFonts w:asciiTheme="minorHAnsi" w:eastAsia="MS Gothic" w:hAnsiTheme="minorHAnsi" w:cs="MS Gothic"/>
                <w:b/>
                <w:bCs/>
                <w:color w:val="1F497D" w:themeColor="text2"/>
                <w:sz w:val="20"/>
                <w:szCs w:val="20"/>
              </w:rPr>
              <w:t>X</w:t>
            </w:r>
          </w:p>
        </w:tc>
        <w:tc>
          <w:tcPr>
            <w:tcW w:w="8642" w:type="dxa"/>
          </w:tcPr>
          <w:p w14:paraId="3E9B0F89" w14:textId="77777777" w:rsidR="00155420" w:rsidRDefault="00E84F93">
            <w:pPr>
              <w:keepNext w:val="0"/>
              <w:pBdr>
                <w:top w:val="nil"/>
                <w:left w:val="nil"/>
                <w:bottom w:val="nil"/>
                <w:right w:val="nil"/>
                <w:between w:val="nil"/>
              </w:pBdr>
              <w:spacing w:before="0" w:after="200"/>
              <w:ind w:left="144" w:right="0"/>
              <w:rPr>
                <w:color w:val="000000"/>
                <w:sz w:val="20"/>
                <w:szCs w:val="20"/>
              </w:rPr>
            </w:pPr>
            <w:r>
              <w:rPr>
                <w:color w:val="000000"/>
                <w:sz w:val="20"/>
                <w:szCs w:val="20"/>
              </w:rPr>
              <w:t>Funding Request Form</w:t>
            </w:r>
          </w:p>
        </w:tc>
      </w:tr>
      <w:tr w:rsidR="00155420" w14:paraId="1615B339" w14:textId="77777777" w:rsidTr="00155420">
        <w:trPr>
          <w:cantSplit/>
          <w:trHeight w:val="432"/>
        </w:trPr>
        <w:tc>
          <w:tcPr>
            <w:tcW w:w="567" w:type="dxa"/>
          </w:tcPr>
          <w:p w14:paraId="3BBEAA64" w14:textId="77777777" w:rsidR="00155420" w:rsidRPr="005C6956" w:rsidRDefault="00E84F93">
            <w:pPr>
              <w:keepNext w:val="0"/>
              <w:pBdr>
                <w:top w:val="nil"/>
                <w:left w:val="nil"/>
                <w:bottom w:val="nil"/>
                <w:right w:val="nil"/>
                <w:between w:val="nil"/>
              </w:pBdr>
              <w:spacing w:before="0" w:after="200"/>
              <w:ind w:left="0" w:right="0"/>
              <w:jc w:val="center"/>
              <w:rPr>
                <w:rFonts w:asciiTheme="minorHAnsi" w:hAnsiTheme="minorHAnsi"/>
                <w:b/>
                <w:bCs/>
                <w:color w:val="1F497D" w:themeColor="text2"/>
                <w:sz w:val="20"/>
                <w:szCs w:val="20"/>
              </w:rPr>
            </w:pPr>
            <w:r w:rsidRPr="005C6956">
              <w:rPr>
                <w:rFonts w:asciiTheme="minorHAnsi" w:eastAsia="Quattrocento Sans" w:hAnsiTheme="minorHAnsi" w:cs="Quattrocento Sans"/>
                <w:b/>
                <w:bCs/>
                <w:color w:val="1F497D" w:themeColor="text2"/>
                <w:sz w:val="20"/>
                <w:szCs w:val="20"/>
              </w:rPr>
              <w:t>X</w:t>
            </w:r>
          </w:p>
        </w:tc>
        <w:tc>
          <w:tcPr>
            <w:tcW w:w="8642" w:type="dxa"/>
          </w:tcPr>
          <w:p w14:paraId="1C9B8A4F" w14:textId="77777777" w:rsidR="00155420" w:rsidRDefault="00E84F93">
            <w:pPr>
              <w:keepNext w:val="0"/>
              <w:pBdr>
                <w:top w:val="nil"/>
                <w:left w:val="nil"/>
                <w:bottom w:val="nil"/>
                <w:right w:val="nil"/>
                <w:between w:val="nil"/>
              </w:pBdr>
              <w:spacing w:before="0" w:after="200"/>
              <w:ind w:left="144" w:right="0"/>
              <w:rPr>
                <w:color w:val="000000"/>
                <w:sz w:val="20"/>
                <w:szCs w:val="20"/>
              </w:rPr>
            </w:pPr>
            <w:r>
              <w:rPr>
                <w:color w:val="000000"/>
                <w:sz w:val="20"/>
                <w:szCs w:val="20"/>
              </w:rPr>
              <w:t>Performance Framework</w:t>
            </w:r>
          </w:p>
        </w:tc>
      </w:tr>
      <w:tr w:rsidR="00155420" w14:paraId="6E393389" w14:textId="77777777" w:rsidTr="00155420">
        <w:trPr>
          <w:cantSplit/>
          <w:trHeight w:val="432"/>
        </w:trPr>
        <w:tc>
          <w:tcPr>
            <w:tcW w:w="567" w:type="dxa"/>
          </w:tcPr>
          <w:p w14:paraId="59893FDD" w14:textId="77777777" w:rsidR="00155420" w:rsidRPr="005C6956" w:rsidRDefault="00E84F93">
            <w:pPr>
              <w:keepNext w:val="0"/>
              <w:pBdr>
                <w:top w:val="nil"/>
                <w:left w:val="nil"/>
                <w:bottom w:val="nil"/>
                <w:right w:val="nil"/>
                <w:between w:val="nil"/>
              </w:pBdr>
              <w:spacing w:before="0" w:after="200"/>
              <w:ind w:left="0" w:right="0"/>
              <w:jc w:val="center"/>
              <w:rPr>
                <w:rFonts w:asciiTheme="minorHAnsi" w:hAnsiTheme="minorHAnsi"/>
                <w:b/>
                <w:bCs/>
                <w:color w:val="1F497D" w:themeColor="text2"/>
                <w:sz w:val="20"/>
                <w:szCs w:val="20"/>
              </w:rPr>
            </w:pPr>
            <w:r w:rsidRPr="005C6956">
              <w:rPr>
                <w:rFonts w:asciiTheme="minorHAnsi" w:eastAsia="Quattrocento Sans" w:hAnsiTheme="minorHAnsi" w:cs="Quattrocento Sans"/>
                <w:b/>
                <w:bCs/>
                <w:color w:val="1F497D" w:themeColor="text2"/>
                <w:sz w:val="20"/>
                <w:szCs w:val="20"/>
              </w:rPr>
              <w:t>X</w:t>
            </w:r>
          </w:p>
        </w:tc>
        <w:tc>
          <w:tcPr>
            <w:tcW w:w="8642" w:type="dxa"/>
          </w:tcPr>
          <w:p w14:paraId="0163D6EF" w14:textId="77777777" w:rsidR="00155420" w:rsidRDefault="00E84F93">
            <w:pPr>
              <w:keepNext w:val="0"/>
              <w:pBdr>
                <w:top w:val="nil"/>
                <w:left w:val="nil"/>
                <w:bottom w:val="nil"/>
                <w:right w:val="nil"/>
                <w:between w:val="nil"/>
              </w:pBdr>
              <w:spacing w:before="0" w:after="200"/>
              <w:ind w:left="144" w:right="0"/>
              <w:rPr>
                <w:color w:val="000000"/>
                <w:sz w:val="20"/>
                <w:szCs w:val="20"/>
              </w:rPr>
            </w:pPr>
            <w:r>
              <w:rPr>
                <w:color w:val="000000"/>
                <w:sz w:val="20"/>
                <w:szCs w:val="20"/>
              </w:rPr>
              <w:t>Detailed Budget</w:t>
            </w:r>
          </w:p>
        </w:tc>
      </w:tr>
      <w:tr w:rsidR="00155420" w14:paraId="7292831C" w14:textId="77777777" w:rsidTr="00155420">
        <w:trPr>
          <w:cantSplit/>
          <w:trHeight w:val="432"/>
        </w:trPr>
        <w:tc>
          <w:tcPr>
            <w:tcW w:w="567" w:type="dxa"/>
          </w:tcPr>
          <w:p w14:paraId="237B0F20" w14:textId="77777777" w:rsidR="00155420" w:rsidRPr="005C6956" w:rsidRDefault="00E84F93">
            <w:pPr>
              <w:keepNext w:val="0"/>
              <w:pBdr>
                <w:top w:val="nil"/>
                <w:left w:val="nil"/>
                <w:bottom w:val="nil"/>
                <w:right w:val="nil"/>
                <w:between w:val="nil"/>
              </w:pBdr>
              <w:spacing w:before="0" w:after="200"/>
              <w:ind w:left="0" w:right="0"/>
              <w:jc w:val="center"/>
              <w:rPr>
                <w:rFonts w:asciiTheme="minorHAnsi" w:hAnsiTheme="minorHAnsi"/>
                <w:b/>
                <w:bCs/>
                <w:color w:val="1F497D" w:themeColor="text2"/>
                <w:sz w:val="20"/>
                <w:szCs w:val="20"/>
              </w:rPr>
            </w:pPr>
            <w:r w:rsidRPr="005C6956">
              <w:rPr>
                <w:rFonts w:asciiTheme="minorHAnsi" w:eastAsia="Quattrocento Sans" w:hAnsiTheme="minorHAnsi" w:cs="Quattrocento Sans"/>
                <w:b/>
                <w:bCs/>
                <w:color w:val="1F497D" w:themeColor="text2"/>
                <w:sz w:val="20"/>
                <w:szCs w:val="20"/>
              </w:rPr>
              <w:t>X</w:t>
            </w:r>
          </w:p>
        </w:tc>
        <w:tc>
          <w:tcPr>
            <w:tcW w:w="8642" w:type="dxa"/>
          </w:tcPr>
          <w:p w14:paraId="4300037C" w14:textId="77777777" w:rsidR="00155420" w:rsidRDefault="00E84F93">
            <w:pPr>
              <w:keepNext w:val="0"/>
              <w:pBdr>
                <w:top w:val="nil"/>
                <w:left w:val="nil"/>
                <w:bottom w:val="nil"/>
                <w:right w:val="nil"/>
                <w:between w:val="nil"/>
              </w:pBdr>
              <w:spacing w:before="0" w:after="200"/>
              <w:ind w:left="144" w:right="0"/>
              <w:rPr>
                <w:color w:val="000000"/>
                <w:sz w:val="20"/>
                <w:szCs w:val="20"/>
              </w:rPr>
            </w:pPr>
            <w:r>
              <w:rPr>
                <w:color w:val="000000"/>
                <w:sz w:val="20"/>
                <w:szCs w:val="20"/>
              </w:rPr>
              <w:t>Programmatic Gap Table(s)</w:t>
            </w:r>
          </w:p>
        </w:tc>
      </w:tr>
      <w:tr w:rsidR="00155420" w14:paraId="0FB7797B" w14:textId="77777777" w:rsidTr="00155420">
        <w:trPr>
          <w:cantSplit/>
          <w:trHeight w:val="432"/>
        </w:trPr>
        <w:tc>
          <w:tcPr>
            <w:tcW w:w="567" w:type="dxa"/>
          </w:tcPr>
          <w:p w14:paraId="79BCCBEB" w14:textId="77777777" w:rsidR="00155420" w:rsidRPr="005C6956" w:rsidRDefault="00E84F93">
            <w:pPr>
              <w:keepNext w:val="0"/>
              <w:pBdr>
                <w:top w:val="nil"/>
                <w:left w:val="nil"/>
                <w:bottom w:val="nil"/>
                <w:right w:val="nil"/>
                <w:between w:val="nil"/>
              </w:pBdr>
              <w:spacing w:before="0" w:after="200"/>
              <w:ind w:left="0" w:right="0"/>
              <w:jc w:val="center"/>
              <w:rPr>
                <w:rFonts w:asciiTheme="minorHAnsi" w:hAnsiTheme="minorHAnsi"/>
                <w:b/>
                <w:bCs/>
                <w:color w:val="1F497D" w:themeColor="text2"/>
                <w:sz w:val="20"/>
                <w:szCs w:val="20"/>
              </w:rPr>
            </w:pPr>
            <w:r w:rsidRPr="005C6956">
              <w:rPr>
                <w:rFonts w:asciiTheme="minorHAnsi" w:eastAsia="Quattrocento Sans" w:hAnsiTheme="minorHAnsi" w:cs="Quattrocento Sans"/>
                <w:b/>
                <w:bCs/>
                <w:color w:val="1F497D" w:themeColor="text2"/>
                <w:sz w:val="20"/>
                <w:szCs w:val="20"/>
              </w:rPr>
              <w:t>X</w:t>
            </w:r>
          </w:p>
        </w:tc>
        <w:tc>
          <w:tcPr>
            <w:tcW w:w="8642" w:type="dxa"/>
          </w:tcPr>
          <w:p w14:paraId="5AE7F539" w14:textId="77777777" w:rsidR="00155420" w:rsidRDefault="00E84F93">
            <w:pPr>
              <w:keepNext w:val="0"/>
              <w:pBdr>
                <w:top w:val="nil"/>
                <w:left w:val="nil"/>
                <w:bottom w:val="nil"/>
                <w:right w:val="nil"/>
                <w:between w:val="nil"/>
              </w:pBdr>
              <w:spacing w:before="0" w:after="200"/>
              <w:ind w:left="144" w:right="0"/>
              <w:rPr>
                <w:color w:val="000000"/>
                <w:sz w:val="20"/>
                <w:szCs w:val="20"/>
              </w:rPr>
            </w:pPr>
            <w:r>
              <w:rPr>
                <w:color w:val="000000"/>
                <w:sz w:val="20"/>
                <w:szCs w:val="20"/>
              </w:rPr>
              <w:t>Funding Landscape Table(s)</w:t>
            </w:r>
          </w:p>
        </w:tc>
      </w:tr>
      <w:tr w:rsidR="005C6956" w14:paraId="1BC6ED46" w14:textId="77777777" w:rsidTr="00155420">
        <w:trPr>
          <w:cantSplit/>
          <w:trHeight w:val="432"/>
        </w:trPr>
        <w:tc>
          <w:tcPr>
            <w:tcW w:w="567" w:type="dxa"/>
          </w:tcPr>
          <w:p w14:paraId="0CBC1B22" w14:textId="6F87C4BF" w:rsidR="005C6956" w:rsidRPr="005C6956" w:rsidRDefault="005C6956" w:rsidP="005C6956">
            <w:pPr>
              <w:keepNext w:val="0"/>
              <w:pBdr>
                <w:top w:val="nil"/>
                <w:left w:val="nil"/>
                <w:bottom w:val="nil"/>
                <w:right w:val="nil"/>
                <w:between w:val="nil"/>
              </w:pBdr>
              <w:spacing w:before="0" w:after="200"/>
              <w:ind w:left="0" w:right="0"/>
              <w:jc w:val="center"/>
              <w:rPr>
                <w:rFonts w:asciiTheme="minorHAnsi" w:hAnsiTheme="minorHAnsi"/>
                <w:b/>
                <w:bCs/>
                <w:color w:val="1F497D" w:themeColor="text2"/>
                <w:sz w:val="20"/>
                <w:szCs w:val="20"/>
              </w:rPr>
            </w:pPr>
            <w:r w:rsidRPr="005C6956">
              <w:rPr>
                <w:rFonts w:asciiTheme="minorHAnsi" w:eastAsia="MS Gothic" w:hAnsiTheme="minorHAnsi" w:cs="MS Gothic"/>
                <w:b/>
                <w:bCs/>
                <w:color w:val="1F497D" w:themeColor="text2"/>
                <w:sz w:val="20"/>
                <w:szCs w:val="20"/>
              </w:rPr>
              <w:t>X</w:t>
            </w:r>
          </w:p>
        </w:tc>
        <w:tc>
          <w:tcPr>
            <w:tcW w:w="8642" w:type="dxa"/>
          </w:tcPr>
          <w:p w14:paraId="2769AAB7" w14:textId="1D996A47" w:rsidR="005C6956" w:rsidRDefault="005C6956" w:rsidP="005C6956">
            <w:pPr>
              <w:keepNext w:val="0"/>
              <w:pBdr>
                <w:top w:val="nil"/>
                <w:left w:val="nil"/>
                <w:bottom w:val="nil"/>
                <w:right w:val="nil"/>
                <w:between w:val="nil"/>
              </w:pBdr>
              <w:spacing w:before="0" w:after="200"/>
              <w:ind w:left="144" w:right="0"/>
              <w:rPr>
                <w:color w:val="000000"/>
                <w:sz w:val="20"/>
                <w:szCs w:val="20"/>
              </w:rPr>
            </w:pPr>
            <w:r>
              <w:rPr>
                <w:color w:val="000000"/>
                <w:sz w:val="20"/>
                <w:szCs w:val="20"/>
              </w:rPr>
              <w:t>Prioritized Above Allocation Request (PAAR)</w:t>
            </w:r>
          </w:p>
        </w:tc>
      </w:tr>
      <w:tr w:rsidR="005C6956" w14:paraId="6C895C00" w14:textId="77777777" w:rsidTr="00155420">
        <w:trPr>
          <w:cantSplit/>
          <w:trHeight w:val="432"/>
        </w:trPr>
        <w:tc>
          <w:tcPr>
            <w:tcW w:w="567" w:type="dxa"/>
          </w:tcPr>
          <w:p w14:paraId="39895226" w14:textId="2F4EAEF9" w:rsidR="005C6956" w:rsidRPr="005C6956" w:rsidRDefault="005C6956" w:rsidP="005C6956">
            <w:pPr>
              <w:keepNext w:val="0"/>
              <w:pBdr>
                <w:top w:val="nil"/>
                <w:left w:val="nil"/>
                <w:bottom w:val="nil"/>
                <w:right w:val="nil"/>
                <w:between w:val="nil"/>
              </w:pBdr>
              <w:spacing w:before="0" w:after="200"/>
              <w:ind w:left="0" w:right="0"/>
              <w:jc w:val="center"/>
              <w:rPr>
                <w:rFonts w:asciiTheme="minorHAnsi" w:hAnsiTheme="minorHAnsi"/>
                <w:b/>
                <w:bCs/>
                <w:color w:val="1F497D" w:themeColor="text2"/>
                <w:sz w:val="20"/>
                <w:szCs w:val="20"/>
              </w:rPr>
            </w:pPr>
            <w:r w:rsidRPr="005C6956">
              <w:rPr>
                <w:rFonts w:asciiTheme="minorHAnsi" w:eastAsia="Quattrocento Sans" w:hAnsiTheme="minorHAnsi" w:cs="Quattrocento Sans"/>
                <w:b/>
                <w:bCs/>
                <w:color w:val="1F497D" w:themeColor="text2"/>
                <w:sz w:val="20"/>
                <w:szCs w:val="20"/>
              </w:rPr>
              <w:t>X</w:t>
            </w:r>
          </w:p>
        </w:tc>
        <w:tc>
          <w:tcPr>
            <w:tcW w:w="8642" w:type="dxa"/>
          </w:tcPr>
          <w:p w14:paraId="64214CBA" w14:textId="77777777" w:rsidR="005C6956" w:rsidRDefault="005C6956" w:rsidP="005C6956">
            <w:pPr>
              <w:keepNext w:val="0"/>
              <w:pBdr>
                <w:top w:val="nil"/>
                <w:left w:val="nil"/>
                <w:bottom w:val="nil"/>
                <w:right w:val="nil"/>
                <w:between w:val="nil"/>
              </w:pBdr>
              <w:spacing w:before="0" w:after="200"/>
              <w:ind w:left="144" w:right="0"/>
              <w:rPr>
                <w:color w:val="000000"/>
                <w:sz w:val="20"/>
                <w:szCs w:val="20"/>
              </w:rPr>
            </w:pPr>
            <w:r>
              <w:rPr>
                <w:color w:val="000000"/>
                <w:sz w:val="20"/>
                <w:szCs w:val="20"/>
              </w:rPr>
              <w:t>Health Product Management Template</w:t>
            </w:r>
          </w:p>
        </w:tc>
      </w:tr>
      <w:tr w:rsidR="005C6956" w14:paraId="33624050" w14:textId="77777777" w:rsidTr="00155420">
        <w:trPr>
          <w:cantSplit/>
          <w:trHeight w:val="432"/>
        </w:trPr>
        <w:tc>
          <w:tcPr>
            <w:tcW w:w="567" w:type="dxa"/>
          </w:tcPr>
          <w:p w14:paraId="6C9B636F" w14:textId="77CDA330" w:rsidR="005C6956" w:rsidRPr="005C6956" w:rsidRDefault="005C6956" w:rsidP="005C6956">
            <w:pPr>
              <w:keepNext w:val="0"/>
              <w:pBdr>
                <w:top w:val="nil"/>
                <w:left w:val="nil"/>
                <w:bottom w:val="nil"/>
                <w:right w:val="nil"/>
                <w:between w:val="nil"/>
              </w:pBdr>
              <w:spacing w:before="0" w:after="200"/>
              <w:ind w:left="0" w:right="0"/>
              <w:jc w:val="center"/>
              <w:rPr>
                <w:rFonts w:asciiTheme="minorHAnsi" w:hAnsiTheme="minorHAnsi"/>
                <w:b/>
                <w:bCs/>
                <w:color w:val="1F497D" w:themeColor="text2"/>
                <w:sz w:val="20"/>
                <w:szCs w:val="20"/>
              </w:rPr>
            </w:pPr>
            <w:r w:rsidRPr="005C6956">
              <w:rPr>
                <w:rFonts w:asciiTheme="minorHAnsi" w:eastAsia="Quattrocento Sans" w:hAnsiTheme="minorHAnsi" w:cs="Quattrocento Sans"/>
                <w:b/>
                <w:bCs/>
                <w:color w:val="1F497D" w:themeColor="text2"/>
                <w:sz w:val="20"/>
                <w:szCs w:val="20"/>
              </w:rPr>
              <w:t>X</w:t>
            </w:r>
          </w:p>
        </w:tc>
        <w:tc>
          <w:tcPr>
            <w:tcW w:w="8642" w:type="dxa"/>
          </w:tcPr>
          <w:p w14:paraId="204287D9" w14:textId="77777777" w:rsidR="005C6956" w:rsidRDefault="005C6956" w:rsidP="005C6956">
            <w:pPr>
              <w:keepNext w:val="0"/>
              <w:pBdr>
                <w:top w:val="nil"/>
                <w:left w:val="nil"/>
                <w:bottom w:val="nil"/>
                <w:right w:val="nil"/>
                <w:between w:val="nil"/>
              </w:pBdr>
              <w:spacing w:before="0" w:after="200"/>
              <w:ind w:left="144" w:right="0"/>
              <w:rPr>
                <w:color w:val="000000"/>
                <w:sz w:val="20"/>
                <w:szCs w:val="20"/>
              </w:rPr>
            </w:pPr>
            <w:r>
              <w:rPr>
                <w:color w:val="000000"/>
                <w:sz w:val="20"/>
                <w:szCs w:val="20"/>
              </w:rPr>
              <w:t>Implementation Arrangement Map(s)</w:t>
            </w:r>
          </w:p>
        </w:tc>
      </w:tr>
      <w:tr w:rsidR="005C6956" w14:paraId="45DEBC08" w14:textId="77777777" w:rsidTr="00155420">
        <w:trPr>
          <w:cantSplit/>
          <w:trHeight w:val="432"/>
        </w:trPr>
        <w:tc>
          <w:tcPr>
            <w:tcW w:w="567" w:type="dxa"/>
          </w:tcPr>
          <w:p w14:paraId="5B4A048B" w14:textId="7045250C" w:rsidR="005C6956" w:rsidRPr="005C6956" w:rsidRDefault="005C6956" w:rsidP="005C6956">
            <w:pPr>
              <w:keepNext w:val="0"/>
              <w:pBdr>
                <w:top w:val="nil"/>
                <w:left w:val="nil"/>
                <w:bottom w:val="nil"/>
                <w:right w:val="nil"/>
                <w:between w:val="nil"/>
              </w:pBdr>
              <w:spacing w:before="0" w:after="200"/>
              <w:ind w:left="0" w:right="0"/>
              <w:jc w:val="center"/>
              <w:rPr>
                <w:rFonts w:asciiTheme="minorHAnsi" w:hAnsiTheme="minorHAnsi"/>
                <w:b/>
                <w:bCs/>
                <w:color w:val="1F497D" w:themeColor="text2"/>
                <w:sz w:val="20"/>
                <w:szCs w:val="20"/>
              </w:rPr>
            </w:pPr>
            <w:r w:rsidRPr="005C6956">
              <w:rPr>
                <w:rFonts w:asciiTheme="minorHAnsi" w:eastAsia="Quattrocento Sans" w:hAnsiTheme="minorHAnsi" w:cs="Quattrocento Sans"/>
                <w:b/>
                <w:bCs/>
                <w:color w:val="1F497D" w:themeColor="text2"/>
                <w:sz w:val="20"/>
                <w:szCs w:val="20"/>
              </w:rPr>
              <w:t>X</w:t>
            </w:r>
          </w:p>
        </w:tc>
        <w:tc>
          <w:tcPr>
            <w:tcW w:w="8642" w:type="dxa"/>
          </w:tcPr>
          <w:p w14:paraId="419D2D46" w14:textId="77777777" w:rsidR="005C6956" w:rsidRDefault="005C6956" w:rsidP="005C6956">
            <w:pPr>
              <w:keepNext w:val="0"/>
              <w:pBdr>
                <w:top w:val="nil"/>
                <w:left w:val="nil"/>
                <w:bottom w:val="nil"/>
                <w:right w:val="nil"/>
                <w:between w:val="nil"/>
              </w:pBdr>
              <w:spacing w:before="0" w:after="200"/>
              <w:ind w:left="144" w:right="0"/>
              <w:rPr>
                <w:color w:val="000000"/>
                <w:sz w:val="20"/>
                <w:szCs w:val="20"/>
              </w:rPr>
            </w:pPr>
            <w:r>
              <w:rPr>
                <w:color w:val="000000"/>
                <w:sz w:val="20"/>
                <w:szCs w:val="20"/>
              </w:rPr>
              <w:t xml:space="preserve">RSSH Gaps and Priorities Annex </w:t>
            </w:r>
          </w:p>
        </w:tc>
      </w:tr>
      <w:tr w:rsidR="005C6956" w14:paraId="37E8C4C8" w14:textId="77777777" w:rsidTr="00155420">
        <w:trPr>
          <w:cantSplit/>
          <w:trHeight w:val="432"/>
        </w:trPr>
        <w:tc>
          <w:tcPr>
            <w:tcW w:w="567" w:type="dxa"/>
          </w:tcPr>
          <w:p w14:paraId="0CE06470" w14:textId="6B57DDD2" w:rsidR="005C6956" w:rsidRPr="005C6956" w:rsidRDefault="005C6956" w:rsidP="005C6956">
            <w:pPr>
              <w:keepNext w:val="0"/>
              <w:pBdr>
                <w:top w:val="nil"/>
                <w:left w:val="nil"/>
                <w:bottom w:val="nil"/>
                <w:right w:val="nil"/>
                <w:between w:val="nil"/>
              </w:pBdr>
              <w:spacing w:before="0" w:after="200"/>
              <w:ind w:left="0" w:right="0"/>
              <w:jc w:val="center"/>
              <w:rPr>
                <w:rFonts w:asciiTheme="minorHAnsi" w:hAnsiTheme="minorHAnsi"/>
                <w:b/>
                <w:bCs/>
                <w:color w:val="1F497D" w:themeColor="text2"/>
                <w:sz w:val="20"/>
                <w:szCs w:val="20"/>
              </w:rPr>
            </w:pPr>
            <w:r w:rsidRPr="005C6956">
              <w:rPr>
                <w:rFonts w:asciiTheme="minorHAnsi" w:eastAsia="Quattrocento Sans" w:hAnsiTheme="minorHAnsi" w:cs="Quattrocento Sans"/>
                <w:b/>
                <w:bCs/>
                <w:color w:val="1F497D" w:themeColor="text2"/>
                <w:sz w:val="20"/>
                <w:szCs w:val="20"/>
              </w:rPr>
              <w:t>X</w:t>
            </w:r>
          </w:p>
        </w:tc>
        <w:tc>
          <w:tcPr>
            <w:tcW w:w="8642" w:type="dxa"/>
          </w:tcPr>
          <w:p w14:paraId="1779D4E3" w14:textId="0D8B2027" w:rsidR="005C6956" w:rsidRDefault="005C6956" w:rsidP="005C6956">
            <w:pPr>
              <w:keepNext w:val="0"/>
              <w:pBdr>
                <w:top w:val="nil"/>
                <w:left w:val="nil"/>
                <w:bottom w:val="nil"/>
                <w:right w:val="nil"/>
                <w:between w:val="nil"/>
              </w:pBdr>
              <w:spacing w:before="0" w:after="200"/>
              <w:ind w:left="144" w:right="0"/>
              <w:rPr>
                <w:color w:val="000000"/>
                <w:sz w:val="20"/>
                <w:szCs w:val="20"/>
              </w:rPr>
            </w:pPr>
            <w:r>
              <w:rPr>
                <w:color w:val="000000"/>
                <w:sz w:val="20"/>
                <w:szCs w:val="20"/>
              </w:rPr>
              <w:t>Gender Assessment (see Annex 26)</w:t>
            </w:r>
          </w:p>
        </w:tc>
      </w:tr>
      <w:tr w:rsidR="005C6956" w14:paraId="795D274E" w14:textId="77777777" w:rsidTr="00155420">
        <w:trPr>
          <w:cantSplit/>
          <w:trHeight w:val="432"/>
        </w:trPr>
        <w:tc>
          <w:tcPr>
            <w:tcW w:w="567" w:type="dxa"/>
          </w:tcPr>
          <w:p w14:paraId="77D20EF6" w14:textId="3BD4FCE4" w:rsidR="005C6956" w:rsidRPr="005C6956" w:rsidRDefault="005C6956" w:rsidP="005C6956">
            <w:pPr>
              <w:keepNext w:val="0"/>
              <w:pBdr>
                <w:top w:val="nil"/>
                <w:left w:val="nil"/>
                <w:bottom w:val="nil"/>
                <w:right w:val="nil"/>
                <w:between w:val="nil"/>
              </w:pBdr>
              <w:spacing w:before="0" w:after="200"/>
              <w:ind w:left="0" w:right="0"/>
              <w:jc w:val="center"/>
              <w:rPr>
                <w:rFonts w:asciiTheme="minorHAnsi" w:hAnsiTheme="minorHAnsi"/>
                <w:b/>
                <w:bCs/>
                <w:color w:val="1F497D" w:themeColor="text2"/>
                <w:sz w:val="20"/>
                <w:szCs w:val="20"/>
              </w:rPr>
            </w:pPr>
            <w:r w:rsidRPr="005C6956">
              <w:rPr>
                <w:rFonts w:asciiTheme="minorHAnsi" w:eastAsia="Quattrocento Sans" w:hAnsiTheme="minorHAnsi" w:cs="Quattrocento Sans"/>
                <w:b/>
                <w:bCs/>
                <w:color w:val="1F497D" w:themeColor="text2"/>
                <w:sz w:val="20"/>
                <w:szCs w:val="20"/>
              </w:rPr>
              <w:t>X</w:t>
            </w:r>
          </w:p>
        </w:tc>
        <w:tc>
          <w:tcPr>
            <w:tcW w:w="8642" w:type="dxa"/>
          </w:tcPr>
          <w:p w14:paraId="5094D932" w14:textId="3AA64D27" w:rsidR="005C6956" w:rsidRDefault="005C6956" w:rsidP="005C6956">
            <w:pPr>
              <w:keepNext w:val="0"/>
              <w:pBdr>
                <w:top w:val="nil"/>
                <w:left w:val="nil"/>
                <w:bottom w:val="nil"/>
                <w:right w:val="nil"/>
                <w:between w:val="nil"/>
              </w:pBdr>
              <w:spacing w:before="0" w:after="200"/>
              <w:ind w:left="144" w:right="0"/>
              <w:rPr>
                <w:color w:val="000000"/>
                <w:sz w:val="20"/>
                <w:szCs w:val="20"/>
              </w:rPr>
            </w:pPr>
            <w:r>
              <w:rPr>
                <w:color w:val="000000"/>
                <w:sz w:val="20"/>
                <w:szCs w:val="20"/>
              </w:rPr>
              <w:t>Assessment of Human Rights-Related Barriers (see Annex 26)</w:t>
            </w:r>
          </w:p>
        </w:tc>
      </w:tr>
      <w:tr w:rsidR="005C6956" w14:paraId="2958D4F4" w14:textId="77777777" w:rsidTr="00155420">
        <w:trPr>
          <w:cantSplit/>
          <w:trHeight w:val="432"/>
        </w:trPr>
        <w:tc>
          <w:tcPr>
            <w:tcW w:w="567" w:type="dxa"/>
          </w:tcPr>
          <w:p w14:paraId="05B9DADE" w14:textId="3354F391" w:rsidR="005C6956" w:rsidRPr="005C6956" w:rsidRDefault="005C6956" w:rsidP="005C6956">
            <w:pPr>
              <w:keepNext w:val="0"/>
              <w:pBdr>
                <w:top w:val="nil"/>
                <w:left w:val="nil"/>
                <w:bottom w:val="nil"/>
                <w:right w:val="nil"/>
                <w:between w:val="nil"/>
              </w:pBdr>
              <w:spacing w:before="0" w:after="200"/>
              <w:ind w:left="0" w:right="0"/>
              <w:jc w:val="center"/>
              <w:rPr>
                <w:rFonts w:asciiTheme="minorHAnsi" w:hAnsiTheme="minorHAnsi"/>
                <w:b/>
                <w:bCs/>
                <w:color w:val="1F497D" w:themeColor="text2"/>
                <w:sz w:val="20"/>
                <w:szCs w:val="20"/>
              </w:rPr>
            </w:pPr>
            <w:r w:rsidRPr="005C6956">
              <w:rPr>
                <w:rFonts w:asciiTheme="minorHAnsi" w:eastAsia="Quattrocento Sans" w:hAnsiTheme="minorHAnsi" w:cs="Quattrocento Sans"/>
                <w:b/>
                <w:bCs/>
                <w:color w:val="1F497D" w:themeColor="text2"/>
                <w:sz w:val="20"/>
                <w:szCs w:val="20"/>
              </w:rPr>
              <w:t>X</w:t>
            </w:r>
          </w:p>
        </w:tc>
        <w:tc>
          <w:tcPr>
            <w:tcW w:w="8642" w:type="dxa"/>
          </w:tcPr>
          <w:p w14:paraId="460E301E" w14:textId="77777777" w:rsidR="005C6956" w:rsidRDefault="005C6956" w:rsidP="005C6956">
            <w:pPr>
              <w:keepNext w:val="0"/>
              <w:pBdr>
                <w:top w:val="nil"/>
                <w:left w:val="nil"/>
                <w:bottom w:val="nil"/>
                <w:right w:val="nil"/>
                <w:between w:val="nil"/>
              </w:pBdr>
              <w:spacing w:before="0" w:after="200"/>
              <w:ind w:left="144" w:right="0"/>
              <w:rPr>
                <w:color w:val="000000"/>
                <w:sz w:val="20"/>
                <w:szCs w:val="20"/>
              </w:rPr>
            </w:pPr>
            <w:r>
              <w:rPr>
                <w:color w:val="000000"/>
                <w:sz w:val="20"/>
                <w:szCs w:val="20"/>
              </w:rPr>
              <w:t>Essential Data Table(s)</w:t>
            </w:r>
          </w:p>
        </w:tc>
      </w:tr>
      <w:tr w:rsidR="005C6956" w14:paraId="6B1AE057" w14:textId="77777777" w:rsidTr="00155420">
        <w:trPr>
          <w:cantSplit/>
          <w:trHeight w:val="432"/>
        </w:trPr>
        <w:tc>
          <w:tcPr>
            <w:tcW w:w="567" w:type="dxa"/>
          </w:tcPr>
          <w:p w14:paraId="4FEE5740" w14:textId="6BBF1D3E" w:rsidR="005C6956" w:rsidRPr="005C6956" w:rsidRDefault="005C6956" w:rsidP="005C6956">
            <w:pPr>
              <w:keepNext w:val="0"/>
              <w:pBdr>
                <w:top w:val="nil"/>
                <w:left w:val="nil"/>
                <w:bottom w:val="nil"/>
                <w:right w:val="nil"/>
                <w:between w:val="nil"/>
              </w:pBdr>
              <w:spacing w:before="0" w:after="200"/>
              <w:ind w:left="0" w:right="0"/>
              <w:jc w:val="center"/>
              <w:rPr>
                <w:rFonts w:asciiTheme="minorHAnsi" w:hAnsiTheme="minorHAnsi"/>
                <w:b/>
                <w:bCs/>
                <w:color w:val="1F497D" w:themeColor="text2"/>
                <w:sz w:val="20"/>
                <w:szCs w:val="20"/>
              </w:rPr>
            </w:pPr>
            <w:r w:rsidRPr="005C6956">
              <w:rPr>
                <w:rFonts w:asciiTheme="minorHAnsi" w:eastAsia="Quattrocento Sans" w:hAnsiTheme="minorHAnsi" w:cs="Quattrocento Sans"/>
                <w:b/>
                <w:bCs/>
                <w:color w:val="1F497D" w:themeColor="text2"/>
                <w:sz w:val="20"/>
                <w:szCs w:val="20"/>
              </w:rPr>
              <w:t>X</w:t>
            </w:r>
          </w:p>
        </w:tc>
        <w:tc>
          <w:tcPr>
            <w:tcW w:w="8642" w:type="dxa"/>
          </w:tcPr>
          <w:p w14:paraId="05961E73" w14:textId="77F21841" w:rsidR="005C6956" w:rsidRDefault="005C6956" w:rsidP="005C6956">
            <w:pPr>
              <w:keepNext w:val="0"/>
              <w:pBdr>
                <w:top w:val="nil"/>
                <w:left w:val="nil"/>
                <w:bottom w:val="nil"/>
                <w:right w:val="nil"/>
                <w:between w:val="nil"/>
              </w:pBdr>
              <w:spacing w:before="0" w:after="200"/>
              <w:ind w:left="144" w:right="0"/>
              <w:rPr>
                <w:color w:val="000000"/>
                <w:sz w:val="20"/>
                <w:szCs w:val="20"/>
              </w:rPr>
            </w:pPr>
            <w:r>
              <w:rPr>
                <w:color w:val="000000"/>
                <w:sz w:val="20"/>
                <w:szCs w:val="20"/>
              </w:rPr>
              <w:t xml:space="preserve">National Strategic Plans | </w:t>
            </w:r>
            <w:r w:rsidRPr="005C6956">
              <w:rPr>
                <w:bCs/>
                <w:color w:val="auto"/>
                <w:sz w:val="20"/>
                <w:szCs w:val="20"/>
              </w:rPr>
              <w:t>TB-HIV Co-Financing Plan for 2024-2026</w:t>
            </w:r>
          </w:p>
        </w:tc>
      </w:tr>
      <w:tr w:rsidR="00155420" w14:paraId="1D054BA0" w14:textId="77777777" w:rsidTr="00155420">
        <w:trPr>
          <w:cantSplit/>
          <w:trHeight w:val="432"/>
        </w:trPr>
        <w:tc>
          <w:tcPr>
            <w:tcW w:w="567" w:type="dxa"/>
          </w:tcPr>
          <w:p w14:paraId="011D5D26" w14:textId="77777777" w:rsidR="00155420" w:rsidRDefault="00E84F93">
            <w:pPr>
              <w:keepNext w:val="0"/>
              <w:pBdr>
                <w:top w:val="nil"/>
                <w:left w:val="nil"/>
                <w:bottom w:val="nil"/>
                <w:right w:val="nil"/>
                <w:between w:val="nil"/>
              </w:pBdr>
              <w:spacing w:before="0" w:after="200"/>
              <w:ind w:left="0" w:right="0"/>
              <w:jc w:val="center"/>
              <w:rPr>
                <w:color w:val="000000"/>
                <w:sz w:val="20"/>
                <w:szCs w:val="20"/>
              </w:rPr>
            </w:pPr>
            <w:r>
              <w:rPr>
                <w:rFonts w:ascii="Arial Unicode MS" w:eastAsia="Arial Unicode MS" w:hAnsi="Arial Unicode MS" w:cs="Arial Unicode MS"/>
                <w:color w:val="000000"/>
                <w:sz w:val="20"/>
                <w:szCs w:val="20"/>
              </w:rPr>
              <w:t>☐</w:t>
            </w:r>
          </w:p>
        </w:tc>
        <w:tc>
          <w:tcPr>
            <w:tcW w:w="8642" w:type="dxa"/>
          </w:tcPr>
          <w:p w14:paraId="5E8B31E0" w14:textId="77777777" w:rsidR="00155420" w:rsidRDefault="00E84F93">
            <w:pPr>
              <w:keepNext w:val="0"/>
              <w:pBdr>
                <w:top w:val="nil"/>
                <w:left w:val="nil"/>
                <w:bottom w:val="nil"/>
                <w:right w:val="nil"/>
                <w:between w:val="nil"/>
              </w:pBdr>
              <w:spacing w:before="0" w:after="200"/>
              <w:ind w:left="144" w:right="0"/>
              <w:rPr>
                <w:color w:val="000000"/>
                <w:sz w:val="20"/>
                <w:szCs w:val="20"/>
              </w:rPr>
            </w:pPr>
            <w:r>
              <w:rPr>
                <w:color w:val="000000"/>
                <w:sz w:val="20"/>
                <w:szCs w:val="20"/>
              </w:rPr>
              <w:t>Innovative Financing Documentation (if applicable)</w:t>
            </w:r>
          </w:p>
        </w:tc>
      </w:tr>
      <w:tr w:rsidR="00155420" w14:paraId="22D1BA8A" w14:textId="77777777" w:rsidTr="00155420">
        <w:trPr>
          <w:cantSplit/>
          <w:trHeight w:val="432"/>
        </w:trPr>
        <w:tc>
          <w:tcPr>
            <w:tcW w:w="567" w:type="dxa"/>
          </w:tcPr>
          <w:p w14:paraId="6F32F19E" w14:textId="77777777" w:rsidR="00155420" w:rsidRDefault="00E84F93">
            <w:pPr>
              <w:keepNext w:val="0"/>
              <w:pBdr>
                <w:top w:val="nil"/>
                <w:left w:val="nil"/>
                <w:bottom w:val="nil"/>
                <w:right w:val="nil"/>
                <w:between w:val="nil"/>
              </w:pBdr>
              <w:spacing w:before="0" w:after="200"/>
              <w:ind w:left="0" w:right="0"/>
              <w:jc w:val="center"/>
              <w:rPr>
                <w:color w:val="000000"/>
                <w:sz w:val="20"/>
                <w:szCs w:val="20"/>
              </w:rPr>
            </w:pPr>
            <w:r>
              <w:rPr>
                <w:rFonts w:ascii="Arial Unicode MS" w:eastAsia="Arial Unicode MS" w:hAnsi="Arial Unicode MS" w:cs="Arial Unicode MS"/>
                <w:color w:val="000000"/>
                <w:sz w:val="20"/>
                <w:szCs w:val="20"/>
              </w:rPr>
              <w:t>☐</w:t>
            </w:r>
          </w:p>
        </w:tc>
        <w:tc>
          <w:tcPr>
            <w:tcW w:w="8642" w:type="dxa"/>
          </w:tcPr>
          <w:p w14:paraId="106C38F5" w14:textId="77777777" w:rsidR="00155420" w:rsidRDefault="00E84F93">
            <w:pPr>
              <w:keepNext w:val="0"/>
              <w:pBdr>
                <w:top w:val="nil"/>
                <w:left w:val="nil"/>
                <w:bottom w:val="nil"/>
                <w:right w:val="nil"/>
                <w:between w:val="nil"/>
              </w:pBdr>
              <w:spacing w:before="0" w:after="200"/>
              <w:ind w:left="144" w:right="0"/>
              <w:rPr>
                <w:color w:val="000000"/>
                <w:sz w:val="20"/>
                <w:szCs w:val="20"/>
              </w:rPr>
            </w:pPr>
            <w:r>
              <w:rPr>
                <w:color w:val="000000"/>
                <w:sz w:val="20"/>
                <w:szCs w:val="20"/>
              </w:rPr>
              <w:t xml:space="preserve">Supporting Documentation Related to </w:t>
            </w:r>
            <w:r>
              <w:rPr>
                <w:color w:val="000000"/>
                <w:sz w:val="20"/>
                <w:szCs w:val="20"/>
              </w:rPr>
              <w:t>Sustainability and Transition (if available)</w:t>
            </w:r>
          </w:p>
        </w:tc>
      </w:tr>
      <w:tr w:rsidR="00155420" w14:paraId="15FDEA83" w14:textId="77777777" w:rsidTr="00155420">
        <w:trPr>
          <w:cantSplit/>
          <w:trHeight w:val="432"/>
        </w:trPr>
        <w:tc>
          <w:tcPr>
            <w:tcW w:w="567" w:type="dxa"/>
          </w:tcPr>
          <w:p w14:paraId="62EE0810" w14:textId="3D3689CE" w:rsidR="00155420" w:rsidRPr="005C6956" w:rsidRDefault="005C6956">
            <w:pPr>
              <w:keepNext w:val="0"/>
              <w:pBdr>
                <w:top w:val="nil"/>
                <w:left w:val="nil"/>
                <w:bottom w:val="nil"/>
                <w:right w:val="nil"/>
                <w:between w:val="nil"/>
              </w:pBdr>
              <w:spacing w:before="0" w:after="200"/>
              <w:ind w:left="0" w:right="0"/>
              <w:jc w:val="center"/>
              <w:rPr>
                <w:rFonts w:asciiTheme="minorHAnsi" w:hAnsiTheme="minorHAnsi"/>
                <w:color w:val="000000"/>
                <w:sz w:val="20"/>
                <w:szCs w:val="20"/>
              </w:rPr>
            </w:pPr>
            <w:r w:rsidRPr="005C6956">
              <w:rPr>
                <w:rFonts w:asciiTheme="minorHAnsi" w:eastAsia="Quattrocento Sans" w:hAnsiTheme="minorHAnsi" w:cs="Quattrocento Sans"/>
                <w:b/>
                <w:bCs/>
                <w:color w:val="1F497D" w:themeColor="text2"/>
                <w:sz w:val="20"/>
                <w:szCs w:val="20"/>
              </w:rPr>
              <w:t>X</w:t>
            </w:r>
          </w:p>
        </w:tc>
        <w:tc>
          <w:tcPr>
            <w:tcW w:w="8642" w:type="dxa"/>
          </w:tcPr>
          <w:p w14:paraId="60B83609" w14:textId="77777777" w:rsidR="00155420" w:rsidRDefault="00E84F93">
            <w:pPr>
              <w:keepNext w:val="0"/>
              <w:pBdr>
                <w:top w:val="nil"/>
                <w:left w:val="nil"/>
                <w:bottom w:val="nil"/>
                <w:right w:val="nil"/>
                <w:between w:val="nil"/>
              </w:pBdr>
              <w:spacing w:before="0" w:after="200"/>
              <w:ind w:left="144" w:right="0"/>
              <w:rPr>
                <w:color w:val="000000"/>
                <w:sz w:val="20"/>
                <w:szCs w:val="20"/>
              </w:rPr>
            </w:pPr>
            <w:r>
              <w:rPr>
                <w:color w:val="000000"/>
                <w:sz w:val="20"/>
                <w:szCs w:val="20"/>
              </w:rPr>
              <w:t>List of Abbreviations and Annexes</w:t>
            </w:r>
          </w:p>
        </w:tc>
      </w:tr>
    </w:tbl>
    <w:p w14:paraId="491A6501" w14:textId="77777777" w:rsidR="00155420" w:rsidRDefault="00E84F93">
      <w:pPr>
        <w:pStyle w:val="Heading4"/>
        <w:spacing w:before="120"/>
      </w:pPr>
      <w:r>
        <w:t>Documents Assessed by the Global Fund Secretariat</w:t>
      </w:r>
    </w:p>
    <w:tbl>
      <w:tblPr>
        <w:tblStyle w:val="ad"/>
        <w:tblW w:w="9209" w:type="dxa"/>
        <w:tblBorders>
          <w:top w:val="single" w:sz="4" w:space="0" w:color="2E4DF9"/>
          <w:left w:val="single" w:sz="4" w:space="0" w:color="2E4DF9"/>
          <w:bottom w:val="single" w:sz="4" w:space="0" w:color="2E4DF9"/>
          <w:right w:val="single" w:sz="4" w:space="0" w:color="2E4DF9"/>
          <w:insideH w:val="single" w:sz="4" w:space="0" w:color="BFBFBF"/>
          <w:insideV w:val="single" w:sz="4" w:space="0" w:color="BFBFBF"/>
        </w:tblBorders>
        <w:tblLayout w:type="fixed"/>
        <w:tblLook w:val="0600" w:firstRow="0" w:lastRow="0" w:firstColumn="0" w:lastColumn="0" w:noHBand="1" w:noVBand="1"/>
      </w:tblPr>
      <w:tblGrid>
        <w:gridCol w:w="567"/>
        <w:gridCol w:w="8642"/>
      </w:tblGrid>
      <w:tr w:rsidR="00155420" w14:paraId="4C2B7CA5" w14:textId="77777777" w:rsidTr="00155420">
        <w:trPr>
          <w:cantSplit/>
          <w:trHeight w:val="432"/>
        </w:trPr>
        <w:tc>
          <w:tcPr>
            <w:tcW w:w="567" w:type="dxa"/>
          </w:tcPr>
          <w:p w14:paraId="14A1A0CC" w14:textId="22CF9F4F" w:rsidR="00155420" w:rsidRPr="005C6956" w:rsidRDefault="00096A8D" w:rsidP="005C6956">
            <w:pPr>
              <w:keepNext w:val="0"/>
              <w:pBdr>
                <w:top w:val="nil"/>
                <w:left w:val="nil"/>
                <w:bottom w:val="nil"/>
                <w:right w:val="nil"/>
                <w:between w:val="nil"/>
              </w:pBdr>
              <w:spacing w:before="0" w:after="200"/>
              <w:ind w:left="0" w:right="0"/>
              <w:jc w:val="center"/>
              <w:rPr>
                <w:rFonts w:asciiTheme="minorHAnsi" w:hAnsiTheme="minorHAnsi"/>
                <w:b/>
                <w:bCs/>
                <w:color w:val="1F497D" w:themeColor="text2"/>
                <w:sz w:val="20"/>
                <w:szCs w:val="20"/>
              </w:rPr>
            </w:pPr>
            <w:r w:rsidRPr="005C6956">
              <w:rPr>
                <w:rFonts w:asciiTheme="minorHAnsi" w:eastAsia="Quattrocento Sans" w:hAnsiTheme="minorHAnsi" w:cs="Quattrocento Sans"/>
                <w:b/>
                <w:bCs/>
                <w:color w:val="1F497D" w:themeColor="text2"/>
                <w:sz w:val="20"/>
                <w:szCs w:val="20"/>
              </w:rPr>
              <w:t>X</w:t>
            </w:r>
          </w:p>
        </w:tc>
        <w:tc>
          <w:tcPr>
            <w:tcW w:w="8642" w:type="dxa"/>
          </w:tcPr>
          <w:p w14:paraId="17A265E3" w14:textId="77777777" w:rsidR="00155420" w:rsidRDefault="00E84F93">
            <w:pPr>
              <w:keepNext w:val="0"/>
              <w:pBdr>
                <w:top w:val="nil"/>
                <w:left w:val="nil"/>
                <w:bottom w:val="nil"/>
                <w:right w:val="nil"/>
                <w:between w:val="nil"/>
              </w:pBdr>
              <w:spacing w:before="0" w:after="200"/>
              <w:ind w:left="144" w:right="0"/>
              <w:rPr>
                <w:color w:val="000000"/>
                <w:sz w:val="20"/>
                <w:szCs w:val="20"/>
              </w:rPr>
            </w:pPr>
            <w:r>
              <w:rPr>
                <w:color w:val="000000"/>
                <w:sz w:val="20"/>
                <w:szCs w:val="20"/>
              </w:rPr>
              <w:t>Funding Priorities from Civil Society and Communities Annex</w:t>
            </w:r>
          </w:p>
        </w:tc>
      </w:tr>
      <w:tr w:rsidR="00155420" w14:paraId="6B0BF5A2" w14:textId="77777777" w:rsidTr="00155420">
        <w:trPr>
          <w:cantSplit/>
          <w:trHeight w:val="432"/>
        </w:trPr>
        <w:tc>
          <w:tcPr>
            <w:tcW w:w="567" w:type="dxa"/>
          </w:tcPr>
          <w:p w14:paraId="3B59B536" w14:textId="121F67DA" w:rsidR="00155420" w:rsidRPr="005C6956" w:rsidRDefault="00096A8D" w:rsidP="005C6956">
            <w:pPr>
              <w:keepNext w:val="0"/>
              <w:pBdr>
                <w:top w:val="nil"/>
                <w:left w:val="nil"/>
                <w:bottom w:val="nil"/>
                <w:right w:val="nil"/>
                <w:between w:val="nil"/>
              </w:pBdr>
              <w:spacing w:before="0" w:after="200"/>
              <w:ind w:left="0" w:right="0"/>
              <w:jc w:val="center"/>
              <w:rPr>
                <w:rFonts w:asciiTheme="minorHAnsi" w:hAnsiTheme="minorHAnsi"/>
                <w:b/>
                <w:bCs/>
                <w:color w:val="1F497D" w:themeColor="text2"/>
                <w:sz w:val="20"/>
                <w:szCs w:val="20"/>
              </w:rPr>
            </w:pPr>
            <w:r w:rsidRPr="005C6956">
              <w:rPr>
                <w:rFonts w:asciiTheme="minorHAnsi" w:eastAsia="Quattrocento Sans" w:hAnsiTheme="minorHAnsi" w:cs="Quattrocento Sans"/>
                <w:b/>
                <w:bCs/>
                <w:color w:val="1F497D" w:themeColor="text2"/>
                <w:sz w:val="20"/>
                <w:szCs w:val="20"/>
              </w:rPr>
              <w:t>X</w:t>
            </w:r>
          </w:p>
        </w:tc>
        <w:tc>
          <w:tcPr>
            <w:tcW w:w="8642" w:type="dxa"/>
          </w:tcPr>
          <w:p w14:paraId="7B89A856" w14:textId="77777777" w:rsidR="00155420" w:rsidRDefault="00E84F93">
            <w:pPr>
              <w:keepNext w:val="0"/>
              <w:pBdr>
                <w:top w:val="nil"/>
                <w:left w:val="nil"/>
                <w:bottom w:val="nil"/>
                <w:right w:val="nil"/>
                <w:between w:val="nil"/>
              </w:pBdr>
              <w:spacing w:before="0" w:after="200"/>
              <w:ind w:left="144" w:right="0"/>
              <w:rPr>
                <w:color w:val="000000"/>
                <w:sz w:val="20"/>
                <w:szCs w:val="20"/>
              </w:rPr>
            </w:pPr>
            <w:r>
              <w:rPr>
                <w:color w:val="000000"/>
                <w:sz w:val="20"/>
                <w:szCs w:val="20"/>
              </w:rPr>
              <w:t>Country Dialogue Narrative</w:t>
            </w:r>
          </w:p>
        </w:tc>
      </w:tr>
      <w:tr w:rsidR="00155420" w14:paraId="5323CA2A" w14:textId="77777777" w:rsidTr="00155420">
        <w:trPr>
          <w:cantSplit/>
          <w:trHeight w:val="432"/>
        </w:trPr>
        <w:tc>
          <w:tcPr>
            <w:tcW w:w="567" w:type="dxa"/>
          </w:tcPr>
          <w:p w14:paraId="44DB3493" w14:textId="59DFDAFA" w:rsidR="00155420" w:rsidRPr="005C6956" w:rsidRDefault="00096A8D" w:rsidP="005C6956">
            <w:pPr>
              <w:keepNext w:val="0"/>
              <w:pBdr>
                <w:top w:val="nil"/>
                <w:left w:val="nil"/>
                <w:bottom w:val="nil"/>
                <w:right w:val="nil"/>
                <w:between w:val="nil"/>
              </w:pBdr>
              <w:spacing w:before="0" w:after="200"/>
              <w:ind w:left="0" w:right="0"/>
              <w:jc w:val="center"/>
              <w:rPr>
                <w:rFonts w:asciiTheme="minorHAnsi" w:hAnsiTheme="minorHAnsi"/>
                <w:b/>
                <w:bCs/>
                <w:color w:val="1F497D" w:themeColor="text2"/>
                <w:sz w:val="20"/>
                <w:szCs w:val="20"/>
              </w:rPr>
            </w:pPr>
            <w:r w:rsidRPr="005C6956">
              <w:rPr>
                <w:rFonts w:asciiTheme="minorHAnsi" w:eastAsia="Quattrocento Sans" w:hAnsiTheme="minorHAnsi" w:cs="Quattrocento Sans"/>
                <w:b/>
                <w:bCs/>
                <w:color w:val="1F497D" w:themeColor="text2"/>
                <w:sz w:val="20"/>
                <w:szCs w:val="20"/>
              </w:rPr>
              <w:t>X</w:t>
            </w:r>
          </w:p>
        </w:tc>
        <w:tc>
          <w:tcPr>
            <w:tcW w:w="8642" w:type="dxa"/>
          </w:tcPr>
          <w:p w14:paraId="287CB476" w14:textId="77777777" w:rsidR="00155420" w:rsidRDefault="00E84F93">
            <w:pPr>
              <w:keepNext w:val="0"/>
              <w:pBdr>
                <w:top w:val="nil"/>
                <w:left w:val="nil"/>
                <w:bottom w:val="nil"/>
                <w:right w:val="nil"/>
                <w:between w:val="nil"/>
              </w:pBdr>
              <w:spacing w:before="0" w:after="200"/>
              <w:ind w:left="144" w:right="0"/>
              <w:rPr>
                <w:color w:val="000000"/>
                <w:sz w:val="20"/>
                <w:szCs w:val="20"/>
              </w:rPr>
            </w:pPr>
            <w:r>
              <w:rPr>
                <w:color w:val="000000"/>
                <w:sz w:val="20"/>
                <w:szCs w:val="20"/>
              </w:rPr>
              <w:t xml:space="preserve">CCM Endorsement of Funding </w:t>
            </w:r>
            <w:r>
              <w:rPr>
                <w:color w:val="000000"/>
                <w:sz w:val="20"/>
                <w:szCs w:val="20"/>
              </w:rPr>
              <w:t>Request</w:t>
            </w:r>
          </w:p>
        </w:tc>
      </w:tr>
      <w:tr w:rsidR="00155420" w14:paraId="2B90D5A9" w14:textId="77777777" w:rsidTr="00155420">
        <w:trPr>
          <w:cantSplit/>
          <w:trHeight w:val="432"/>
        </w:trPr>
        <w:tc>
          <w:tcPr>
            <w:tcW w:w="567" w:type="dxa"/>
          </w:tcPr>
          <w:p w14:paraId="1F0F890C" w14:textId="7BE09F47" w:rsidR="00155420" w:rsidRPr="005C6956" w:rsidRDefault="00096A8D" w:rsidP="005C6956">
            <w:pPr>
              <w:keepNext w:val="0"/>
              <w:pBdr>
                <w:top w:val="nil"/>
                <w:left w:val="nil"/>
                <w:bottom w:val="nil"/>
                <w:right w:val="nil"/>
                <w:between w:val="nil"/>
              </w:pBdr>
              <w:spacing w:before="0" w:after="200"/>
              <w:ind w:left="0" w:right="0"/>
              <w:jc w:val="center"/>
              <w:rPr>
                <w:rFonts w:asciiTheme="minorHAnsi" w:hAnsiTheme="minorHAnsi"/>
                <w:b/>
                <w:bCs/>
                <w:color w:val="1F497D" w:themeColor="text2"/>
                <w:sz w:val="20"/>
                <w:szCs w:val="20"/>
              </w:rPr>
            </w:pPr>
            <w:r w:rsidRPr="005C6956">
              <w:rPr>
                <w:rFonts w:asciiTheme="minorHAnsi" w:eastAsia="Quattrocento Sans" w:hAnsiTheme="minorHAnsi" w:cs="Quattrocento Sans"/>
                <w:b/>
                <w:bCs/>
                <w:color w:val="1F497D" w:themeColor="text2"/>
                <w:sz w:val="20"/>
                <w:szCs w:val="20"/>
              </w:rPr>
              <w:t>X</w:t>
            </w:r>
          </w:p>
        </w:tc>
        <w:tc>
          <w:tcPr>
            <w:tcW w:w="8642" w:type="dxa"/>
          </w:tcPr>
          <w:p w14:paraId="32095864" w14:textId="77777777" w:rsidR="00155420" w:rsidRDefault="00E84F93">
            <w:pPr>
              <w:keepNext w:val="0"/>
              <w:pBdr>
                <w:top w:val="nil"/>
                <w:left w:val="nil"/>
                <w:bottom w:val="nil"/>
                <w:right w:val="nil"/>
                <w:between w:val="nil"/>
              </w:pBdr>
              <w:spacing w:before="0" w:after="200"/>
              <w:ind w:left="144" w:right="0"/>
              <w:rPr>
                <w:color w:val="000000"/>
                <w:sz w:val="20"/>
                <w:szCs w:val="20"/>
              </w:rPr>
            </w:pPr>
            <w:r>
              <w:rPr>
                <w:color w:val="000000"/>
                <w:sz w:val="20"/>
                <w:szCs w:val="20"/>
              </w:rPr>
              <w:t>CCM Statement of Compliance</w:t>
            </w:r>
          </w:p>
        </w:tc>
      </w:tr>
      <w:tr w:rsidR="00155420" w14:paraId="0C532ECC" w14:textId="77777777" w:rsidTr="00155420">
        <w:trPr>
          <w:cantSplit/>
          <w:trHeight w:val="432"/>
        </w:trPr>
        <w:tc>
          <w:tcPr>
            <w:tcW w:w="567" w:type="dxa"/>
          </w:tcPr>
          <w:p w14:paraId="6E618C5C" w14:textId="734B6DA9" w:rsidR="00155420" w:rsidRPr="005C6956" w:rsidRDefault="00096A8D" w:rsidP="005C6956">
            <w:pPr>
              <w:keepNext w:val="0"/>
              <w:pBdr>
                <w:top w:val="nil"/>
                <w:left w:val="nil"/>
                <w:bottom w:val="nil"/>
                <w:right w:val="nil"/>
                <w:between w:val="nil"/>
              </w:pBdr>
              <w:spacing w:before="0" w:after="200"/>
              <w:ind w:left="0" w:right="0"/>
              <w:jc w:val="center"/>
              <w:rPr>
                <w:rFonts w:asciiTheme="minorHAnsi" w:hAnsiTheme="minorHAnsi"/>
                <w:b/>
                <w:bCs/>
                <w:color w:val="1F497D" w:themeColor="text2"/>
                <w:sz w:val="20"/>
                <w:szCs w:val="20"/>
              </w:rPr>
            </w:pPr>
            <w:r w:rsidRPr="005C6956">
              <w:rPr>
                <w:rFonts w:asciiTheme="minorHAnsi" w:eastAsia="Quattrocento Sans" w:hAnsiTheme="minorHAnsi" w:cs="Quattrocento Sans"/>
                <w:b/>
                <w:bCs/>
                <w:color w:val="1F497D" w:themeColor="text2"/>
                <w:sz w:val="20"/>
                <w:szCs w:val="20"/>
              </w:rPr>
              <w:t>X</w:t>
            </w:r>
          </w:p>
        </w:tc>
        <w:tc>
          <w:tcPr>
            <w:tcW w:w="8642" w:type="dxa"/>
          </w:tcPr>
          <w:p w14:paraId="2F5288B4" w14:textId="77777777" w:rsidR="00155420" w:rsidRDefault="00E84F93">
            <w:pPr>
              <w:keepNext w:val="0"/>
              <w:pBdr>
                <w:top w:val="nil"/>
                <w:left w:val="nil"/>
                <w:bottom w:val="nil"/>
                <w:right w:val="nil"/>
                <w:between w:val="nil"/>
              </w:pBdr>
              <w:spacing w:before="0" w:after="200"/>
              <w:ind w:left="144" w:right="0"/>
              <w:rPr>
                <w:color w:val="000000"/>
                <w:sz w:val="20"/>
                <w:szCs w:val="20"/>
              </w:rPr>
            </w:pPr>
            <w:r>
              <w:rPr>
                <w:color w:val="000000"/>
                <w:sz w:val="20"/>
                <w:szCs w:val="20"/>
              </w:rPr>
              <w:t>Additional documentation to support co-financing requirements</w:t>
            </w:r>
          </w:p>
        </w:tc>
      </w:tr>
      <w:tr w:rsidR="00155420" w14:paraId="0C387A2C" w14:textId="77777777" w:rsidTr="00155420">
        <w:trPr>
          <w:cantSplit/>
          <w:trHeight w:val="432"/>
        </w:trPr>
        <w:tc>
          <w:tcPr>
            <w:tcW w:w="567" w:type="dxa"/>
          </w:tcPr>
          <w:p w14:paraId="6E36ED92" w14:textId="1DA4666A" w:rsidR="00155420" w:rsidRPr="005C6956" w:rsidRDefault="000F43DF" w:rsidP="005C6956">
            <w:pPr>
              <w:keepNext w:val="0"/>
              <w:pBdr>
                <w:top w:val="nil"/>
                <w:left w:val="nil"/>
                <w:bottom w:val="nil"/>
                <w:right w:val="nil"/>
                <w:between w:val="nil"/>
              </w:pBdr>
              <w:spacing w:before="0" w:after="200"/>
              <w:ind w:left="0" w:right="0"/>
              <w:jc w:val="center"/>
              <w:rPr>
                <w:rFonts w:asciiTheme="minorHAnsi" w:hAnsiTheme="minorHAnsi"/>
                <w:b/>
                <w:bCs/>
                <w:color w:val="1F497D" w:themeColor="text2"/>
                <w:sz w:val="20"/>
                <w:szCs w:val="20"/>
              </w:rPr>
            </w:pPr>
            <w:r>
              <w:rPr>
                <w:rFonts w:ascii="Arial Unicode MS" w:eastAsia="Arial Unicode MS" w:hAnsi="Arial Unicode MS" w:cs="Arial Unicode MS"/>
                <w:color w:val="000000"/>
                <w:sz w:val="20"/>
                <w:szCs w:val="20"/>
              </w:rPr>
              <w:t>☐</w:t>
            </w:r>
          </w:p>
        </w:tc>
        <w:tc>
          <w:tcPr>
            <w:tcW w:w="8642" w:type="dxa"/>
          </w:tcPr>
          <w:p w14:paraId="4C44F359" w14:textId="77777777" w:rsidR="00155420" w:rsidRDefault="00E84F93">
            <w:pPr>
              <w:keepNext w:val="0"/>
              <w:pBdr>
                <w:top w:val="nil"/>
                <w:left w:val="nil"/>
                <w:bottom w:val="nil"/>
                <w:right w:val="nil"/>
                <w:between w:val="nil"/>
              </w:pBdr>
              <w:spacing w:before="0" w:after="200"/>
              <w:ind w:left="144" w:right="0"/>
              <w:rPr>
                <w:color w:val="000000"/>
                <w:sz w:val="20"/>
                <w:szCs w:val="20"/>
              </w:rPr>
            </w:pPr>
            <w:r>
              <w:rPr>
                <w:color w:val="000000"/>
                <w:sz w:val="20"/>
                <w:szCs w:val="20"/>
              </w:rPr>
              <w:t>Sexual Exploitation, Abuse and Harassment (SEAH) Risk Assessment (optional)</w:t>
            </w:r>
          </w:p>
        </w:tc>
      </w:tr>
    </w:tbl>
    <w:p w14:paraId="6DB39F7B" w14:textId="77777777" w:rsidR="00155420" w:rsidRDefault="00155420">
      <w:pPr>
        <w:pBdr>
          <w:top w:val="nil"/>
          <w:left w:val="nil"/>
          <w:bottom w:val="nil"/>
          <w:right w:val="nil"/>
          <w:between w:val="nil"/>
        </w:pBdr>
        <w:spacing w:line="264" w:lineRule="auto"/>
        <w:rPr>
          <w:color w:val="000000"/>
          <w:sz w:val="20"/>
          <w:szCs w:val="20"/>
        </w:rPr>
      </w:pPr>
      <w:bookmarkStart w:id="4" w:name="_GoBack"/>
      <w:bookmarkEnd w:id="4"/>
    </w:p>
    <w:sectPr w:rsidR="00155420">
      <w:pgSz w:w="11906" w:h="16838"/>
      <w:pgMar w:top="851" w:right="851" w:bottom="1871" w:left="851" w:header="289" w:footer="289"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EB3BC5" w14:textId="77777777" w:rsidR="00E84F93" w:rsidRDefault="00E84F93">
      <w:pPr>
        <w:spacing w:after="0"/>
      </w:pPr>
      <w:r>
        <w:separator/>
      </w:r>
    </w:p>
  </w:endnote>
  <w:endnote w:type="continuationSeparator" w:id="0">
    <w:p w14:paraId="426842A0" w14:textId="77777777" w:rsidR="00E84F93" w:rsidRDefault="00E84F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ZWAdobeF">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Quattrocento Sans">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6972C" w14:textId="77777777" w:rsidR="00155420" w:rsidRDefault="00155420">
    <w:pPr>
      <w:widowControl w:val="0"/>
      <w:pBdr>
        <w:top w:val="nil"/>
        <w:left w:val="nil"/>
        <w:bottom w:val="nil"/>
        <w:right w:val="nil"/>
        <w:between w:val="nil"/>
      </w:pBdr>
      <w:spacing w:after="0" w:line="276" w:lineRule="auto"/>
      <w:rPr>
        <w:color w:val="000000"/>
        <w:sz w:val="14"/>
        <w:szCs w:val="14"/>
      </w:rPr>
    </w:pPr>
  </w:p>
  <w:tbl>
    <w:tblPr>
      <w:tblStyle w:val="af1"/>
      <w:tblW w:w="15030" w:type="dxa"/>
      <w:tblBorders>
        <w:top w:val="single" w:sz="4" w:space="0" w:color="2E4DF9"/>
        <w:left w:val="single" w:sz="4" w:space="0" w:color="2E4DF9"/>
        <w:bottom w:val="single" w:sz="4" w:space="0" w:color="2E4DF9"/>
        <w:right w:val="single" w:sz="4" w:space="0" w:color="2E4DF9"/>
        <w:insideH w:val="single" w:sz="4" w:space="0" w:color="999999"/>
        <w:insideV w:val="single" w:sz="4" w:space="0" w:color="999999"/>
      </w:tblBorders>
      <w:tblLayout w:type="fixed"/>
      <w:tblLook w:val="0400" w:firstRow="0" w:lastRow="0" w:firstColumn="0" w:lastColumn="0" w:noHBand="0" w:noVBand="1"/>
    </w:tblPr>
    <w:tblGrid>
      <w:gridCol w:w="4855"/>
      <w:gridCol w:w="4654"/>
      <w:gridCol w:w="5521"/>
    </w:tblGrid>
    <w:tr w:rsidR="00155420" w14:paraId="70946F47" w14:textId="77777777">
      <w:trPr>
        <w:cantSplit/>
      </w:trPr>
      <w:tc>
        <w:tcPr>
          <w:tcW w:w="4855" w:type="dxa"/>
          <w:tcBorders>
            <w:top w:val="single" w:sz="4" w:space="0" w:color="000000"/>
          </w:tcBorders>
        </w:tcPr>
        <w:p w14:paraId="45B25118" w14:textId="77777777" w:rsidR="00155420" w:rsidRDefault="00155420">
          <w:pPr>
            <w:keepNext w:val="0"/>
            <w:pBdr>
              <w:top w:val="nil"/>
              <w:left w:val="nil"/>
              <w:bottom w:val="nil"/>
              <w:right w:val="nil"/>
              <w:between w:val="nil"/>
            </w:pBdr>
            <w:tabs>
              <w:tab w:val="center" w:pos="4513"/>
              <w:tab w:val="right" w:pos="9026"/>
            </w:tabs>
            <w:spacing w:before="0"/>
            <w:ind w:left="0" w:right="0"/>
            <w:rPr>
              <w:color w:val="000000"/>
              <w:sz w:val="14"/>
              <w:szCs w:val="14"/>
            </w:rPr>
          </w:pPr>
        </w:p>
      </w:tc>
      <w:tc>
        <w:tcPr>
          <w:tcW w:w="4654" w:type="dxa"/>
          <w:tcBorders>
            <w:top w:val="single" w:sz="4" w:space="0" w:color="000000"/>
          </w:tcBorders>
        </w:tcPr>
        <w:p w14:paraId="64DDE4F3" w14:textId="77777777" w:rsidR="00155420" w:rsidRDefault="00155420">
          <w:pPr>
            <w:keepNext w:val="0"/>
            <w:pBdr>
              <w:top w:val="nil"/>
              <w:left w:val="nil"/>
              <w:bottom w:val="nil"/>
              <w:right w:val="nil"/>
              <w:between w:val="nil"/>
            </w:pBdr>
            <w:spacing w:before="0"/>
            <w:ind w:left="0" w:right="0"/>
            <w:jc w:val="right"/>
            <w:rPr>
              <w:rFonts w:ascii="Arial Black" w:eastAsia="Arial Black" w:hAnsi="Arial Black" w:cs="Arial Black"/>
              <w:color w:val="000000"/>
              <w:sz w:val="18"/>
              <w:szCs w:val="18"/>
            </w:rPr>
          </w:pPr>
        </w:p>
      </w:tc>
      <w:tc>
        <w:tcPr>
          <w:tcW w:w="5521" w:type="dxa"/>
          <w:tcBorders>
            <w:top w:val="single" w:sz="4" w:space="0" w:color="000000"/>
          </w:tcBorders>
          <w:vAlign w:val="bottom"/>
        </w:tcPr>
        <w:p w14:paraId="2FA53950" w14:textId="77777777" w:rsidR="00155420" w:rsidRDefault="00155420">
          <w:pPr>
            <w:keepNext w:val="0"/>
            <w:pBdr>
              <w:top w:val="nil"/>
              <w:left w:val="nil"/>
              <w:bottom w:val="nil"/>
              <w:right w:val="nil"/>
              <w:between w:val="nil"/>
            </w:pBdr>
            <w:spacing w:before="0"/>
            <w:ind w:left="0" w:right="0"/>
            <w:jc w:val="right"/>
            <w:rPr>
              <w:rFonts w:ascii="Arial Black" w:eastAsia="Arial Black" w:hAnsi="Arial Black" w:cs="Arial Black"/>
              <w:color w:val="000000"/>
              <w:sz w:val="18"/>
              <w:szCs w:val="18"/>
            </w:rPr>
          </w:pPr>
        </w:p>
      </w:tc>
    </w:tr>
    <w:tr w:rsidR="00155420" w14:paraId="02431856" w14:textId="77777777">
      <w:trPr>
        <w:cantSplit/>
      </w:trPr>
      <w:tc>
        <w:tcPr>
          <w:tcW w:w="4855" w:type="dxa"/>
          <w:vAlign w:val="bottom"/>
        </w:tcPr>
        <w:p w14:paraId="097DDFFF" w14:textId="77777777" w:rsidR="00155420" w:rsidRDefault="00E84F93">
          <w:pPr>
            <w:keepNext w:val="0"/>
            <w:pBdr>
              <w:top w:val="nil"/>
              <w:left w:val="nil"/>
              <w:bottom w:val="nil"/>
              <w:right w:val="nil"/>
              <w:between w:val="nil"/>
            </w:pBdr>
            <w:tabs>
              <w:tab w:val="center" w:pos="4513"/>
              <w:tab w:val="right" w:pos="9026"/>
            </w:tabs>
            <w:spacing w:before="0"/>
            <w:ind w:left="0" w:right="0"/>
            <w:rPr>
              <w:color w:val="000000"/>
              <w:sz w:val="14"/>
              <w:szCs w:val="14"/>
            </w:rPr>
          </w:pPr>
          <w:r>
            <w:rPr>
              <w:noProof/>
              <w:color w:val="000000"/>
              <w:sz w:val="14"/>
              <w:szCs w:val="14"/>
              <w:lang w:val="en-PH"/>
            </w:rPr>
            <w:drawing>
              <wp:inline distT="0" distB="0" distL="0" distR="0" wp14:anchorId="359000C8" wp14:editId="707ADB7C">
                <wp:extent cx="1620259" cy="15228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20259" cy="152280"/>
                        </a:xfrm>
                        <a:prstGeom prst="rect">
                          <a:avLst/>
                        </a:prstGeom>
                        <a:ln/>
                      </pic:spPr>
                    </pic:pic>
                  </a:graphicData>
                </a:graphic>
              </wp:inline>
            </w:drawing>
          </w:r>
        </w:p>
      </w:tc>
      <w:tc>
        <w:tcPr>
          <w:tcW w:w="4654" w:type="dxa"/>
        </w:tcPr>
        <w:p w14:paraId="3D06EE03" w14:textId="77777777" w:rsidR="00155420" w:rsidRDefault="00E84F93">
          <w:pPr>
            <w:keepNext w:val="0"/>
            <w:pBdr>
              <w:top w:val="nil"/>
              <w:left w:val="nil"/>
              <w:bottom w:val="nil"/>
              <w:right w:val="nil"/>
              <w:between w:val="nil"/>
            </w:pBdr>
            <w:spacing w:before="0"/>
            <w:ind w:left="0" w:right="0"/>
            <w:jc w:val="center"/>
            <w:rPr>
              <w:rFonts w:ascii="Arial Black" w:eastAsia="Arial Black" w:hAnsi="Arial Black" w:cs="Arial Black"/>
              <w:color w:val="000000"/>
              <w:sz w:val="18"/>
              <w:szCs w:val="18"/>
            </w:rPr>
          </w:pPr>
          <w:r>
            <w:rPr>
              <w:rFonts w:ascii="Arial Black" w:eastAsia="Arial Black" w:hAnsi="Arial Black" w:cs="Arial Black"/>
              <w:color w:val="000000"/>
              <w:sz w:val="18"/>
              <w:szCs w:val="18"/>
            </w:rPr>
            <w:t>Full Review Form</w:t>
          </w:r>
        </w:p>
      </w:tc>
      <w:tc>
        <w:tcPr>
          <w:tcW w:w="5521" w:type="dxa"/>
          <w:vAlign w:val="bottom"/>
        </w:tcPr>
        <w:p w14:paraId="4DE5C1A8" w14:textId="280FD219" w:rsidR="00155420" w:rsidRDefault="00E84F93">
          <w:pPr>
            <w:keepNext w:val="0"/>
            <w:pBdr>
              <w:top w:val="nil"/>
              <w:left w:val="nil"/>
              <w:bottom w:val="nil"/>
              <w:right w:val="nil"/>
              <w:between w:val="nil"/>
            </w:pBdr>
            <w:spacing w:before="0"/>
            <w:ind w:left="0" w:right="0"/>
            <w:jc w:val="right"/>
            <w:rPr>
              <w:rFonts w:ascii="Arial Black" w:eastAsia="Arial Black" w:hAnsi="Arial Black" w:cs="Arial Black"/>
              <w:color w:val="000000"/>
              <w:sz w:val="18"/>
              <w:szCs w:val="18"/>
            </w:rPr>
          </w:pPr>
          <w:r>
            <w:rPr>
              <w:rFonts w:ascii="Arial Black" w:eastAsia="Arial Black" w:hAnsi="Arial Black" w:cs="Arial Black"/>
              <w:color w:val="000000"/>
              <w:sz w:val="18"/>
              <w:szCs w:val="18"/>
            </w:rPr>
            <w:t xml:space="preserve">Page </w:t>
          </w:r>
          <w:r>
            <w:rPr>
              <w:rFonts w:ascii="Arial Black" w:eastAsia="Arial Black" w:hAnsi="Arial Black" w:cs="Arial Black"/>
              <w:color w:val="000000"/>
              <w:sz w:val="18"/>
              <w:szCs w:val="18"/>
            </w:rPr>
            <w:fldChar w:fldCharType="begin"/>
          </w:r>
          <w:r>
            <w:rPr>
              <w:rFonts w:ascii="Arial Black" w:eastAsia="Arial Black" w:hAnsi="Arial Black" w:cs="Arial Black"/>
              <w:color w:val="000000"/>
              <w:sz w:val="18"/>
              <w:szCs w:val="18"/>
            </w:rPr>
            <w:instrText>PAGE</w:instrText>
          </w:r>
          <w:r>
            <w:rPr>
              <w:rFonts w:ascii="Arial Black" w:eastAsia="Arial Black" w:hAnsi="Arial Black" w:cs="Arial Black"/>
              <w:color w:val="000000"/>
              <w:sz w:val="18"/>
              <w:szCs w:val="18"/>
            </w:rPr>
            <w:fldChar w:fldCharType="separate"/>
          </w:r>
          <w:r w:rsidR="000F43DF">
            <w:rPr>
              <w:rFonts w:ascii="Arial Black" w:eastAsia="Arial Black" w:hAnsi="Arial Black" w:cs="Arial Black"/>
              <w:noProof/>
              <w:color w:val="000000"/>
              <w:sz w:val="18"/>
              <w:szCs w:val="18"/>
            </w:rPr>
            <w:t>2</w:t>
          </w:r>
          <w:r>
            <w:rPr>
              <w:rFonts w:ascii="Arial Black" w:eastAsia="Arial Black" w:hAnsi="Arial Black" w:cs="Arial Black"/>
              <w:color w:val="000000"/>
              <w:sz w:val="18"/>
              <w:szCs w:val="18"/>
            </w:rPr>
            <w:fldChar w:fldCharType="end"/>
          </w:r>
          <w:r>
            <w:rPr>
              <w:rFonts w:ascii="Arial Black" w:eastAsia="Arial Black" w:hAnsi="Arial Black" w:cs="Arial Black"/>
              <w:color w:val="000000"/>
              <w:sz w:val="18"/>
              <w:szCs w:val="18"/>
            </w:rPr>
            <w:t xml:space="preserve"> of </w:t>
          </w:r>
          <w:r>
            <w:rPr>
              <w:rFonts w:ascii="Arial Black" w:eastAsia="Arial Black" w:hAnsi="Arial Black" w:cs="Arial Black"/>
              <w:color w:val="000000"/>
              <w:sz w:val="18"/>
              <w:szCs w:val="18"/>
            </w:rPr>
            <w:fldChar w:fldCharType="begin"/>
          </w:r>
          <w:r>
            <w:rPr>
              <w:rFonts w:ascii="Arial Black" w:eastAsia="Arial Black" w:hAnsi="Arial Black" w:cs="Arial Black"/>
              <w:color w:val="000000"/>
              <w:sz w:val="18"/>
              <w:szCs w:val="18"/>
            </w:rPr>
            <w:instrText>NUMPAGES</w:instrText>
          </w:r>
          <w:r>
            <w:rPr>
              <w:rFonts w:ascii="Arial Black" w:eastAsia="Arial Black" w:hAnsi="Arial Black" w:cs="Arial Black"/>
              <w:color w:val="000000"/>
              <w:sz w:val="18"/>
              <w:szCs w:val="18"/>
            </w:rPr>
            <w:fldChar w:fldCharType="separate"/>
          </w:r>
          <w:r w:rsidR="000F43DF">
            <w:rPr>
              <w:rFonts w:ascii="Arial Black" w:eastAsia="Arial Black" w:hAnsi="Arial Black" w:cs="Arial Black"/>
              <w:noProof/>
              <w:color w:val="000000"/>
              <w:sz w:val="18"/>
              <w:szCs w:val="18"/>
            </w:rPr>
            <w:t>56</w:t>
          </w:r>
          <w:r>
            <w:rPr>
              <w:rFonts w:ascii="Arial Black" w:eastAsia="Arial Black" w:hAnsi="Arial Black" w:cs="Arial Black"/>
              <w:color w:val="000000"/>
              <w:sz w:val="18"/>
              <w:szCs w:val="18"/>
            </w:rPr>
            <w:fldChar w:fldCharType="end"/>
          </w:r>
        </w:p>
      </w:tc>
    </w:tr>
    <w:tr w:rsidR="00155420" w14:paraId="56A43A4D" w14:textId="77777777">
      <w:trPr>
        <w:cantSplit/>
        <w:trHeight w:val="454"/>
      </w:trPr>
      <w:tc>
        <w:tcPr>
          <w:tcW w:w="4855" w:type="dxa"/>
          <w:vAlign w:val="bottom"/>
        </w:tcPr>
        <w:p w14:paraId="63094799" w14:textId="77777777" w:rsidR="00155420" w:rsidRDefault="00155420">
          <w:pPr>
            <w:keepNext w:val="0"/>
            <w:pBdr>
              <w:top w:val="nil"/>
              <w:left w:val="nil"/>
              <w:bottom w:val="nil"/>
              <w:right w:val="nil"/>
              <w:between w:val="nil"/>
            </w:pBdr>
            <w:tabs>
              <w:tab w:val="center" w:pos="4513"/>
              <w:tab w:val="right" w:pos="9026"/>
            </w:tabs>
            <w:spacing w:before="0"/>
            <w:ind w:left="0" w:right="0"/>
            <w:rPr>
              <w:color w:val="000000"/>
              <w:sz w:val="14"/>
              <w:szCs w:val="14"/>
            </w:rPr>
          </w:pPr>
        </w:p>
      </w:tc>
      <w:tc>
        <w:tcPr>
          <w:tcW w:w="4654" w:type="dxa"/>
          <w:vAlign w:val="bottom"/>
        </w:tcPr>
        <w:p w14:paraId="760CA6CD" w14:textId="77777777" w:rsidR="00155420" w:rsidRDefault="00155420">
          <w:pPr>
            <w:keepNext w:val="0"/>
            <w:pBdr>
              <w:top w:val="nil"/>
              <w:left w:val="nil"/>
              <w:bottom w:val="nil"/>
              <w:right w:val="nil"/>
              <w:between w:val="nil"/>
            </w:pBdr>
            <w:spacing w:before="0"/>
            <w:ind w:left="0" w:right="0"/>
            <w:jc w:val="right"/>
            <w:rPr>
              <w:rFonts w:ascii="Arial Black" w:eastAsia="Arial Black" w:hAnsi="Arial Black" w:cs="Arial Black"/>
              <w:color w:val="000000"/>
              <w:sz w:val="18"/>
              <w:szCs w:val="18"/>
            </w:rPr>
          </w:pPr>
        </w:p>
      </w:tc>
      <w:tc>
        <w:tcPr>
          <w:tcW w:w="5521" w:type="dxa"/>
          <w:vAlign w:val="bottom"/>
        </w:tcPr>
        <w:p w14:paraId="5E67FEBB" w14:textId="77777777" w:rsidR="00155420" w:rsidRDefault="00155420">
          <w:pPr>
            <w:keepNext w:val="0"/>
            <w:pBdr>
              <w:top w:val="nil"/>
              <w:left w:val="nil"/>
              <w:bottom w:val="nil"/>
              <w:right w:val="nil"/>
              <w:between w:val="nil"/>
            </w:pBdr>
            <w:spacing w:before="0"/>
            <w:ind w:left="0" w:right="0"/>
            <w:jc w:val="right"/>
            <w:rPr>
              <w:rFonts w:ascii="Arial Black" w:eastAsia="Arial Black" w:hAnsi="Arial Black" w:cs="Arial Black"/>
              <w:color w:val="000000"/>
              <w:sz w:val="18"/>
              <w:szCs w:val="18"/>
            </w:rPr>
          </w:pPr>
        </w:p>
      </w:tc>
    </w:tr>
  </w:tbl>
  <w:p w14:paraId="755D8B2A" w14:textId="77777777" w:rsidR="00155420" w:rsidRDefault="00155420">
    <w:pPr>
      <w:pBdr>
        <w:top w:val="nil"/>
        <w:left w:val="nil"/>
        <w:bottom w:val="nil"/>
        <w:right w:val="nil"/>
        <w:between w:val="nil"/>
      </w:pBdr>
      <w:tabs>
        <w:tab w:val="center" w:pos="4513"/>
        <w:tab w:val="right" w:pos="9026"/>
      </w:tabs>
      <w:spacing w:after="0"/>
      <w:jc w:val="center"/>
      <w:rPr>
        <w:color w:val="000000"/>
        <w:sz w:val="14"/>
        <w:szCs w:val="14"/>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3F037" w14:textId="77777777" w:rsidR="00155420" w:rsidRDefault="00155420">
    <w:pPr>
      <w:widowControl w:val="0"/>
      <w:pBdr>
        <w:top w:val="nil"/>
        <w:left w:val="nil"/>
        <w:bottom w:val="nil"/>
        <w:right w:val="nil"/>
        <w:between w:val="nil"/>
      </w:pBdr>
      <w:spacing w:after="0" w:line="276" w:lineRule="auto"/>
      <w:rPr>
        <w:color w:val="000000"/>
        <w:sz w:val="14"/>
        <w:szCs w:val="14"/>
      </w:rPr>
    </w:pPr>
  </w:p>
  <w:tbl>
    <w:tblPr>
      <w:tblStyle w:val="af0"/>
      <w:tblW w:w="10170" w:type="dxa"/>
      <w:tblBorders>
        <w:top w:val="single" w:sz="4" w:space="0" w:color="2E4DF9"/>
        <w:left w:val="single" w:sz="4" w:space="0" w:color="2E4DF9"/>
        <w:bottom w:val="single" w:sz="4" w:space="0" w:color="2E4DF9"/>
        <w:right w:val="single" w:sz="4" w:space="0" w:color="2E4DF9"/>
        <w:insideH w:val="single" w:sz="4" w:space="0" w:color="999999"/>
        <w:insideV w:val="single" w:sz="4" w:space="0" w:color="999999"/>
      </w:tblBorders>
      <w:tblLayout w:type="fixed"/>
      <w:tblLook w:val="0400" w:firstRow="0" w:lastRow="0" w:firstColumn="0" w:lastColumn="0" w:noHBand="0" w:noVBand="1"/>
    </w:tblPr>
    <w:tblGrid>
      <w:gridCol w:w="3200"/>
      <w:gridCol w:w="3067"/>
      <w:gridCol w:w="3903"/>
    </w:tblGrid>
    <w:tr w:rsidR="00155420" w14:paraId="65D65080" w14:textId="77777777">
      <w:trPr>
        <w:cantSplit/>
        <w:trHeight w:val="325"/>
      </w:trPr>
      <w:tc>
        <w:tcPr>
          <w:tcW w:w="3200" w:type="dxa"/>
          <w:tcBorders>
            <w:top w:val="single" w:sz="4" w:space="0" w:color="000000"/>
          </w:tcBorders>
        </w:tcPr>
        <w:p w14:paraId="58935B00" w14:textId="77777777" w:rsidR="00155420" w:rsidRDefault="00155420">
          <w:pPr>
            <w:keepNext w:val="0"/>
            <w:pBdr>
              <w:top w:val="nil"/>
              <w:left w:val="nil"/>
              <w:bottom w:val="nil"/>
              <w:right w:val="nil"/>
              <w:between w:val="nil"/>
            </w:pBdr>
            <w:tabs>
              <w:tab w:val="center" w:pos="4513"/>
              <w:tab w:val="right" w:pos="9026"/>
            </w:tabs>
            <w:spacing w:before="0"/>
            <w:ind w:left="-284" w:right="0"/>
            <w:rPr>
              <w:color w:val="000000"/>
              <w:sz w:val="14"/>
              <w:szCs w:val="14"/>
            </w:rPr>
          </w:pPr>
        </w:p>
      </w:tc>
      <w:tc>
        <w:tcPr>
          <w:tcW w:w="3067" w:type="dxa"/>
          <w:tcBorders>
            <w:top w:val="single" w:sz="4" w:space="0" w:color="000000"/>
          </w:tcBorders>
        </w:tcPr>
        <w:p w14:paraId="2816F3EE" w14:textId="77777777" w:rsidR="00155420" w:rsidRDefault="00155420">
          <w:pPr>
            <w:keepNext w:val="0"/>
            <w:pBdr>
              <w:top w:val="nil"/>
              <w:left w:val="nil"/>
              <w:bottom w:val="nil"/>
              <w:right w:val="nil"/>
              <w:between w:val="nil"/>
            </w:pBdr>
            <w:spacing w:before="0"/>
            <w:ind w:left="0" w:right="0"/>
            <w:jc w:val="right"/>
            <w:rPr>
              <w:rFonts w:ascii="Arial Black" w:eastAsia="Arial Black" w:hAnsi="Arial Black" w:cs="Arial Black"/>
              <w:color w:val="000000"/>
              <w:sz w:val="18"/>
              <w:szCs w:val="18"/>
            </w:rPr>
          </w:pPr>
        </w:p>
      </w:tc>
      <w:tc>
        <w:tcPr>
          <w:tcW w:w="3903" w:type="dxa"/>
          <w:tcBorders>
            <w:top w:val="single" w:sz="4" w:space="0" w:color="000000"/>
          </w:tcBorders>
          <w:vAlign w:val="bottom"/>
        </w:tcPr>
        <w:p w14:paraId="1398BEA4" w14:textId="77777777" w:rsidR="00155420" w:rsidRDefault="00155420">
          <w:pPr>
            <w:keepNext w:val="0"/>
            <w:pBdr>
              <w:top w:val="nil"/>
              <w:left w:val="nil"/>
              <w:bottom w:val="nil"/>
              <w:right w:val="nil"/>
              <w:between w:val="nil"/>
            </w:pBdr>
            <w:spacing w:before="0"/>
            <w:ind w:left="0" w:right="0"/>
            <w:jc w:val="right"/>
            <w:rPr>
              <w:rFonts w:ascii="Arial Black" w:eastAsia="Arial Black" w:hAnsi="Arial Black" w:cs="Arial Black"/>
              <w:color w:val="000000"/>
              <w:sz w:val="18"/>
              <w:szCs w:val="18"/>
            </w:rPr>
          </w:pPr>
        </w:p>
      </w:tc>
    </w:tr>
    <w:tr w:rsidR="00155420" w14:paraId="753B98A9" w14:textId="77777777">
      <w:trPr>
        <w:cantSplit/>
        <w:trHeight w:val="325"/>
      </w:trPr>
      <w:tc>
        <w:tcPr>
          <w:tcW w:w="3200" w:type="dxa"/>
          <w:vAlign w:val="bottom"/>
        </w:tcPr>
        <w:p w14:paraId="69DB1DCE" w14:textId="77777777" w:rsidR="00155420" w:rsidRDefault="00155420">
          <w:pPr>
            <w:keepNext w:val="0"/>
            <w:pBdr>
              <w:top w:val="nil"/>
              <w:left w:val="nil"/>
              <w:bottom w:val="nil"/>
              <w:right w:val="nil"/>
              <w:between w:val="nil"/>
            </w:pBdr>
            <w:tabs>
              <w:tab w:val="center" w:pos="4513"/>
              <w:tab w:val="right" w:pos="9026"/>
            </w:tabs>
            <w:spacing w:before="0"/>
            <w:ind w:left="0" w:right="0"/>
            <w:rPr>
              <w:color w:val="000000"/>
              <w:sz w:val="14"/>
              <w:szCs w:val="14"/>
            </w:rPr>
          </w:pPr>
        </w:p>
        <w:p w14:paraId="161369D7" w14:textId="77777777" w:rsidR="00155420" w:rsidRDefault="00E84F93">
          <w:pPr>
            <w:keepNext w:val="0"/>
            <w:pBdr>
              <w:top w:val="nil"/>
              <w:left w:val="nil"/>
              <w:bottom w:val="nil"/>
              <w:right w:val="nil"/>
              <w:between w:val="nil"/>
            </w:pBdr>
            <w:tabs>
              <w:tab w:val="center" w:pos="4513"/>
              <w:tab w:val="right" w:pos="9026"/>
            </w:tabs>
            <w:spacing w:before="0"/>
            <w:ind w:left="0" w:right="0"/>
            <w:rPr>
              <w:color w:val="000000"/>
              <w:sz w:val="14"/>
              <w:szCs w:val="14"/>
            </w:rPr>
          </w:pPr>
          <w:r>
            <w:rPr>
              <w:noProof/>
              <w:color w:val="000000"/>
              <w:sz w:val="14"/>
              <w:szCs w:val="14"/>
              <w:lang w:val="en-PH"/>
            </w:rPr>
            <w:drawing>
              <wp:inline distT="0" distB="0" distL="0" distR="0" wp14:anchorId="798015D4" wp14:editId="41D267CB">
                <wp:extent cx="1620259" cy="15228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20259" cy="152280"/>
                        </a:xfrm>
                        <a:prstGeom prst="rect">
                          <a:avLst/>
                        </a:prstGeom>
                        <a:ln/>
                      </pic:spPr>
                    </pic:pic>
                  </a:graphicData>
                </a:graphic>
              </wp:inline>
            </w:drawing>
          </w:r>
        </w:p>
      </w:tc>
      <w:tc>
        <w:tcPr>
          <w:tcW w:w="3067" w:type="dxa"/>
          <w:vAlign w:val="bottom"/>
        </w:tcPr>
        <w:p w14:paraId="01D01634" w14:textId="77777777" w:rsidR="00155420" w:rsidRDefault="00155420">
          <w:pPr>
            <w:keepNext w:val="0"/>
            <w:pBdr>
              <w:top w:val="nil"/>
              <w:left w:val="nil"/>
              <w:bottom w:val="nil"/>
              <w:right w:val="nil"/>
              <w:between w:val="nil"/>
            </w:pBdr>
            <w:spacing w:before="0"/>
            <w:ind w:left="0" w:right="0"/>
            <w:jc w:val="right"/>
            <w:rPr>
              <w:rFonts w:ascii="Arial Black" w:eastAsia="Arial Black" w:hAnsi="Arial Black" w:cs="Arial Black"/>
              <w:color w:val="000000"/>
              <w:sz w:val="18"/>
              <w:szCs w:val="18"/>
            </w:rPr>
          </w:pPr>
        </w:p>
      </w:tc>
      <w:tc>
        <w:tcPr>
          <w:tcW w:w="3903" w:type="dxa"/>
          <w:vAlign w:val="bottom"/>
        </w:tcPr>
        <w:p w14:paraId="26F08C1A" w14:textId="607F04D2" w:rsidR="00155420" w:rsidRDefault="00E84F93">
          <w:pPr>
            <w:keepNext w:val="0"/>
            <w:pBdr>
              <w:top w:val="nil"/>
              <w:left w:val="nil"/>
              <w:bottom w:val="nil"/>
              <w:right w:val="nil"/>
              <w:between w:val="nil"/>
            </w:pBdr>
            <w:spacing w:before="0"/>
            <w:ind w:left="0" w:right="0"/>
            <w:jc w:val="right"/>
            <w:rPr>
              <w:rFonts w:ascii="Arial Black" w:eastAsia="Arial Black" w:hAnsi="Arial Black" w:cs="Arial Black"/>
              <w:color w:val="000000"/>
              <w:sz w:val="18"/>
              <w:szCs w:val="18"/>
            </w:rPr>
          </w:pPr>
          <w:r>
            <w:rPr>
              <w:rFonts w:ascii="Arial Black" w:eastAsia="Arial Black" w:hAnsi="Arial Black" w:cs="Arial Black"/>
              <w:color w:val="000000"/>
              <w:sz w:val="18"/>
              <w:szCs w:val="18"/>
            </w:rPr>
            <w:t xml:space="preserve">Page </w:t>
          </w:r>
          <w:r>
            <w:rPr>
              <w:rFonts w:ascii="Arial Black" w:eastAsia="Arial Black" w:hAnsi="Arial Black" w:cs="Arial Black"/>
              <w:color w:val="000000"/>
              <w:sz w:val="18"/>
              <w:szCs w:val="18"/>
            </w:rPr>
            <w:fldChar w:fldCharType="begin"/>
          </w:r>
          <w:r>
            <w:rPr>
              <w:rFonts w:ascii="Arial Black" w:eastAsia="Arial Black" w:hAnsi="Arial Black" w:cs="Arial Black"/>
              <w:color w:val="000000"/>
              <w:sz w:val="18"/>
              <w:szCs w:val="18"/>
            </w:rPr>
            <w:instrText>PAGE</w:instrText>
          </w:r>
          <w:r>
            <w:rPr>
              <w:rFonts w:ascii="Arial Black" w:eastAsia="Arial Black" w:hAnsi="Arial Black" w:cs="Arial Black"/>
              <w:color w:val="000000"/>
              <w:sz w:val="18"/>
              <w:szCs w:val="18"/>
            </w:rPr>
            <w:fldChar w:fldCharType="separate"/>
          </w:r>
          <w:r w:rsidR="000F43DF">
            <w:rPr>
              <w:rFonts w:ascii="Arial Black" w:eastAsia="Arial Black" w:hAnsi="Arial Black" w:cs="Arial Black"/>
              <w:noProof/>
              <w:color w:val="000000"/>
              <w:sz w:val="18"/>
              <w:szCs w:val="18"/>
            </w:rPr>
            <w:t>1</w:t>
          </w:r>
          <w:r>
            <w:rPr>
              <w:rFonts w:ascii="Arial Black" w:eastAsia="Arial Black" w:hAnsi="Arial Black" w:cs="Arial Black"/>
              <w:color w:val="000000"/>
              <w:sz w:val="18"/>
              <w:szCs w:val="18"/>
            </w:rPr>
            <w:fldChar w:fldCharType="end"/>
          </w:r>
          <w:r>
            <w:rPr>
              <w:rFonts w:ascii="Arial Black" w:eastAsia="Arial Black" w:hAnsi="Arial Black" w:cs="Arial Black"/>
              <w:color w:val="000000"/>
              <w:sz w:val="18"/>
              <w:szCs w:val="18"/>
            </w:rPr>
            <w:t xml:space="preserve"> of </w:t>
          </w:r>
          <w:r>
            <w:rPr>
              <w:rFonts w:ascii="Arial Black" w:eastAsia="Arial Black" w:hAnsi="Arial Black" w:cs="Arial Black"/>
              <w:color w:val="000000"/>
              <w:sz w:val="18"/>
              <w:szCs w:val="18"/>
            </w:rPr>
            <w:fldChar w:fldCharType="begin"/>
          </w:r>
          <w:r>
            <w:rPr>
              <w:rFonts w:ascii="Arial Black" w:eastAsia="Arial Black" w:hAnsi="Arial Black" w:cs="Arial Black"/>
              <w:color w:val="000000"/>
              <w:sz w:val="18"/>
              <w:szCs w:val="18"/>
            </w:rPr>
            <w:instrText>NUMPAGES</w:instrText>
          </w:r>
          <w:r>
            <w:rPr>
              <w:rFonts w:ascii="Arial Black" w:eastAsia="Arial Black" w:hAnsi="Arial Black" w:cs="Arial Black"/>
              <w:color w:val="000000"/>
              <w:sz w:val="18"/>
              <w:szCs w:val="18"/>
            </w:rPr>
            <w:fldChar w:fldCharType="separate"/>
          </w:r>
          <w:r w:rsidR="000F43DF">
            <w:rPr>
              <w:rFonts w:ascii="Arial Black" w:eastAsia="Arial Black" w:hAnsi="Arial Black" w:cs="Arial Black"/>
              <w:noProof/>
              <w:color w:val="000000"/>
              <w:sz w:val="18"/>
              <w:szCs w:val="18"/>
            </w:rPr>
            <w:t>56</w:t>
          </w:r>
          <w:r>
            <w:rPr>
              <w:rFonts w:ascii="Arial Black" w:eastAsia="Arial Black" w:hAnsi="Arial Black" w:cs="Arial Black"/>
              <w:color w:val="000000"/>
              <w:sz w:val="18"/>
              <w:szCs w:val="18"/>
            </w:rPr>
            <w:fldChar w:fldCharType="end"/>
          </w:r>
        </w:p>
      </w:tc>
    </w:tr>
    <w:tr w:rsidR="00155420" w14:paraId="71CB27FB" w14:textId="77777777">
      <w:trPr>
        <w:cantSplit/>
        <w:trHeight w:val="589"/>
      </w:trPr>
      <w:tc>
        <w:tcPr>
          <w:tcW w:w="3200" w:type="dxa"/>
        </w:tcPr>
        <w:p w14:paraId="0A5C8CB9" w14:textId="77777777" w:rsidR="00155420" w:rsidRDefault="00155420">
          <w:pPr>
            <w:keepNext w:val="0"/>
            <w:pBdr>
              <w:top w:val="nil"/>
              <w:left w:val="nil"/>
              <w:bottom w:val="nil"/>
              <w:right w:val="nil"/>
              <w:between w:val="nil"/>
            </w:pBdr>
            <w:tabs>
              <w:tab w:val="center" w:pos="4513"/>
              <w:tab w:val="right" w:pos="9026"/>
            </w:tabs>
            <w:spacing w:before="0"/>
            <w:ind w:left="0" w:right="0"/>
            <w:rPr>
              <w:color w:val="000000"/>
              <w:sz w:val="14"/>
              <w:szCs w:val="14"/>
            </w:rPr>
          </w:pPr>
        </w:p>
        <w:p w14:paraId="1B8F5C77" w14:textId="77777777" w:rsidR="00155420" w:rsidRDefault="00E84F93">
          <w:pPr>
            <w:keepNext w:val="0"/>
            <w:pBdr>
              <w:top w:val="nil"/>
              <w:left w:val="nil"/>
              <w:bottom w:val="nil"/>
              <w:right w:val="nil"/>
              <w:between w:val="nil"/>
            </w:pBdr>
            <w:tabs>
              <w:tab w:val="center" w:pos="4513"/>
              <w:tab w:val="right" w:pos="9026"/>
            </w:tabs>
            <w:spacing w:before="0"/>
            <w:ind w:left="0" w:right="0"/>
            <w:rPr>
              <w:color w:val="000000"/>
              <w:sz w:val="14"/>
              <w:szCs w:val="14"/>
            </w:rPr>
          </w:pPr>
          <w:r>
            <w:rPr>
              <w:color w:val="000000"/>
              <w:sz w:val="14"/>
              <w:szCs w:val="14"/>
            </w:rPr>
            <w:t>Full Review Form</w:t>
          </w:r>
          <w:r>
            <w:rPr>
              <w:color w:val="000000"/>
              <w:sz w:val="14"/>
              <w:szCs w:val="14"/>
            </w:rPr>
            <w:br/>
            <w:t>Issue Date: November 2022</w:t>
          </w:r>
        </w:p>
        <w:p w14:paraId="65DB111A" w14:textId="77777777" w:rsidR="00155420" w:rsidRDefault="00155420">
          <w:pPr>
            <w:keepNext w:val="0"/>
            <w:pBdr>
              <w:top w:val="nil"/>
              <w:left w:val="nil"/>
              <w:bottom w:val="nil"/>
              <w:right w:val="nil"/>
              <w:between w:val="nil"/>
            </w:pBdr>
            <w:tabs>
              <w:tab w:val="center" w:pos="4513"/>
              <w:tab w:val="right" w:pos="9026"/>
            </w:tabs>
            <w:spacing w:before="0"/>
            <w:ind w:left="0" w:right="0"/>
            <w:rPr>
              <w:color w:val="000000"/>
              <w:sz w:val="14"/>
              <w:szCs w:val="14"/>
            </w:rPr>
          </w:pPr>
        </w:p>
      </w:tc>
      <w:tc>
        <w:tcPr>
          <w:tcW w:w="3067" w:type="dxa"/>
          <w:vAlign w:val="bottom"/>
        </w:tcPr>
        <w:p w14:paraId="202C046A" w14:textId="77777777" w:rsidR="00155420" w:rsidRDefault="00155420">
          <w:pPr>
            <w:keepNext w:val="0"/>
            <w:pBdr>
              <w:top w:val="nil"/>
              <w:left w:val="nil"/>
              <w:bottom w:val="nil"/>
              <w:right w:val="nil"/>
              <w:between w:val="nil"/>
            </w:pBdr>
            <w:spacing w:before="0"/>
            <w:ind w:left="0" w:right="0"/>
            <w:jc w:val="right"/>
            <w:rPr>
              <w:rFonts w:ascii="Arial Black" w:eastAsia="Arial Black" w:hAnsi="Arial Black" w:cs="Arial Black"/>
              <w:color w:val="000000"/>
              <w:sz w:val="18"/>
              <w:szCs w:val="18"/>
            </w:rPr>
          </w:pPr>
        </w:p>
      </w:tc>
      <w:tc>
        <w:tcPr>
          <w:tcW w:w="3903" w:type="dxa"/>
          <w:vAlign w:val="bottom"/>
        </w:tcPr>
        <w:p w14:paraId="53B2148C" w14:textId="77777777" w:rsidR="00155420" w:rsidRDefault="00155420">
          <w:pPr>
            <w:keepNext w:val="0"/>
            <w:pBdr>
              <w:top w:val="nil"/>
              <w:left w:val="nil"/>
              <w:bottom w:val="nil"/>
              <w:right w:val="nil"/>
              <w:between w:val="nil"/>
            </w:pBdr>
            <w:spacing w:before="0"/>
            <w:ind w:left="0" w:right="0"/>
            <w:jc w:val="right"/>
            <w:rPr>
              <w:rFonts w:ascii="Arial Black" w:eastAsia="Arial Black" w:hAnsi="Arial Black" w:cs="Arial Black"/>
              <w:color w:val="000000"/>
              <w:sz w:val="18"/>
              <w:szCs w:val="18"/>
            </w:rPr>
          </w:pPr>
        </w:p>
      </w:tc>
    </w:tr>
  </w:tbl>
  <w:p w14:paraId="19C9C252" w14:textId="77777777" w:rsidR="00155420" w:rsidRDefault="00155420">
    <w:pPr>
      <w:pBdr>
        <w:top w:val="nil"/>
        <w:left w:val="nil"/>
        <w:bottom w:val="nil"/>
        <w:right w:val="nil"/>
        <w:between w:val="nil"/>
      </w:pBdr>
      <w:tabs>
        <w:tab w:val="center" w:pos="4513"/>
        <w:tab w:val="right" w:pos="9026"/>
      </w:tabs>
      <w:spacing w:after="0"/>
      <w:rPr>
        <w:color w:val="000000"/>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B639F" w14:textId="77777777" w:rsidR="00155420" w:rsidRDefault="00155420">
    <w:pPr>
      <w:widowControl w:val="0"/>
      <w:pBdr>
        <w:top w:val="nil"/>
        <w:left w:val="nil"/>
        <w:bottom w:val="nil"/>
        <w:right w:val="nil"/>
        <w:between w:val="nil"/>
      </w:pBdr>
      <w:spacing w:after="0" w:line="276" w:lineRule="auto"/>
      <w:rPr>
        <w:color w:val="000000"/>
        <w:sz w:val="14"/>
        <w:szCs w:val="14"/>
      </w:rPr>
    </w:pPr>
  </w:p>
  <w:tbl>
    <w:tblPr>
      <w:tblStyle w:val="af3"/>
      <w:tblW w:w="15030" w:type="dxa"/>
      <w:tblBorders>
        <w:top w:val="single" w:sz="4" w:space="0" w:color="2E4DF9"/>
        <w:left w:val="single" w:sz="4" w:space="0" w:color="2E4DF9"/>
        <w:bottom w:val="single" w:sz="4" w:space="0" w:color="2E4DF9"/>
        <w:right w:val="single" w:sz="4" w:space="0" w:color="2E4DF9"/>
        <w:insideH w:val="single" w:sz="4" w:space="0" w:color="999999"/>
        <w:insideV w:val="single" w:sz="4" w:space="0" w:color="999999"/>
      </w:tblBorders>
      <w:tblLayout w:type="fixed"/>
      <w:tblLook w:val="0400" w:firstRow="0" w:lastRow="0" w:firstColumn="0" w:lastColumn="0" w:noHBand="0" w:noVBand="1"/>
    </w:tblPr>
    <w:tblGrid>
      <w:gridCol w:w="4855"/>
      <w:gridCol w:w="4654"/>
      <w:gridCol w:w="5521"/>
    </w:tblGrid>
    <w:tr w:rsidR="00155420" w14:paraId="2FFC3DD1" w14:textId="77777777">
      <w:trPr>
        <w:cantSplit/>
      </w:trPr>
      <w:tc>
        <w:tcPr>
          <w:tcW w:w="4855" w:type="dxa"/>
          <w:tcBorders>
            <w:top w:val="single" w:sz="4" w:space="0" w:color="000000"/>
          </w:tcBorders>
        </w:tcPr>
        <w:p w14:paraId="0C49A2CE" w14:textId="77777777" w:rsidR="00155420" w:rsidRDefault="00155420">
          <w:pPr>
            <w:keepNext w:val="0"/>
            <w:pBdr>
              <w:top w:val="nil"/>
              <w:left w:val="nil"/>
              <w:bottom w:val="nil"/>
              <w:right w:val="nil"/>
              <w:between w:val="nil"/>
            </w:pBdr>
            <w:tabs>
              <w:tab w:val="center" w:pos="4513"/>
              <w:tab w:val="right" w:pos="9026"/>
            </w:tabs>
            <w:spacing w:before="0"/>
            <w:ind w:left="0" w:right="0"/>
            <w:rPr>
              <w:color w:val="000000"/>
              <w:sz w:val="14"/>
              <w:szCs w:val="14"/>
            </w:rPr>
          </w:pPr>
        </w:p>
      </w:tc>
      <w:tc>
        <w:tcPr>
          <w:tcW w:w="4654" w:type="dxa"/>
          <w:tcBorders>
            <w:top w:val="single" w:sz="4" w:space="0" w:color="000000"/>
          </w:tcBorders>
        </w:tcPr>
        <w:p w14:paraId="7FF77CB8" w14:textId="77777777" w:rsidR="00155420" w:rsidRDefault="00155420">
          <w:pPr>
            <w:keepNext w:val="0"/>
            <w:pBdr>
              <w:top w:val="nil"/>
              <w:left w:val="nil"/>
              <w:bottom w:val="nil"/>
              <w:right w:val="nil"/>
              <w:between w:val="nil"/>
            </w:pBdr>
            <w:spacing w:before="0"/>
            <w:ind w:left="0" w:right="0"/>
            <w:jc w:val="right"/>
            <w:rPr>
              <w:rFonts w:ascii="Arial Black" w:eastAsia="Arial Black" w:hAnsi="Arial Black" w:cs="Arial Black"/>
              <w:color w:val="000000"/>
              <w:sz w:val="18"/>
              <w:szCs w:val="18"/>
            </w:rPr>
          </w:pPr>
        </w:p>
      </w:tc>
      <w:tc>
        <w:tcPr>
          <w:tcW w:w="5521" w:type="dxa"/>
          <w:tcBorders>
            <w:top w:val="single" w:sz="4" w:space="0" w:color="000000"/>
          </w:tcBorders>
          <w:vAlign w:val="bottom"/>
        </w:tcPr>
        <w:p w14:paraId="54788E69" w14:textId="77777777" w:rsidR="00155420" w:rsidRDefault="00155420">
          <w:pPr>
            <w:keepNext w:val="0"/>
            <w:pBdr>
              <w:top w:val="nil"/>
              <w:left w:val="nil"/>
              <w:bottom w:val="nil"/>
              <w:right w:val="nil"/>
              <w:between w:val="nil"/>
            </w:pBdr>
            <w:spacing w:before="0"/>
            <w:ind w:left="0" w:right="0"/>
            <w:jc w:val="right"/>
            <w:rPr>
              <w:rFonts w:ascii="Arial Black" w:eastAsia="Arial Black" w:hAnsi="Arial Black" w:cs="Arial Black"/>
              <w:color w:val="000000"/>
              <w:sz w:val="18"/>
              <w:szCs w:val="18"/>
            </w:rPr>
          </w:pPr>
        </w:p>
      </w:tc>
    </w:tr>
    <w:tr w:rsidR="00155420" w14:paraId="09F1B534" w14:textId="77777777">
      <w:trPr>
        <w:cantSplit/>
      </w:trPr>
      <w:tc>
        <w:tcPr>
          <w:tcW w:w="4855" w:type="dxa"/>
          <w:vAlign w:val="bottom"/>
        </w:tcPr>
        <w:p w14:paraId="7ADC5570" w14:textId="77777777" w:rsidR="00155420" w:rsidRDefault="00E84F93">
          <w:pPr>
            <w:keepNext w:val="0"/>
            <w:pBdr>
              <w:top w:val="nil"/>
              <w:left w:val="nil"/>
              <w:bottom w:val="nil"/>
              <w:right w:val="nil"/>
              <w:between w:val="nil"/>
            </w:pBdr>
            <w:tabs>
              <w:tab w:val="center" w:pos="4513"/>
              <w:tab w:val="right" w:pos="9026"/>
            </w:tabs>
            <w:spacing w:before="0"/>
            <w:ind w:left="0" w:right="0"/>
            <w:rPr>
              <w:color w:val="000000"/>
              <w:sz w:val="14"/>
              <w:szCs w:val="14"/>
            </w:rPr>
          </w:pPr>
          <w:r>
            <w:rPr>
              <w:noProof/>
              <w:color w:val="000000"/>
              <w:sz w:val="14"/>
              <w:szCs w:val="14"/>
              <w:lang w:val="en-PH"/>
            </w:rPr>
            <w:drawing>
              <wp:inline distT="0" distB="0" distL="0" distR="0" wp14:anchorId="3FE4A14D" wp14:editId="410CD68C">
                <wp:extent cx="1620259" cy="15228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20259" cy="152280"/>
                        </a:xfrm>
                        <a:prstGeom prst="rect">
                          <a:avLst/>
                        </a:prstGeom>
                        <a:ln/>
                      </pic:spPr>
                    </pic:pic>
                  </a:graphicData>
                </a:graphic>
              </wp:inline>
            </w:drawing>
          </w:r>
        </w:p>
      </w:tc>
      <w:tc>
        <w:tcPr>
          <w:tcW w:w="4654" w:type="dxa"/>
        </w:tcPr>
        <w:p w14:paraId="71C693B5" w14:textId="77777777" w:rsidR="00155420" w:rsidRDefault="00E84F93">
          <w:pPr>
            <w:keepNext w:val="0"/>
            <w:pBdr>
              <w:top w:val="nil"/>
              <w:left w:val="nil"/>
              <w:bottom w:val="nil"/>
              <w:right w:val="nil"/>
              <w:between w:val="nil"/>
            </w:pBdr>
            <w:spacing w:before="0"/>
            <w:ind w:left="0" w:right="0"/>
            <w:jc w:val="center"/>
            <w:rPr>
              <w:rFonts w:ascii="Arial Black" w:eastAsia="Arial Black" w:hAnsi="Arial Black" w:cs="Arial Black"/>
              <w:color w:val="000000"/>
              <w:sz w:val="18"/>
              <w:szCs w:val="18"/>
            </w:rPr>
          </w:pPr>
          <w:r>
            <w:rPr>
              <w:rFonts w:ascii="Arial Black" w:eastAsia="Arial Black" w:hAnsi="Arial Black" w:cs="Arial Black"/>
              <w:color w:val="000000"/>
              <w:sz w:val="18"/>
              <w:szCs w:val="18"/>
            </w:rPr>
            <w:t>Full Review Form</w:t>
          </w:r>
        </w:p>
      </w:tc>
      <w:tc>
        <w:tcPr>
          <w:tcW w:w="5521" w:type="dxa"/>
          <w:vAlign w:val="bottom"/>
        </w:tcPr>
        <w:p w14:paraId="6A1D87DA" w14:textId="64C3C94A" w:rsidR="00155420" w:rsidRDefault="00E84F93">
          <w:pPr>
            <w:keepNext w:val="0"/>
            <w:pBdr>
              <w:top w:val="nil"/>
              <w:left w:val="nil"/>
              <w:bottom w:val="nil"/>
              <w:right w:val="nil"/>
              <w:between w:val="nil"/>
            </w:pBdr>
            <w:spacing w:before="0"/>
            <w:ind w:left="0" w:right="0"/>
            <w:jc w:val="right"/>
            <w:rPr>
              <w:rFonts w:ascii="Arial Black" w:eastAsia="Arial Black" w:hAnsi="Arial Black" w:cs="Arial Black"/>
              <w:color w:val="000000"/>
              <w:sz w:val="18"/>
              <w:szCs w:val="18"/>
            </w:rPr>
          </w:pPr>
          <w:r>
            <w:rPr>
              <w:rFonts w:ascii="Arial Black" w:eastAsia="Arial Black" w:hAnsi="Arial Black" w:cs="Arial Black"/>
              <w:color w:val="000000"/>
              <w:sz w:val="18"/>
              <w:szCs w:val="18"/>
            </w:rPr>
            <w:t xml:space="preserve">Page </w:t>
          </w:r>
          <w:r>
            <w:rPr>
              <w:rFonts w:ascii="Arial Black" w:eastAsia="Arial Black" w:hAnsi="Arial Black" w:cs="Arial Black"/>
              <w:color w:val="000000"/>
              <w:sz w:val="18"/>
              <w:szCs w:val="18"/>
            </w:rPr>
            <w:fldChar w:fldCharType="begin"/>
          </w:r>
          <w:r>
            <w:rPr>
              <w:rFonts w:ascii="Arial Black" w:eastAsia="Arial Black" w:hAnsi="Arial Black" w:cs="Arial Black"/>
              <w:color w:val="000000"/>
              <w:sz w:val="18"/>
              <w:szCs w:val="18"/>
            </w:rPr>
            <w:instrText>PAGE</w:instrText>
          </w:r>
          <w:r>
            <w:rPr>
              <w:rFonts w:ascii="Arial Black" w:eastAsia="Arial Black" w:hAnsi="Arial Black" w:cs="Arial Black"/>
              <w:color w:val="000000"/>
              <w:sz w:val="18"/>
              <w:szCs w:val="18"/>
            </w:rPr>
            <w:fldChar w:fldCharType="separate"/>
          </w:r>
          <w:r w:rsidR="000F43DF">
            <w:rPr>
              <w:rFonts w:ascii="Arial Black" w:eastAsia="Arial Black" w:hAnsi="Arial Black" w:cs="Arial Black"/>
              <w:noProof/>
              <w:color w:val="000000"/>
              <w:sz w:val="18"/>
              <w:szCs w:val="18"/>
            </w:rPr>
            <w:t>3</w:t>
          </w:r>
          <w:r>
            <w:rPr>
              <w:rFonts w:ascii="Arial Black" w:eastAsia="Arial Black" w:hAnsi="Arial Black" w:cs="Arial Black"/>
              <w:color w:val="000000"/>
              <w:sz w:val="18"/>
              <w:szCs w:val="18"/>
            </w:rPr>
            <w:fldChar w:fldCharType="end"/>
          </w:r>
          <w:r>
            <w:rPr>
              <w:rFonts w:ascii="Arial Black" w:eastAsia="Arial Black" w:hAnsi="Arial Black" w:cs="Arial Black"/>
              <w:color w:val="000000"/>
              <w:sz w:val="18"/>
              <w:szCs w:val="18"/>
            </w:rPr>
            <w:t xml:space="preserve"> of </w:t>
          </w:r>
          <w:r>
            <w:rPr>
              <w:rFonts w:ascii="Arial Black" w:eastAsia="Arial Black" w:hAnsi="Arial Black" w:cs="Arial Black"/>
              <w:color w:val="000000"/>
              <w:sz w:val="18"/>
              <w:szCs w:val="18"/>
            </w:rPr>
            <w:fldChar w:fldCharType="begin"/>
          </w:r>
          <w:r>
            <w:rPr>
              <w:rFonts w:ascii="Arial Black" w:eastAsia="Arial Black" w:hAnsi="Arial Black" w:cs="Arial Black"/>
              <w:color w:val="000000"/>
              <w:sz w:val="18"/>
              <w:szCs w:val="18"/>
            </w:rPr>
            <w:instrText>NUMPAGES</w:instrText>
          </w:r>
          <w:r>
            <w:rPr>
              <w:rFonts w:ascii="Arial Black" w:eastAsia="Arial Black" w:hAnsi="Arial Black" w:cs="Arial Black"/>
              <w:color w:val="000000"/>
              <w:sz w:val="18"/>
              <w:szCs w:val="18"/>
            </w:rPr>
            <w:fldChar w:fldCharType="separate"/>
          </w:r>
          <w:r w:rsidR="000F43DF">
            <w:rPr>
              <w:rFonts w:ascii="Arial Black" w:eastAsia="Arial Black" w:hAnsi="Arial Black" w:cs="Arial Black"/>
              <w:noProof/>
              <w:color w:val="000000"/>
              <w:sz w:val="18"/>
              <w:szCs w:val="18"/>
            </w:rPr>
            <w:t>56</w:t>
          </w:r>
          <w:r>
            <w:rPr>
              <w:rFonts w:ascii="Arial Black" w:eastAsia="Arial Black" w:hAnsi="Arial Black" w:cs="Arial Black"/>
              <w:color w:val="000000"/>
              <w:sz w:val="18"/>
              <w:szCs w:val="18"/>
            </w:rPr>
            <w:fldChar w:fldCharType="end"/>
          </w:r>
        </w:p>
      </w:tc>
    </w:tr>
    <w:tr w:rsidR="00155420" w14:paraId="24BFCC12" w14:textId="77777777">
      <w:trPr>
        <w:cantSplit/>
        <w:trHeight w:val="454"/>
      </w:trPr>
      <w:tc>
        <w:tcPr>
          <w:tcW w:w="4855" w:type="dxa"/>
          <w:vAlign w:val="bottom"/>
        </w:tcPr>
        <w:p w14:paraId="18C13ACC" w14:textId="77777777" w:rsidR="00155420" w:rsidRDefault="00155420">
          <w:pPr>
            <w:keepNext w:val="0"/>
            <w:pBdr>
              <w:top w:val="nil"/>
              <w:left w:val="nil"/>
              <w:bottom w:val="nil"/>
              <w:right w:val="nil"/>
              <w:between w:val="nil"/>
            </w:pBdr>
            <w:tabs>
              <w:tab w:val="center" w:pos="4513"/>
              <w:tab w:val="right" w:pos="9026"/>
            </w:tabs>
            <w:spacing w:before="0"/>
            <w:ind w:left="0" w:right="0"/>
            <w:rPr>
              <w:color w:val="000000"/>
              <w:sz w:val="14"/>
              <w:szCs w:val="14"/>
            </w:rPr>
          </w:pPr>
        </w:p>
      </w:tc>
      <w:tc>
        <w:tcPr>
          <w:tcW w:w="4654" w:type="dxa"/>
          <w:vAlign w:val="bottom"/>
        </w:tcPr>
        <w:p w14:paraId="47F972B6" w14:textId="77777777" w:rsidR="00155420" w:rsidRDefault="00155420">
          <w:pPr>
            <w:keepNext w:val="0"/>
            <w:pBdr>
              <w:top w:val="nil"/>
              <w:left w:val="nil"/>
              <w:bottom w:val="nil"/>
              <w:right w:val="nil"/>
              <w:between w:val="nil"/>
            </w:pBdr>
            <w:spacing w:before="0"/>
            <w:ind w:left="0" w:right="0"/>
            <w:jc w:val="right"/>
            <w:rPr>
              <w:rFonts w:ascii="Arial Black" w:eastAsia="Arial Black" w:hAnsi="Arial Black" w:cs="Arial Black"/>
              <w:color w:val="000000"/>
              <w:sz w:val="18"/>
              <w:szCs w:val="18"/>
            </w:rPr>
          </w:pPr>
        </w:p>
      </w:tc>
      <w:tc>
        <w:tcPr>
          <w:tcW w:w="5521" w:type="dxa"/>
          <w:vAlign w:val="bottom"/>
        </w:tcPr>
        <w:p w14:paraId="47B27859" w14:textId="77777777" w:rsidR="00155420" w:rsidRDefault="00155420">
          <w:pPr>
            <w:keepNext w:val="0"/>
            <w:pBdr>
              <w:top w:val="nil"/>
              <w:left w:val="nil"/>
              <w:bottom w:val="nil"/>
              <w:right w:val="nil"/>
              <w:between w:val="nil"/>
            </w:pBdr>
            <w:spacing w:before="0"/>
            <w:ind w:left="0" w:right="0"/>
            <w:jc w:val="right"/>
            <w:rPr>
              <w:rFonts w:ascii="Arial Black" w:eastAsia="Arial Black" w:hAnsi="Arial Black" w:cs="Arial Black"/>
              <w:color w:val="000000"/>
              <w:sz w:val="18"/>
              <w:szCs w:val="18"/>
            </w:rPr>
          </w:pPr>
        </w:p>
      </w:tc>
    </w:tr>
  </w:tbl>
  <w:p w14:paraId="6D048AEE" w14:textId="77777777" w:rsidR="00155420" w:rsidRDefault="00155420">
    <w:pPr>
      <w:pBdr>
        <w:top w:val="nil"/>
        <w:left w:val="nil"/>
        <w:bottom w:val="nil"/>
        <w:right w:val="nil"/>
        <w:between w:val="nil"/>
      </w:pBdr>
      <w:tabs>
        <w:tab w:val="center" w:pos="4513"/>
        <w:tab w:val="right" w:pos="9026"/>
      </w:tabs>
      <w:spacing w:after="0"/>
      <w:rPr>
        <w:color w:val="000000"/>
        <w:sz w:val="14"/>
        <w:szCs w:val="14"/>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2CF15" w14:textId="77777777" w:rsidR="00155420" w:rsidRDefault="00155420">
    <w:pPr>
      <w:widowControl w:val="0"/>
      <w:pBdr>
        <w:top w:val="nil"/>
        <w:left w:val="nil"/>
        <w:bottom w:val="nil"/>
        <w:right w:val="nil"/>
        <w:between w:val="nil"/>
      </w:pBdr>
      <w:spacing w:after="0" w:line="276" w:lineRule="auto"/>
      <w:rPr>
        <w:color w:val="000000"/>
        <w:sz w:val="14"/>
        <w:szCs w:val="14"/>
      </w:rPr>
    </w:pPr>
  </w:p>
  <w:tbl>
    <w:tblPr>
      <w:tblStyle w:val="af2"/>
      <w:tblW w:w="10170" w:type="dxa"/>
      <w:tblBorders>
        <w:top w:val="single" w:sz="4" w:space="0" w:color="2E4DF9"/>
        <w:left w:val="single" w:sz="4" w:space="0" w:color="2E4DF9"/>
        <w:bottom w:val="single" w:sz="4" w:space="0" w:color="2E4DF9"/>
        <w:right w:val="single" w:sz="4" w:space="0" w:color="2E4DF9"/>
        <w:insideH w:val="single" w:sz="4" w:space="0" w:color="999999"/>
        <w:insideV w:val="single" w:sz="4" w:space="0" w:color="999999"/>
      </w:tblBorders>
      <w:tblLayout w:type="fixed"/>
      <w:tblLook w:val="0400" w:firstRow="0" w:lastRow="0" w:firstColumn="0" w:lastColumn="0" w:noHBand="0" w:noVBand="1"/>
    </w:tblPr>
    <w:tblGrid>
      <w:gridCol w:w="3200"/>
      <w:gridCol w:w="3067"/>
      <w:gridCol w:w="3903"/>
    </w:tblGrid>
    <w:tr w:rsidR="00155420" w14:paraId="74412462" w14:textId="77777777">
      <w:trPr>
        <w:cantSplit/>
        <w:trHeight w:val="325"/>
      </w:trPr>
      <w:tc>
        <w:tcPr>
          <w:tcW w:w="3200" w:type="dxa"/>
          <w:tcBorders>
            <w:top w:val="single" w:sz="4" w:space="0" w:color="000000"/>
          </w:tcBorders>
        </w:tcPr>
        <w:p w14:paraId="5E9F0DAD" w14:textId="77777777" w:rsidR="00155420" w:rsidRDefault="00155420">
          <w:pPr>
            <w:keepNext w:val="0"/>
            <w:pBdr>
              <w:top w:val="nil"/>
              <w:left w:val="nil"/>
              <w:bottom w:val="nil"/>
              <w:right w:val="nil"/>
              <w:between w:val="nil"/>
            </w:pBdr>
            <w:tabs>
              <w:tab w:val="center" w:pos="4513"/>
              <w:tab w:val="right" w:pos="9026"/>
            </w:tabs>
            <w:spacing w:before="0"/>
            <w:ind w:left="-284" w:right="0"/>
            <w:rPr>
              <w:color w:val="000000"/>
              <w:sz w:val="14"/>
              <w:szCs w:val="14"/>
            </w:rPr>
          </w:pPr>
        </w:p>
      </w:tc>
      <w:tc>
        <w:tcPr>
          <w:tcW w:w="3067" w:type="dxa"/>
          <w:tcBorders>
            <w:top w:val="single" w:sz="4" w:space="0" w:color="000000"/>
          </w:tcBorders>
        </w:tcPr>
        <w:p w14:paraId="16DC96C4" w14:textId="77777777" w:rsidR="00155420" w:rsidRDefault="00155420">
          <w:pPr>
            <w:keepNext w:val="0"/>
            <w:pBdr>
              <w:top w:val="nil"/>
              <w:left w:val="nil"/>
              <w:bottom w:val="nil"/>
              <w:right w:val="nil"/>
              <w:between w:val="nil"/>
            </w:pBdr>
            <w:spacing w:before="0"/>
            <w:ind w:left="0" w:right="0"/>
            <w:jc w:val="right"/>
            <w:rPr>
              <w:rFonts w:ascii="Arial Black" w:eastAsia="Arial Black" w:hAnsi="Arial Black" w:cs="Arial Black"/>
              <w:color w:val="000000"/>
              <w:sz w:val="18"/>
              <w:szCs w:val="18"/>
            </w:rPr>
          </w:pPr>
        </w:p>
      </w:tc>
      <w:tc>
        <w:tcPr>
          <w:tcW w:w="3903" w:type="dxa"/>
          <w:tcBorders>
            <w:top w:val="single" w:sz="4" w:space="0" w:color="000000"/>
          </w:tcBorders>
          <w:vAlign w:val="bottom"/>
        </w:tcPr>
        <w:p w14:paraId="2790ACC7" w14:textId="77777777" w:rsidR="00155420" w:rsidRDefault="00155420">
          <w:pPr>
            <w:keepNext w:val="0"/>
            <w:pBdr>
              <w:top w:val="nil"/>
              <w:left w:val="nil"/>
              <w:bottom w:val="nil"/>
              <w:right w:val="nil"/>
              <w:between w:val="nil"/>
            </w:pBdr>
            <w:spacing w:before="0"/>
            <w:ind w:left="0" w:right="0"/>
            <w:jc w:val="right"/>
            <w:rPr>
              <w:rFonts w:ascii="Arial Black" w:eastAsia="Arial Black" w:hAnsi="Arial Black" w:cs="Arial Black"/>
              <w:color w:val="000000"/>
              <w:sz w:val="18"/>
              <w:szCs w:val="18"/>
            </w:rPr>
          </w:pPr>
        </w:p>
      </w:tc>
    </w:tr>
    <w:tr w:rsidR="00155420" w14:paraId="1FBC7B75" w14:textId="77777777">
      <w:trPr>
        <w:cantSplit/>
        <w:trHeight w:val="325"/>
      </w:trPr>
      <w:tc>
        <w:tcPr>
          <w:tcW w:w="3200" w:type="dxa"/>
          <w:vAlign w:val="bottom"/>
        </w:tcPr>
        <w:p w14:paraId="021DB87E" w14:textId="77777777" w:rsidR="00155420" w:rsidRDefault="00155420">
          <w:pPr>
            <w:keepNext w:val="0"/>
            <w:pBdr>
              <w:top w:val="nil"/>
              <w:left w:val="nil"/>
              <w:bottom w:val="nil"/>
              <w:right w:val="nil"/>
              <w:between w:val="nil"/>
            </w:pBdr>
            <w:tabs>
              <w:tab w:val="center" w:pos="4513"/>
              <w:tab w:val="right" w:pos="9026"/>
            </w:tabs>
            <w:spacing w:before="0"/>
            <w:ind w:left="0" w:right="0"/>
            <w:rPr>
              <w:color w:val="000000"/>
              <w:sz w:val="14"/>
              <w:szCs w:val="14"/>
            </w:rPr>
          </w:pPr>
        </w:p>
        <w:p w14:paraId="493B7B09" w14:textId="77777777" w:rsidR="00155420" w:rsidRDefault="00E84F93">
          <w:pPr>
            <w:keepNext w:val="0"/>
            <w:pBdr>
              <w:top w:val="nil"/>
              <w:left w:val="nil"/>
              <w:bottom w:val="nil"/>
              <w:right w:val="nil"/>
              <w:between w:val="nil"/>
            </w:pBdr>
            <w:tabs>
              <w:tab w:val="center" w:pos="4513"/>
              <w:tab w:val="right" w:pos="9026"/>
            </w:tabs>
            <w:spacing w:before="0"/>
            <w:ind w:left="0" w:right="0"/>
            <w:rPr>
              <w:color w:val="000000"/>
              <w:sz w:val="14"/>
              <w:szCs w:val="14"/>
            </w:rPr>
          </w:pPr>
          <w:r>
            <w:rPr>
              <w:noProof/>
              <w:color w:val="000000"/>
              <w:sz w:val="14"/>
              <w:szCs w:val="14"/>
              <w:lang w:val="en-PH"/>
            </w:rPr>
            <w:drawing>
              <wp:inline distT="0" distB="0" distL="0" distR="0" wp14:anchorId="248F8EF4" wp14:editId="326BF52B">
                <wp:extent cx="1620259" cy="15228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20259" cy="152280"/>
                        </a:xfrm>
                        <a:prstGeom prst="rect">
                          <a:avLst/>
                        </a:prstGeom>
                        <a:ln/>
                      </pic:spPr>
                    </pic:pic>
                  </a:graphicData>
                </a:graphic>
              </wp:inline>
            </w:drawing>
          </w:r>
        </w:p>
      </w:tc>
      <w:tc>
        <w:tcPr>
          <w:tcW w:w="3067" w:type="dxa"/>
          <w:vAlign w:val="bottom"/>
        </w:tcPr>
        <w:p w14:paraId="09EBEA22" w14:textId="77777777" w:rsidR="00155420" w:rsidRDefault="00155420">
          <w:pPr>
            <w:keepNext w:val="0"/>
            <w:pBdr>
              <w:top w:val="nil"/>
              <w:left w:val="nil"/>
              <w:bottom w:val="nil"/>
              <w:right w:val="nil"/>
              <w:between w:val="nil"/>
            </w:pBdr>
            <w:spacing w:before="0"/>
            <w:ind w:left="0" w:right="0"/>
            <w:jc w:val="right"/>
            <w:rPr>
              <w:rFonts w:ascii="Arial Black" w:eastAsia="Arial Black" w:hAnsi="Arial Black" w:cs="Arial Black"/>
              <w:color w:val="000000"/>
              <w:sz w:val="18"/>
              <w:szCs w:val="18"/>
            </w:rPr>
          </w:pPr>
        </w:p>
      </w:tc>
      <w:tc>
        <w:tcPr>
          <w:tcW w:w="3903" w:type="dxa"/>
          <w:vAlign w:val="bottom"/>
        </w:tcPr>
        <w:p w14:paraId="3A81C702" w14:textId="01D84878" w:rsidR="00155420" w:rsidRDefault="00E84F93">
          <w:pPr>
            <w:keepNext w:val="0"/>
            <w:pBdr>
              <w:top w:val="nil"/>
              <w:left w:val="nil"/>
              <w:bottom w:val="nil"/>
              <w:right w:val="nil"/>
              <w:between w:val="nil"/>
            </w:pBdr>
            <w:spacing w:before="0"/>
            <w:ind w:left="0" w:right="0"/>
            <w:jc w:val="right"/>
            <w:rPr>
              <w:rFonts w:ascii="Arial Black" w:eastAsia="Arial Black" w:hAnsi="Arial Black" w:cs="Arial Black"/>
              <w:color w:val="000000"/>
              <w:sz w:val="18"/>
              <w:szCs w:val="18"/>
            </w:rPr>
          </w:pPr>
          <w:r>
            <w:rPr>
              <w:rFonts w:ascii="Arial Black" w:eastAsia="Arial Black" w:hAnsi="Arial Black" w:cs="Arial Black"/>
              <w:color w:val="000000"/>
              <w:sz w:val="18"/>
              <w:szCs w:val="18"/>
            </w:rPr>
            <w:t xml:space="preserve">Page </w:t>
          </w:r>
          <w:r>
            <w:rPr>
              <w:rFonts w:ascii="Arial Black" w:eastAsia="Arial Black" w:hAnsi="Arial Black" w:cs="Arial Black"/>
              <w:color w:val="000000"/>
              <w:sz w:val="18"/>
              <w:szCs w:val="18"/>
            </w:rPr>
            <w:fldChar w:fldCharType="begin"/>
          </w:r>
          <w:r>
            <w:rPr>
              <w:rFonts w:ascii="Arial Black" w:eastAsia="Arial Black" w:hAnsi="Arial Black" w:cs="Arial Black"/>
              <w:color w:val="000000"/>
              <w:sz w:val="18"/>
              <w:szCs w:val="18"/>
            </w:rPr>
            <w:instrText>PAGE</w:instrText>
          </w:r>
          <w:r>
            <w:rPr>
              <w:rFonts w:ascii="Arial Black" w:eastAsia="Arial Black" w:hAnsi="Arial Black" w:cs="Arial Black"/>
              <w:color w:val="000000"/>
              <w:sz w:val="18"/>
              <w:szCs w:val="18"/>
            </w:rPr>
            <w:fldChar w:fldCharType="separate"/>
          </w:r>
          <w:r w:rsidR="000F43DF">
            <w:rPr>
              <w:rFonts w:ascii="Arial Black" w:eastAsia="Arial Black" w:hAnsi="Arial Black" w:cs="Arial Black"/>
              <w:noProof/>
              <w:color w:val="000000"/>
              <w:sz w:val="18"/>
              <w:szCs w:val="18"/>
            </w:rPr>
            <w:t>55</w:t>
          </w:r>
          <w:r>
            <w:rPr>
              <w:rFonts w:ascii="Arial Black" w:eastAsia="Arial Black" w:hAnsi="Arial Black" w:cs="Arial Black"/>
              <w:color w:val="000000"/>
              <w:sz w:val="18"/>
              <w:szCs w:val="18"/>
            </w:rPr>
            <w:fldChar w:fldCharType="end"/>
          </w:r>
          <w:r>
            <w:rPr>
              <w:rFonts w:ascii="Arial Black" w:eastAsia="Arial Black" w:hAnsi="Arial Black" w:cs="Arial Black"/>
              <w:color w:val="000000"/>
              <w:sz w:val="18"/>
              <w:szCs w:val="18"/>
            </w:rPr>
            <w:t xml:space="preserve"> of </w:t>
          </w:r>
          <w:r>
            <w:rPr>
              <w:rFonts w:ascii="Arial Black" w:eastAsia="Arial Black" w:hAnsi="Arial Black" w:cs="Arial Black"/>
              <w:color w:val="000000"/>
              <w:sz w:val="18"/>
              <w:szCs w:val="18"/>
            </w:rPr>
            <w:fldChar w:fldCharType="begin"/>
          </w:r>
          <w:r>
            <w:rPr>
              <w:rFonts w:ascii="Arial Black" w:eastAsia="Arial Black" w:hAnsi="Arial Black" w:cs="Arial Black"/>
              <w:color w:val="000000"/>
              <w:sz w:val="18"/>
              <w:szCs w:val="18"/>
            </w:rPr>
            <w:instrText>NUMPAGES</w:instrText>
          </w:r>
          <w:r>
            <w:rPr>
              <w:rFonts w:ascii="Arial Black" w:eastAsia="Arial Black" w:hAnsi="Arial Black" w:cs="Arial Black"/>
              <w:color w:val="000000"/>
              <w:sz w:val="18"/>
              <w:szCs w:val="18"/>
            </w:rPr>
            <w:fldChar w:fldCharType="separate"/>
          </w:r>
          <w:r w:rsidR="000F43DF">
            <w:rPr>
              <w:rFonts w:ascii="Arial Black" w:eastAsia="Arial Black" w:hAnsi="Arial Black" w:cs="Arial Black"/>
              <w:noProof/>
              <w:color w:val="000000"/>
              <w:sz w:val="18"/>
              <w:szCs w:val="18"/>
            </w:rPr>
            <w:t>56</w:t>
          </w:r>
          <w:r>
            <w:rPr>
              <w:rFonts w:ascii="Arial Black" w:eastAsia="Arial Black" w:hAnsi="Arial Black" w:cs="Arial Black"/>
              <w:color w:val="000000"/>
              <w:sz w:val="18"/>
              <w:szCs w:val="18"/>
            </w:rPr>
            <w:fldChar w:fldCharType="end"/>
          </w:r>
        </w:p>
      </w:tc>
    </w:tr>
    <w:tr w:rsidR="00155420" w14:paraId="648803CB" w14:textId="77777777">
      <w:trPr>
        <w:cantSplit/>
        <w:trHeight w:val="589"/>
      </w:trPr>
      <w:tc>
        <w:tcPr>
          <w:tcW w:w="3200" w:type="dxa"/>
        </w:tcPr>
        <w:p w14:paraId="1CD90847" w14:textId="77777777" w:rsidR="00155420" w:rsidRDefault="00155420">
          <w:pPr>
            <w:keepNext w:val="0"/>
            <w:pBdr>
              <w:top w:val="nil"/>
              <w:left w:val="nil"/>
              <w:bottom w:val="nil"/>
              <w:right w:val="nil"/>
              <w:between w:val="nil"/>
            </w:pBdr>
            <w:tabs>
              <w:tab w:val="center" w:pos="4513"/>
              <w:tab w:val="right" w:pos="9026"/>
            </w:tabs>
            <w:spacing w:before="0"/>
            <w:ind w:left="0" w:right="0"/>
            <w:rPr>
              <w:color w:val="000000"/>
              <w:sz w:val="14"/>
              <w:szCs w:val="14"/>
            </w:rPr>
          </w:pPr>
        </w:p>
        <w:p w14:paraId="4D1F5E4A" w14:textId="77777777" w:rsidR="00155420" w:rsidRDefault="00E84F93">
          <w:pPr>
            <w:keepNext w:val="0"/>
            <w:pBdr>
              <w:top w:val="nil"/>
              <w:left w:val="nil"/>
              <w:bottom w:val="nil"/>
              <w:right w:val="nil"/>
              <w:between w:val="nil"/>
            </w:pBdr>
            <w:tabs>
              <w:tab w:val="center" w:pos="4513"/>
              <w:tab w:val="right" w:pos="9026"/>
            </w:tabs>
            <w:spacing w:before="0"/>
            <w:ind w:left="0" w:right="0"/>
            <w:rPr>
              <w:color w:val="000000"/>
              <w:sz w:val="14"/>
              <w:szCs w:val="14"/>
            </w:rPr>
          </w:pPr>
          <w:r>
            <w:rPr>
              <w:color w:val="000000"/>
              <w:sz w:val="14"/>
              <w:szCs w:val="14"/>
            </w:rPr>
            <w:t>Full Review Form</w:t>
          </w:r>
        </w:p>
        <w:p w14:paraId="47711632" w14:textId="77777777" w:rsidR="00155420" w:rsidRDefault="00155420">
          <w:pPr>
            <w:keepNext w:val="0"/>
            <w:pBdr>
              <w:top w:val="nil"/>
              <w:left w:val="nil"/>
              <w:bottom w:val="nil"/>
              <w:right w:val="nil"/>
              <w:between w:val="nil"/>
            </w:pBdr>
            <w:tabs>
              <w:tab w:val="center" w:pos="4513"/>
              <w:tab w:val="right" w:pos="9026"/>
            </w:tabs>
            <w:spacing w:before="0"/>
            <w:ind w:left="0" w:right="0"/>
            <w:rPr>
              <w:color w:val="000000"/>
              <w:sz w:val="14"/>
              <w:szCs w:val="14"/>
            </w:rPr>
          </w:pPr>
        </w:p>
      </w:tc>
      <w:tc>
        <w:tcPr>
          <w:tcW w:w="3067" w:type="dxa"/>
          <w:vAlign w:val="bottom"/>
        </w:tcPr>
        <w:p w14:paraId="586D69C8" w14:textId="77777777" w:rsidR="00155420" w:rsidRDefault="00155420">
          <w:pPr>
            <w:keepNext w:val="0"/>
            <w:pBdr>
              <w:top w:val="nil"/>
              <w:left w:val="nil"/>
              <w:bottom w:val="nil"/>
              <w:right w:val="nil"/>
              <w:between w:val="nil"/>
            </w:pBdr>
            <w:spacing w:before="0"/>
            <w:ind w:left="0" w:right="0"/>
            <w:jc w:val="right"/>
            <w:rPr>
              <w:rFonts w:ascii="Arial Black" w:eastAsia="Arial Black" w:hAnsi="Arial Black" w:cs="Arial Black"/>
              <w:color w:val="000000"/>
              <w:sz w:val="18"/>
              <w:szCs w:val="18"/>
            </w:rPr>
          </w:pPr>
        </w:p>
      </w:tc>
      <w:tc>
        <w:tcPr>
          <w:tcW w:w="3903" w:type="dxa"/>
          <w:vAlign w:val="bottom"/>
        </w:tcPr>
        <w:p w14:paraId="788013E4" w14:textId="77777777" w:rsidR="00155420" w:rsidRDefault="00155420">
          <w:pPr>
            <w:keepNext w:val="0"/>
            <w:pBdr>
              <w:top w:val="nil"/>
              <w:left w:val="nil"/>
              <w:bottom w:val="nil"/>
              <w:right w:val="nil"/>
              <w:between w:val="nil"/>
            </w:pBdr>
            <w:spacing w:before="0"/>
            <w:ind w:left="0" w:right="0"/>
            <w:jc w:val="right"/>
            <w:rPr>
              <w:rFonts w:ascii="Arial Black" w:eastAsia="Arial Black" w:hAnsi="Arial Black" w:cs="Arial Black"/>
              <w:color w:val="000000"/>
              <w:sz w:val="18"/>
              <w:szCs w:val="18"/>
            </w:rPr>
          </w:pPr>
        </w:p>
      </w:tc>
    </w:tr>
  </w:tbl>
  <w:p w14:paraId="51066739" w14:textId="77777777" w:rsidR="00155420" w:rsidRDefault="00155420">
    <w:pPr>
      <w:pBdr>
        <w:top w:val="nil"/>
        <w:left w:val="nil"/>
        <w:bottom w:val="nil"/>
        <w:right w:val="nil"/>
        <w:between w:val="nil"/>
      </w:pBdr>
      <w:tabs>
        <w:tab w:val="center" w:pos="4513"/>
        <w:tab w:val="right" w:pos="9026"/>
      </w:tabs>
      <w:spacing w:after="0"/>
      <w:jc w:val="center"/>
      <w:rPr>
        <w:color w:val="000000"/>
        <w:sz w:val="14"/>
        <w:szCs w:val="14"/>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6B91F" w14:textId="77777777" w:rsidR="00155420" w:rsidRDefault="00155420">
    <w:pPr>
      <w:widowControl w:val="0"/>
      <w:pBdr>
        <w:top w:val="nil"/>
        <w:left w:val="nil"/>
        <w:bottom w:val="nil"/>
        <w:right w:val="nil"/>
        <w:between w:val="nil"/>
      </w:pBdr>
      <w:spacing w:after="0" w:line="276" w:lineRule="auto"/>
      <w:rPr>
        <w:color w:val="000000"/>
        <w:sz w:val="14"/>
        <w:szCs w:val="14"/>
      </w:rPr>
    </w:pPr>
  </w:p>
  <w:tbl>
    <w:tblPr>
      <w:tblStyle w:val="af4"/>
      <w:tblW w:w="10170" w:type="dxa"/>
      <w:tblBorders>
        <w:top w:val="single" w:sz="4" w:space="0" w:color="2E4DF9"/>
        <w:left w:val="single" w:sz="4" w:space="0" w:color="2E4DF9"/>
        <w:bottom w:val="single" w:sz="4" w:space="0" w:color="2E4DF9"/>
        <w:right w:val="single" w:sz="4" w:space="0" w:color="2E4DF9"/>
        <w:insideH w:val="single" w:sz="4" w:space="0" w:color="999999"/>
        <w:insideV w:val="single" w:sz="4" w:space="0" w:color="999999"/>
      </w:tblBorders>
      <w:tblLayout w:type="fixed"/>
      <w:tblLook w:val="0400" w:firstRow="0" w:lastRow="0" w:firstColumn="0" w:lastColumn="0" w:noHBand="0" w:noVBand="1"/>
    </w:tblPr>
    <w:tblGrid>
      <w:gridCol w:w="3200"/>
      <w:gridCol w:w="3067"/>
      <w:gridCol w:w="3903"/>
    </w:tblGrid>
    <w:tr w:rsidR="00155420" w14:paraId="2B68D91B" w14:textId="77777777">
      <w:trPr>
        <w:cantSplit/>
        <w:trHeight w:val="325"/>
      </w:trPr>
      <w:tc>
        <w:tcPr>
          <w:tcW w:w="3200" w:type="dxa"/>
          <w:tcBorders>
            <w:top w:val="single" w:sz="4" w:space="0" w:color="000000"/>
          </w:tcBorders>
        </w:tcPr>
        <w:p w14:paraId="0F98B767" w14:textId="77777777" w:rsidR="00155420" w:rsidRDefault="00155420">
          <w:pPr>
            <w:keepNext w:val="0"/>
            <w:pBdr>
              <w:top w:val="nil"/>
              <w:left w:val="nil"/>
              <w:bottom w:val="nil"/>
              <w:right w:val="nil"/>
              <w:between w:val="nil"/>
            </w:pBdr>
            <w:tabs>
              <w:tab w:val="center" w:pos="4513"/>
              <w:tab w:val="right" w:pos="9026"/>
            </w:tabs>
            <w:spacing w:before="0"/>
            <w:ind w:left="-284" w:right="0"/>
            <w:rPr>
              <w:color w:val="000000"/>
              <w:sz w:val="14"/>
              <w:szCs w:val="14"/>
            </w:rPr>
          </w:pPr>
        </w:p>
      </w:tc>
      <w:tc>
        <w:tcPr>
          <w:tcW w:w="3067" w:type="dxa"/>
          <w:tcBorders>
            <w:top w:val="single" w:sz="4" w:space="0" w:color="000000"/>
          </w:tcBorders>
        </w:tcPr>
        <w:p w14:paraId="70C0956D" w14:textId="77777777" w:rsidR="00155420" w:rsidRDefault="00155420">
          <w:pPr>
            <w:keepNext w:val="0"/>
            <w:pBdr>
              <w:top w:val="nil"/>
              <w:left w:val="nil"/>
              <w:bottom w:val="nil"/>
              <w:right w:val="nil"/>
              <w:between w:val="nil"/>
            </w:pBdr>
            <w:spacing w:before="0"/>
            <w:ind w:left="0" w:right="0"/>
            <w:jc w:val="right"/>
            <w:rPr>
              <w:rFonts w:ascii="Arial Black" w:eastAsia="Arial Black" w:hAnsi="Arial Black" w:cs="Arial Black"/>
              <w:color w:val="000000"/>
              <w:sz w:val="18"/>
              <w:szCs w:val="18"/>
            </w:rPr>
          </w:pPr>
        </w:p>
      </w:tc>
      <w:tc>
        <w:tcPr>
          <w:tcW w:w="3903" w:type="dxa"/>
          <w:tcBorders>
            <w:top w:val="single" w:sz="4" w:space="0" w:color="000000"/>
          </w:tcBorders>
          <w:vAlign w:val="bottom"/>
        </w:tcPr>
        <w:p w14:paraId="27315A7B" w14:textId="77777777" w:rsidR="00155420" w:rsidRDefault="00155420">
          <w:pPr>
            <w:keepNext w:val="0"/>
            <w:pBdr>
              <w:top w:val="nil"/>
              <w:left w:val="nil"/>
              <w:bottom w:val="nil"/>
              <w:right w:val="nil"/>
              <w:between w:val="nil"/>
            </w:pBdr>
            <w:spacing w:before="0"/>
            <w:ind w:left="0" w:right="0"/>
            <w:jc w:val="right"/>
            <w:rPr>
              <w:rFonts w:ascii="Arial Black" w:eastAsia="Arial Black" w:hAnsi="Arial Black" w:cs="Arial Black"/>
              <w:color w:val="000000"/>
              <w:sz w:val="18"/>
              <w:szCs w:val="18"/>
            </w:rPr>
          </w:pPr>
        </w:p>
      </w:tc>
    </w:tr>
    <w:tr w:rsidR="00155420" w14:paraId="3EB824AE" w14:textId="77777777">
      <w:trPr>
        <w:cantSplit/>
        <w:trHeight w:val="325"/>
      </w:trPr>
      <w:tc>
        <w:tcPr>
          <w:tcW w:w="3200" w:type="dxa"/>
          <w:vAlign w:val="bottom"/>
        </w:tcPr>
        <w:p w14:paraId="705DB207" w14:textId="77777777" w:rsidR="00155420" w:rsidRDefault="00155420">
          <w:pPr>
            <w:keepNext w:val="0"/>
            <w:pBdr>
              <w:top w:val="nil"/>
              <w:left w:val="nil"/>
              <w:bottom w:val="nil"/>
              <w:right w:val="nil"/>
              <w:between w:val="nil"/>
            </w:pBdr>
            <w:tabs>
              <w:tab w:val="center" w:pos="4513"/>
              <w:tab w:val="right" w:pos="9026"/>
            </w:tabs>
            <w:spacing w:before="0"/>
            <w:ind w:left="0" w:right="0"/>
            <w:rPr>
              <w:color w:val="000000"/>
              <w:sz w:val="14"/>
              <w:szCs w:val="14"/>
            </w:rPr>
          </w:pPr>
        </w:p>
        <w:p w14:paraId="5583B2D9" w14:textId="77777777" w:rsidR="00155420" w:rsidRDefault="00E84F93">
          <w:pPr>
            <w:keepNext w:val="0"/>
            <w:pBdr>
              <w:top w:val="nil"/>
              <w:left w:val="nil"/>
              <w:bottom w:val="nil"/>
              <w:right w:val="nil"/>
              <w:between w:val="nil"/>
            </w:pBdr>
            <w:tabs>
              <w:tab w:val="center" w:pos="4513"/>
              <w:tab w:val="right" w:pos="9026"/>
            </w:tabs>
            <w:spacing w:before="0"/>
            <w:ind w:left="0" w:right="0"/>
            <w:rPr>
              <w:color w:val="000000"/>
              <w:sz w:val="14"/>
              <w:szCs w:val="14"/>
            </w:rPr>
          </w:pPr>
          <w:r>
            <w:rPr>
              <w:noProof/>
              <w:color w:val="000000"/>
              <w:sz w:val="14"/>
              <w:szCs w:val="14"/>
              <w:lang w:val="en-PH"/>
            </w:rPr>
            <w:drawing>
              <wp:inline distT="0" distB="0" distL="0" distR="0" wp14:anchorId="72A933E2" wp14:editId="603846F5">
                <wp:extent cx="1620259" cy="15228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20259" cy="152280"/>
                        </a:xfrm>
                        <a:prstGeom prst="rect">
                          <a:avLst/>
                        </a:prstGeom>
                        <a:ln/>
                      </pic:spPr>
                    </pic:pic>
                  </a:graphicData>
                </a:graphic>
              </wp:inline>
            </w:drawing>
          </w:r>
        </w:p>
      </w:tc>
      <w:tc>
        <w:tcPr>
          <w:tcW w:w="3067" w:type="dxa"/>
          <w:vAlign w:val="bottom"/>
        </w:tcPr>
        <w:p w14:paraId="387115DC" w14:textId="77777777" w:rsidR="00155420" w:rsidRDefault="00155420">
          <w:pPr>
            <w:keepNext w:val="0"/>
            <w:pBdr>
              <w:top w:val="nil"/>
              <w:left w:val="nil"/>
              <w:bottom w:val="nil"/>
              <w:right w:val="nil"/>
              <w:between w:val="nil"/>
            </w:pBdr>
            <w:spacing w:before="0"/>
            <w:ind w:left="0" w:right="0"/>
            <w:jc w:val="right"/>
            <w:rPr>
              <w:rFonts w:ascii="Arial Black" w:eastAsia="Arial Black" w:hAnsi="Arial Black" w:cs="Arial Black"/>
              <w:color w:val="000000"/>
              <w:sz w:val="18"/>
              <w:szCs w:val="18"/>
            </w:rPr>
          </w:pPr>
        </w:p>
      </w:tc>
      <w:tc>
        <w:tcPr>
          <w:tcW w:w="3903" w:type="dxa"/>
          <w:vAlign w:val="bottom"/>
        </w:tcPr>
        <w:p w14:paraId="65606965" w14:textId="133929DC" w:rsidR="00155420" w:rsidRDefault="00E84F93">
          <w:pPr>
            <w:keepNext w:val="0"/>
            <w:pBdr>
              <w:top w:val="nil"/>
              <w:left w:val="nil"/>
              <w:bottom w:val="nil"/>
              <w:right w:val="nil"/>
              <w:between w:val="nil"/>
            </w:pBdr>
            <w:spacing w:before="0"/>
            <w:ind w:left="0" w:right="0"/>
            <w:jc w:val="right"/>
            <w:rPr>
              <w:rFonts w:ascii="Arial Black" w:eastAsia="Arial Black" w:hAnsi="Arial Black" w:cs="Arial Black"/>
              <w:color w:val="000000"/>
              <w:sz w:val="18"/>
              <w:szCs w:val="18"/>
            </w:rPr>
          </w:pPr>
          <w:r>
            <w:rPr>
              <w:rFonts w:ascii="Arial Black" w:eastAsia="Arial Black" w:hAnsi="Arial Black" w:cs="Arial Black"/>
              <w:color w:val="000000"/>
              <w:sz w:val="18"/>
              <w:szCs w:val="18"/>
            </w:rPr>
            <w:t xml:space="preserve">Page </w:t>
          </w:r>
          <w:r>
            <w:rPr>
              <w:rFonts w:ascii="Arial Black" w:eastAsia="Arial Black" w:hAnsi="Arial Black" w:cs="Arial Black"/>
              <w:color w:val="000000"/>
              <w:sz w:val="18"/>
              <w:szCs w:val="18"/>
            </w:rPr>
            <w:fldChar w:fldCharType="begin"/>
          </w:r>
          <w:r>
            <w:rPr>
              <w:rFonts w:ascii="Arial Black" w:eastAsia="Arial Black" w:hAnsi="Arial Black" w:cs="Arial Black"/>
              <w:color w:val="000000"/>
              <w:sz w:val="18"/>
              <w:szCs w:val="18"/>
            </w:rPr>
            <w:instrText>PAGE</w:instrText>
          </w:r>
          <w:r>
            <w:rPr>
              <w:rFonts w:ascii="Arial Black" w:eastAsia="Arial Black" w:hAnsi="Arial Black" w:cs="Arial Black"/>
              <w:color w:val="000000"/>
              <w:sz w:val="18"/>
              <w:szCs w:val="18"/>
            </w:rPr>
            <w:fldChar w:fldCharType="separate"/>
          </w:r>
          <w:r w:rsidR="000F43DF">
            <w:rPr>
              <w:rFonts w:ascii="Arial Black" w:eastAsia="Arial Black" w:hAnsi="Arial Black" w:cs="Arial Black"/>
              <w:noProof/>
              <w:color w:val="000000"/>
              <w:sz w:val="18"/>
              <w:szCs w:val="18"/>
            </w:rPr>
            <w:t>56</w:t>
          </w:r>
          <w:r>
            <w:rPr>
              <w:rFonts w:ascii="Arial Black" w:eastAsia="Arial Black" w:hAnsi="Arial Black" w:cs="Arial Black"/>
              <w:color w:val="000000"/>
              <w:sz w:val="18"/>
              <w:szCs w:val="18"/>
            </w:rPr>
            <w:fldChar w:fldCharType="end"/>
          </w:r>
          <w:r>
            <w:rPr>
              <w:rFonts w:ascii="Arial Black" w:eastAsia="Arial Black" w:hAnsi="Arial Black" w:cs="Arial Black"/>
              <w:color w:val="000000"/>
              <w:sz w:val="18"/>
              <w:szCs w:val="18"/>
            </w:rPr>
            <w:t xml:space="preserve"> of </w:t>
          </w:r>
          <w:r>
            <w:rPr>
              <w:rFonts w:ascii="Arial Black" w:eastAsia="Arial Black" w:hAnsi="Arial Black" w:cs="Arial Black"/>
              <w:color w:val="000000"/>
              <w:sz w:val="18"/>
              <w:szCs w:val="18"/>
            </w:rPr>
            <w:fldChar w:fldCharType="begin"/>
          </w:r>
          <w:r>
            <w:rPr>
              <w:rFonts w:ascii="Arial Black" w:eastAsia="Arial Black" w:hAnsi="Arial Black" w:cs="Arial Black"/>
              <w:color w:val="000000"/>
              <w:sz w:val="18"/>
              <w:szCs w:val="18"/>
            </w:rPr>
            <w:instrText>NUMPAGES</w:instrText>
          </w:r>
          <w:r>
            <w:rPr>
              <w:rFonts w:ascii="Arial Black" w:eastAsia="Arial Black" w:hAnsi="Arial Black" w:cs="Arial Black"/>
              <w:color w:val="000000"/>
              <w:sz w:val="18"/>
              <w:szCs w:val="18"/>
            </w:rPr>
            <w:fldChar w:fldCharType="separate"/>
          </w:r>
          <w:r w:rsidR="000F43DF">
            <w:rPr>
              <w:rFonts w:ascii="Arial Black" w:eastAsia="Arial Black" w:hAnsi="Arial Black" w:cs="Arial Black"/>
              <w:noProof/>
              <w:color w:val="000000"/>
              <w:sz w:val="18"/>
              <w:szCs w:val="18"/>
            </w:rPr>
            <w:t>56</w:t>
          </w:r>
          <w:r>
            <w:rPr>
              <w:rFonts w:ascii="Arial Black" w:eastAsia="Arial Black" w:hAnsi="Arial Black" w:cs="Arial Black"/>
              <w:color w:val="000000"/>
              <w:sz w:val="18"/>
              <w:szCs w:val="18"/>
            </w:rPr>
            <w:fldChar w:fldCharType="end"/>
          </w:r>
        </w:p>
      </w:tc>
    </w:tr>
    <w:tr w:rsidR="00155420" w14:paraId="641F34E2" w14:textId="77777777">
      <w:trPr>
        <w:cantSplit/>
        <w:trHeight w:val="589"/>
      </w:trPr>
      <w:tc>
        <w:tcPr>
          <w:tcW w:w="3200" w:type="dxa"/>
        </w:tcPr>
        <w:p w14:paraId="3963EAA6" w14:textId="77777777" w:rsidR="00155420" w:rsidRDefault="00155420">
          <w:pPr>
            <w:keepNext w:val="0"/>
            <w:pBdr>
              <w:top w:val="nil"/>
              <w:left w:val="nil"/>
              <w:bottom w:val="nil"/>
              <w:right w:val="nil"/>
              <w:between w:val="nil"/>
            </w:pBdr>
            <w:tabs>
              <w:tab w:val="center" w:pos="4513"/>
              <w:tab w:val="right" w:pos="9026"/>
            </w:tabs>
            <w:spacing w:before="0"/>
            <w:ind w:left="0" w:right="0"/>
            <w:rPr>
              <w:color w:val="000000"/>
              <w:sz w:val="14"/>
              <w:szCs w:val="14"/>
            </w:rPr>
          </w:pPr>
        </w:p>
        <w:p w14:paraId="492DA810" w14:textId="77777777" w:rsidR="00155420" w:rsidRDefault="00E84F93">
          <w:pPr>
            <w:keepNext w:val="0"/>
            <w:pBdr>
              <w:top w:val="nil"/>
              <w:left w:val="nil"/>
              <w:bottom w:val="nil"/>
              <w:right w:val="nil"/>
              <w:between w:val="nil"/>
            </w:pBdr>
            <w:tabs>
              <w:tab w:val="center" w:pos="4513"/>
              <w:tab w:val="right" w:pos="9026"/>
            </w:tabs>
            <w:spacing w:before="0"/>
            <w:ind w:left="0" w:right="0"/>
            <w:rPr>
              <w:color w:val="000000"/>
              <w:sz w:val="14"/>
              <w:szCs w:val="14"/>
            </w:rPr>
          </w:pPr>
          <w:r>
            <w:rPr>
              <w:color w:val="000000"/>
              <w:sz w:val="14"/>
              <w:szCs w:val="14"/>
            </w:rPr>
            <w:t>Full Review Form</w:t>
          </w:r>
        </w:p>
        <w:p w14:paraId="77954BC5" w14:textId="77777777" w:rsidR="00155420" w:rsidRDefault="00155420">
          <w:pPr>
            <w:keepNext w:val="0"/>
            <w:pBdr>
              <w:top w:val="nil"/>
              <w:left w:val="nil"/>
              <w:bottom w:val="nil"/>
              <w:right w:val="nil"/>
              <w:between w:val="nil"/>
            </w:pBdr>
            <w:tabs>
              <w:tab w:val="center" w:pos="4513"/>
              <w:tab w:val="right" w:pos="9026"/>
            </w:tabs>
            <w:spacing w:before="0"/>
            <w:ind w:left="0" w:right="0"/>
            <w:rPr>
              <w:color w:val="000000"/>
              <w:sz w:val="14"/>
              <w:szCs w:val="14"/>
            </w:rPr>
          </w:pPr>
        </w:p>
      </w:tc>
      <w:tc>
        <w:tcPr>
          <w:tcW w:w="3067" w:type="dxa"/>
          <w:vAlign w:val="bottom"/>
        </w:tcPr>
        <w:p w14:paraId="3588BC3A" w14:textId="77777777" w:rsidR="00155420" w:rsidRDefault="00155420">
          <w:pPr>
            <w:keepNext w:val="0"/>
            <w:pBdr>
              <w:top w:val="nil"/>
              <w:left w:val="nil"/>
              <w:bottom w:val="nil"/>
              <w:right w:val="nil"/>
              <w:between w:val="nil"/>
            </w:pBdr>
            <w:spacing w:before="0"/>
            <w:ind w:left="0" w:right="0"/>
            <w:jc w:val="right"/>
            <w:rPr>
              <w:rFonts w:ascii="Arial Black" w:eastAsia="Arial Black" w:hAnsi="Arial Black" w:cs="Arial Black"/>
              <w:color w:val="000000"/>
              <w:sz w:val="18"/>
              <w:szCs w:val="18"/>
            </w:rPr>
          </w:pPr>
        </w:p>
      </w:tc>
      <w:tc>
        <w:tcPr>
          <w:tcW w:w="3903" w:type="dxa"/>
          <w:vAlign w:val="bottom"/>
        </w:tcPr>
        <w:p w14:paraId="59A9DA0E" w14:textId="77777777" w:rsidR="00155420" w:rsidRDefault="00155420">
          <w:pPr>
            <w:keepNext w:val="0"/>
            <w:pBdr>
              <w:top w:val="nil"/>
              <w:left w:val="nil"/>
              <w:bottom w:val="nil"/>
              <w:right w:val="nil"/>
              <w:between w:val="nil"/>
            </w:pBdr>
            <w:spacing w:before="0"/>
            <w:ind w:left="0" w:right="0"/>
            <w:jc w:val="right"/>
            <w:rPr>
              <w:rFonts w:ascii="Arial Black" w:eastAsia="Arial Black" w:hAnsi="Arial Black" w:cs="Arial Black"/>
              <w:color w:val="000000"/>
              <w:sz w:val="18"/>
              <w:szCs w:val="18"/>
            </w:rPr>
          </w:pPr>
        </w:p>
      </w:tc>
    </w:tr>
  </w:tbl>
  <w:p w14:paraId="1C3CAE3A" w14:textId="77777777" w:rsidR="00155420" w:rsidRDefault="00155420">
    <w:pPr>
      <w:pBdr>
        <w:top w:val="nil"/>
        <w:left w:val="nil"/>
        <w:bottom w:val="nil"/>
        <w:right w:val="nil"/>
        <w:between w:val="nil"/>
      </w:pBdr>
      <w:tabs>
        <w:tab w:val="center" w:pos="4513"/>
        <w:tab w:val="right" w:pos="9026"/>
      </w:tabs>
      <w:spacing w:after="0"/>
      <w:rPr>
        <w:color w:val="000000"/>
        <w:sz w:val="14"/>
        <w:szCs w:val="1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1359F9" w14:textId="77777777" w:rsidR="00E84F93" w:rsidRDefault="00E84F93">
      <w:pPr>
        <w:spacing w:after="0"/>
      </w:pPr>
      <w:r>
        <w:separator/>
      </w:r>
    </w:p>
  </w:footnote>
  <w:footnote w:type="continuationSeparator" w:id="0">
    <w:p w14:paraId="4C79C610" w14:textId="77777777" w:rsidR="00E84F93" w:rsidRDefault="00E84F93">
      <w:pPr>
        <w:spacing w:after="0"/>
      </w:pPr>
      <w:r>
        <w:continuationSeparator/>
      </w:r>
    </w:p>
  </w:footnote>
  <w:footnote w:id="1">
    <w:p w14:paraId="6A070788" w14:textId="77777777" w:rsidR="00155420" w:rsidRDefault="00E84F93">
      <w:pPr>
        <w:numPr>
          <w:ilvl w:val="0"/>
          <w:numId w:val="22"/>
        </w:numPr>
        <w:pBdr>
          <w:top w:val="nil"/>
          <w:left w:val="nil"/>
          <w:bottom w:val="nil"/>
          <w:right w:val="nil"/>
          <w:between w:val="nil"/>
        </w:pBdr>
        <w:spacing w:line="264" w:lineRule="auto"/>
        <w:rPr>
          <w:color w:val="000000"/>
          <w:sz w:val="20"/>
          <w:szCs w:val="20"/>
        </w:rPr>
      </w:pPr>
      <w:r>
        <w:rPr>
          <w:vertAlign w:val="superscript"/>
        </w:rPr>
        <w:footnoteRef/>
      </w:r>
      <w:r>
        <w:rPr>
          <w:color w:val="000000"/>
          <w:sz w:val="24"/>
          <w:szCs w:val="24"/>
        </w:rPr>
        <w:t xml:space="preserve"> </w:t>
      </w:r>
      <w:r>
        <w:rPr>
          <w:color w:val="000000"/>
          <w:sz w:val="20"/>
          <w:szCs w:val="20"/>
        </w:rPr>
        <w:t>Multi-stakeholder consultations conducted among implementing partners (December 6-7, 2022), key affected population (Luzon-December 13-15, 2022 and Visayas/Mindanao-January 23, 2023), local government units (January 12, 2023), other DOH central offices (Ja</w:t>
      </w:r>
      <w:r>
        <w:rPr>
          <w:color w:val="000000"/>
          <w:sz w:val="20"/>
          <w:szCs w:val="20"/>
        </w:rPr>
        <w:t xml:space="preserve">nuary 17, 2023) and the private sector (January 31, 2023). </w:t>
      </w:r>
    </w:p>
    <w:p w14:paraId="2AB8E724" w14:textId="77777777" w:rsidR="00155420" w:rsidRDefault="00155420">
      <w:pPr>
        <w:pBdr>
          <w:top w:val="nil"/>
          <w:left w:val="nil"/>
          <w:bottom w:val="nil"/>
          <w:right w:val="nil"/>
          <w:between w:val="nil"/>
        </w:pBdr>
        <w:spacing w:after="0"/>
        <w:rPr>
          <w:color w:val="000000"/>
          <w:sz w:val="16"/>
          <w:szCs w:val="16"/>
        </w:rPr>
      </w:pPr>
    </w:p>
  </w:footnote>
  <w:footnote w:id="2">
    <w:p w14:paraId="128817CA" w14:textId="77777777" w:rsidR="00155420" w:rsidRDefault="00E84F93">
      <w:pPr>
        <w:pBdr>
          <w:top w:val="nil"/>
          <w:left w:val="nil"/>
          <w:bottom w:val="nil"/>
          <w:right w:val="nil"/>
          <w:between w:val="nil"/>
        </w:pBdr>
        <w:spacing w:after="0"/>
        <w:rPr>
          <w:color w:val="000000"/>
          <w:sz w:val="16"/>
          <w:szCs w:val="16"/>
        </w:rPr>
      </w:pPr>
      <w:r>
        <w:rPr>
          <w:vertAlign w:val="superscript"/>
        </w:rPr>
        <w:footnoteRef/>
      </w:r>
      <w:r>
        <w:rPr>
          <w:color w:val="000000"/>
          <w:sz w:val="16"/>
          <w:szCs w:val="16"/>
        </w:rPr>
        <w:t xml:space="preserve"> Only 6% of those interviewed has symptoms suggestive of TB at the time of the survey. 41% of those with symptoms did not take action, while 40% self-medicated. Only 19% consulted a health care </w:t>
      </w:r>
      <w:r>
        <w:rPr>
          <w:color w:val="000000"/>
          <w:sz w:val="16"/>
          <w:szCs w:val="16"/>
        </w:rPr>
        <w:t xml:space="preserve">worker, mostly from the public sector (67%). </w:t>
      </w:r>
    </w:p>
  </w:footnote>
  <w:footnote w:id="3">
    <w:p w14:paraId="0A054D58" w14:textId="77777777" w:rsidR="00155420" w:rsidRDefault="00E84F93">
      <w:pPr>
        <w:pBdr>
          <w:top w:val="nil"/>
          <w:left w:val="nil"/>
          <w:bottom w:val="nil"/>
          <w:right w:val="nil"/>
          <w:between w:val="nil"/>
        </w:pBdr>
        <w:spacing w:after="0"/>
        <w:rPr>
          <w:color w:val="000000"/>
          <w:sz w:val="16"/>
          <w:szCs w:val="16"/>
        </w:rPr>
      </w:pPr>
      <w:r>
        <w:rPr>
          <w:vertAlign w:val="superscript"/>
        </w:rPr>
        <w:footnoteRef/>
      </w:r>
      <w:r>
        <w:rPr>
          <w:color w:val="000000"/>
          <w:sz w:val="16"/>
          <w:szCs w:val="16"/>
        </w:rPr>
        <w:t xml:space="preserve"> Review Criteria of the Technical Review Panel - </w:t>
      </w:r>
      <w:hyperlink r:id="rId1" w:anchor="page=15">
        <w:r>
          <w:rPr>
            <w:color w:val="2E4DF9"/>
            <w:sz w:val="16"/>
            <w:szCs w:val="16"/>
            <w:u w:val="single"/>
          </w:rPr>
          <w:t>https://www.theglobalfund.org/media/3048/trp_techni</w:t>
        </w:r>
        <w:r>
          <w:rPr>
            <w:color w:val="2E4DF9"/>
            <w:sz w:val="16"/>
            <w:szCs w:val="16"/>
            <w:u w:val="single"/>
          </w:rPr>
          <w:t>calreviewpanel_tor_en.pdf#page=15</w:t>
        </w:r>
      </w:hyperlink>
      <w:r>
        <w:rPr>
          <w:color w:val="000000"/>
          <w:sz w:val="16"/>
          <w:szCs w:val="16"/>
        </w:rPr>
        <w:t xml:space="preserve"> </w:t>
      </w:r>
    </w:p>
  </w:footnote>
  <w:footnote w:id="4">
    <w:p w14:paraId="0874DBD9" w14:textId="77777777" w:rsidR="00155420" w:rsidRDefault="00E84F93">
      <w:pPr>
        <w:pBdr>
          <w:top w:val="nil"/>
          <w:left w:val="nil"/>
          <w:bottom w:val="nil"/>
          <w:right w:val="nil"/>
          <w:between w:val="nil"/>
        </w:pBdr>
        <w:spacing w:after="0"/>
        <w:rPr>
          <w:color w:val="000000"/>
          <w:sz w:val="16"/>
          <w:szCs w:val="16"/>
        </w:rPr>
      </w:pPr>
      <w:r>
        <w:rPr>
          <w:vertAlign w:val="superscript"/>
        </w:rPr>
        <w:footnoteRef/>
      </w:r>
      <w:r>
        <w:rPr>
          <w:color w:val="000000"/>
          <w:sz w:val="16"/>
          <w:szCs w:val="16"/>
        </w:rPr>
        <w:t xml:space="preserve"> Full Review Instructions - </w:t>
      </w:r>
      <w:hyperlink r:id="rId2">
        <w:r>
          <w:rPr>
            <w:color w:val="2E4DF9"/>
            <w:sz w:val="16"/>
            <w:szCs w:val="16"/>
            <w:u w:val="single"/>
          </w:rPr>
          <w:t>https://www.theglobalfund.org/media/5743/fundingrequest_fullreview_instructions_en.pdf</w:t>
        </w:r>
      </w:hyperlink>
      <w:r>
        <w:rPr>
          <w:color w:val="000000"/>
          <w:sz w:val="16"/>
          <w:szCs w:val="16"/>
        </w:rP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F011C" w14:textId="77777777" w:rsidR="00155420" w:rsidRDefault="00155420">
    <w:pPr>
      <w:widowControl w:val="0"/>
      <w:pBdr>
        <w:top w:val="nil"/>
        <w:left w:val="nil"/>
        <w:bottom w:val="nil"/>
        <w:right w:val="nil"/>
        <w:between w:val="nil"/>
      </w:pBdr>
      <w:spacing w:after="0" w:line="276" w:lineRule="auto"/>
      <w:rPr>
        <w:color w:val="000000"/>
        <w:sz w:val="14"/>
        <w:szCs w:val="14"/>
      </w:rPr>
    </w:pPr>
  </w:p>
  <w:tbl>
    <w:tblPr>
      <w:tblStyle w:val="af"/>
      <w:tblW w:w="9630" w:type="dxa"/>
      <w:tblLayout w:type="fixed"/>
      <w:tblLook w:val="0600" w:firstRow="0" w:lastRow="0" w:firstColumn="0" w:lastColumn="0" w:noHBand="1" w:noVBand="1"/>
    </w:tblPr>
    <w:tblGrid>
      <w:gridCol w:w="3210"/>
      <w:gridCol w:w="3210"/>
      <w:gridCol w:w="3210"/>
    </w:tblGrid>
    <w:tr w:rsidR="00155420" w14:paraId="3EF19496" w14:textId="77777777">
      <w:tc>
        <w:tcPr>
          <w:tcW w:w="3210" w:type="dxa"/>
        </w:tcPr>
        <w:p w14:paraId="5A7A821C" w14:textId="77777777" w:rsidR="00155420" w:rsidRDefault="00155420">
          <w:pPr>
            <w:pBdr>
              <w:top w:val="nil"/>
              <w:left w:val="nil"/>
              <w:bottom w:val="nil"/>
              <w:right w:val="nil"/>
              <w:between w:val="nil"/>
            </w:pBdr>
            <w:tabs>
              <w:tab w:val="center" w:pos="4513"/>
              <w:tab w:val="right" w:pos="9026"/>
            </w:tabs>
            <w:spacing w:after="0"/>
            <w:ind w:left="-115"/>
            <w:rPr>
              <w:color w:val="000000"/>
              <w:sz w:val="14"/>
              <w:szCs w:val="14"/>
            </w:rPr>
          </w:pPr>
        </w:p>
      </w:tc>
      <w:tc>
        <w:tcPr>
          <w:tcW w:w="3210" w:type="dxa"/>
        </w:tcPr>
        <w:p w14:paraId="28DE5E70" w14:textId="77777777" w:rsidR="00155420" w:rsidRDefault="00155420">
          <w:pPr>
            <w:pBdr>
              <w:top w:val="nil"/>
              <w:left w:val="nil"/>
              <w:bottom w:val="nil"/>
              <w:right w:val="nil"/>
              <w:between w:val="nil"/>
            </w:pBdr>
            <w:tabs>
              <w:tab w:val="center" w:pos="4513"/>
              <w:tab w:val="right" w:pos="9026"/>
            </w:tabs>
            <w:spacing w:after="0"/>
            <w:jc w:val="center"/>
            <w:rPr>
              <w:color w:val="000000"/>
              <w:sz w:val="14"/>
              <w:szCs w:val="14"/>
            </w:rPr>
          </w:pPr>
        </w:p>
      </w:tc>
      <w:tc>
        <w:tcPr>
          <w:tcW w:w="3210" w:type="dxa"/>
        </w:tcPr>
        <w:p w14:paraId="75D9C899" w14:textId="77777777" w:rsidR="00155420" w:rsidRDefault="00155420">
          <w:pPr>
            <w:pBdr>
              <w:top w:val="nil"/>
              <w:left w:val="nil"/>
              <w:bottom w:val="nil"/>
              <w:right w:val="nil"/>
              <w:between w:val="nil"/>
            </w:pBdr>
            <w:tabs>
              <w:tab w:val="center" w:pos="4513"/>
              <w:tab w:val="right" w:pos="9026"/>
            </w:tabs>
            <w:spacing w:after="0"/>
            <w:ind w:right="-115"/>
            <w:jc w:val="right"/>
            <w:rPr>
              <w:color w:val="000000"/>
              <w:sz w:val="14"/>
              <w:szCs w:val="14"/>
            </w:rPr>
          </w:pPr>
        </w:p>
      </w:tc>
    </w:tr>
  </w:tbl>
  <w:p w14:paraId="54DE13D6" w14:textId="77777777" w:rsidR="00155420" w:rsidRDefault="00155420">
    <w:pPr>
      <w:pBdr>
        <w:top w:val="nil"/>
        <w:left w:val="nil"/>
        <w:bottom w:val="nil"/>
        <w:right w:val="nil"/>
        <w:between w:val="nil"/>
      </w:pBdr>
      <w:tabs>
        <w:tab w:val="center" w:pos="4513"/>
        <w:tab w:val="right" w:pos="9026"/>
      </w:tabs>
      <w:spacing w:after="0"/>
      <w:rPr>
        <w:color w:val="000000"/>
        <w:sz w:val="14"/>
        <w:szCs w:val="1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4801A" w14:textId="77777777" w:rsidR="00155420" w:rsidRDefault="00155420">
    <w:pPr>
      <w:widowControl w:val="0"/>
      <w:pBdr>
        <w:top w:val="nil"/>
        <w:left w:val="nil"/>
        <w:bottom w:val="nil"/>
        <w:right w:val="nil"/>
        <w:between w:val="nil"/>
      </w:pBdr>
      <w:spacing w:after="0" w:line="276" w:lineRule="auto"/>
      <w:rPr>
        <w:color w:val="000000"/>
        <w:sz w:val="16"/>
        <w:szCs w:val="16"/>
      </w:rPr>
    </w:pPr>
  </w:p>
  <w:tbl>
    <w:tblPr>
      <w:tblStyle w:val="ae"/>
      <w:tblW w:w="10204" w:type="dxa"/>
      <w:tblBorders>
        <w:top w:val="single" w:sz="4" w:space="0" w:color="2E4DF9"/>
        <w:left w:val="single" w:sz="4" w:space="0" w:color="2E4DF9"/>
        <w:bottom w:val="single" w:sz="4" w:space="0" w:color="2E4DF9"/>
        <w:right w:val="single" w:sz="4" w:space="0" w:color="2E4DF9"/>
        <w:insideH w:val="single" w:sz="4" w:space="0" w:color="999999"/>
        <w:insideV w:val="single" w:sz="4" w:space="0" w:color="999999"/>
      </w:tblBorders>
      <w:tblLayout w:type="fixed"/>
      <w:tblLook w:val="0400" w:firstRow="0" w:lastRow="0" w:firstColumn="0" w:lastColumn="0" w:noHBand="0" w:noVBand="1"/>
    </w:tblPr>
    <w:tblGrid>
      <w:gridCol w:w="2400"/>
      <w:gridCol w:w="7804"/>
    </w:tblGrid>
    <w:tr w:rsidR="00155420" w14:paraId="27EB931B" w14:textId="77777777">
      <w:trPr>
        <w:cantSplit/>
        <w:trHeight w:val="2551"/>
      </w:trPr>
      <w:tc>
        <w:tcPr>
          <w:tcW w:w="2400" w:type="dxa"/>
        </w:tcPr>
        <w:p w14:paraId="2B733253" w14:textId="77777777" w:rsidR="00155420" w:rsidRDefault="00155420">
          <w:pPr>
            <w:keepNext w:val="0"/>
            <w:pBdr>
              <w:top w:val="nil"/>
              <w:left w:val="nil"/>
              <w:bottom w:val="nil"/>
              <w:right w:val="nil"/>
              <w:between w:val="nil"/>
            </w:pBdr>
            <w:tabs>
              <w:tab w:val="center" w:pos="4513"/>
              <w:tab w:val="right" w:pos="9026"/>
            </w:tabs>
            <w:spacing w:before="0"/>
            <w:ind w:left="0" w:right="0"/>
            <w:rPr>
              <w:color w:val="000000"/>
              <w:sz w:val="14"/>
              <w:szCs w:val="14"/>
            </w:rPr>
          </w:pPr>
        </w:p>
      </w:tc>
      <w:tc>
        <w:tcPr>
          <w:tcW w:w="7804" w:type="dxa"/>
        </w:tcPr>
        <w:p w14:paraId="7D5E5B90" w14:textId="77777777" w:rsidR="00155420" w:rsidRDefault="00155420">
          <w:pPr>
            <w:keepNext w:val="0"/>
            <w:pBdr>
              <w:top w:val="nil"/>
              <w:left w:val="nil"/>
              <w:bottom w:val="nil"/>
              <w:right w:val="nil"/>
              <w:between w:val="nil"/>
            </w:pBdr>
            <w:tabs>
              <w:tab w:val="center" w:pos="4513"/>
              <w:tab w:val="right" w:pos="9026"/>
            </w:tabs>
            <w:spacing w:before="0"/>
            <w:ind w:left="0" w:right="0"/>
            <w:rPr>
              <w:color w:val="000000"/>
              <w:sz w:val="14"/>
              <w:szCs w:val="14"/>
            </w:rPr>
          </w:pPr>
        </w:p>
      </w:tc>
    </w:tr>
    <w:tr w:rsidR="00155420" w14:paraId="5909F0C5" w14:textId="77777777">
      <w:trPr>
        <w:cantSplit/>
        <w:trHeight w:val="864"/>
      </w:trPr>
      <w:tc>
        <w:tcPr>
          <w:tcW w:w="2400" w:type="dxa"/>
        </w:tcPr>
        <w:p w14:paraId="13774CF3" w14:textId="77777777" w:rsidR="00155420" w:rsidRDefault="00E84F93">
          <w:pPr>
            <w:keepNext w:val="0"/>
            <w:pBdr>
              <w:top w:val="nil"/>
              <w:left w:val="nil"/>
              <w:bottom w:val="nil"/>
              <w:right w:val="nil"/>
              <w:between w:val="nil"/>
            </w:pBdr>
            <w:tabs>
              <w:tab w:val="center" w:pos="4513"/>
              <w:tab w:val="right" w:pos="9026"/>
            </w:tabs>
            <w:spacing w:before="0"/>
            <w:ind w:left="0" w:right="0"/>
            <w:jc w:val="center"/>
            <w:rPr>
              <w:color w:val="000000"/>
              <w:sz w:val="14"/>
              <w:szCs w:val="14"/>
            </w:rPr>
          </w:pPr>
          <w:r>
            <w:rPr>
              <w:noProof/>
              <w:color w:val="000000"/>
              <w:sz w:val="14"/>
              <w:szCs w:val="14"/>
              <w:lang w:val="en-PH"/>
            </w:rPr>
            <w:drawing>
              <wp:inline distT="0" distB="0" distL="0" distR="0" wp14:anchorId="3443144A" wp14:editId="0C6E389F">
                <wp:extent cx="1435608" cy="493776"/>
                <wp:effectExtent l="0" t="0" r="0" b="0"/>
                <wp:docPr id="6" name="image4.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text, clipart&#10;&#10;Description automatically generated"/>
                        <pic:cNvPicPr preferRelativeResize="0"/>
                      </pic:nvPicPr>
                      <pic:blipFill>
                        <a:blip r:embed="rId1"/>
                        <a:srcRect/>
                        <a:stretch>
                          <a:fillRect/>
                        </a:stretch>
                      </pic:blipFill>
                      <pic:spPr>
                        <a:xfrm>
                          <a:off x="0" y="0"/>
                          <a:ext cx="1435608" cy="493776"/>
                        </a:xfrm>
                        <a:prstGeom prst="rect">
                          <a:avLst/>
                        </a:prstGeom>
                        <a:ln/>
                      </pic:spPr>
                    </pic:pic>
                  </a:graphicData>
                </a:graphic>
              </wp:inline>
            </w:drawing>
          </w:r>
        </w:p>
      </w:tc>
      <w:tc>
        <w:tcPr>
          <w:tcW w:w="7804" w:type="dxa"/>
        </w:tcPr>
        <w:p w14:paraId="62CFCD75" w14:textId="77777777" w:rsidR="00155420" w:rsidRDefault="00155420">
          <w:pPr>
            <w:keepNext w:val="0"/>
            <w:pBdr>
              <w:top w:val="nil"/>
              <w:left w:val="nil"/>
              <w:bottom w:val="nil"/>
              <w:right w:val="nil"/>
              <w:between w:val="nil"/>
            </w:pBdr>
            <w:tabs>
              <w:tab w:val="center" w:pos="4513"/>
              <w:tab w:val="right" w:pos="9026"/>
            </w:tabs>
            <w:spacing w:before="0"/>
            <w:ind w:left="0" w:right="0"/>
            <w:rPr>
              <w:color w:val="000000"/>
              <w:sz w:val="14"/>
              <w:szCs w:val="14"/>
            </w:rPr>
          </w:pPr>
        </w:p>
      </w:tc>
    </w:tr>
    <w:tr w:rsidR="00155420" w14:paraId="5F84DE62" w14:textId="77777777">
      <w:trPr>
        <w:cantSplit/>
        <w:trHeight w:val="1417"/>
      </w:trPr>
      <w:tc>
        <w:tcPr>
          <w:tcW w:w="2400" w:type="dxa"/>
        </w:tcPr>
        <w:p w14:paraId="6D66ABA7" w14:textId="77777777" w:rsidR="00155420" w:rsidRDefault="00155420">
          <w:pPr>
            <w:keepNext w:val="0"/>
            <w:pBdr>
              <w:top w:val="nil"/>
              <w:left w:val="nil"/>
              <w:bottom w:val="nil"/>
              <w:right w:val="nil"/>
              <w:between w:val="nil"/>
            </w:pBdr>
            <w:tabs>
              <w:tab w:val="center" w:pos="4513"/>
              <w:tab w:val="right" w:pos="9026"/>
            </w:tabs>
            <w:spacing w:before="0"/>
            <w:ind w:left="0" w:right="0"/>
            <w:rPr>
              <w:color w:val="000000"/>
              <w:sz w:val="14"/>
              <w:szCs w:val="14"/>
            </w:rPr>
          </w:pPr>
        </w:p>
      </w:tc>
      <w:tc>
        <w:tcPr>
          <w:tcW w:w="7804" w:type="dxa"/>
        </w:tcPr>
        <w:p w14:paraId="16D409B3" w14:textId="77777777" w:rsidR="00155420" w:rsidRDefault="00155420">
          <w:pPr>
            <w:keepNext w:val="0"/>
            <w:pBdr>
              <w:top w:val="nil"/>
              <w:left w:val="nil"/>
              <w:bottom w:val="nil"/>
              <w:right w:val="nil"/>
              <w:between w:val="nil"/>
            </w:pBdr>
            <w:tabs>
              <w:tab w:val="center" w:pos="4513"/>
              <w:tab w:val="right" w:pos="9026"/>
            </w:tabs>
            <w:spacing w:before="0"/>
            <w:ind w:left="0" w:right="0"/>
            <w:rPr>
              <w:color w:val="000000"/>
              <w:sz w:val="14"/>
              <w:szCs w:val="14"/>
            </w:rPr>
          </w:pPr>
        </w:p>
      </w:tc>
    </w:tr>
  </w:tbl>
  <w:p w14:paraId="075444F3" w14:textId="77777777" w:rsidR="00155420" w:rsidRDefault="00E84F93">
    <w:pPr>
      <w:pBdr>
        <w:top w:val="nil"/>
        <w:left w:val="nil"/>
        <w:bottom w:val="nil"/>
        <w:right w:val="nil"/>
        <w:between w:val="nil"/>
      </w:pBdr>
      <w:tabs>
        <w:tab w:val="center" w:pos="4513"/>
        <w:tab w:val="right" w:pos="9026"/>
      </w:tabs>
      <w:spacing w:after="0"/>
      <w:rPr>
        <w:color w:val="000000"/>
        <w:sz w:val="14"/>
        <w:szCs w:val="14"/>
      </w:rPr>
    </w:pPr>
    <w:r>
      <w:rPr>
        <w:noProof/>
        <w:color w:val="000000"/>
        <w:sz w:val="14"/>
        <w:szCs w:val="14"/>
        <w:lang w:val="en-PH"/>
      </w:rPr>
      <w:drawing>
        <wp:anchor distT="0" distB="0" distL="0" distR="0" simplePos="0" relativeHeight="251658240" behindDoc="1" locked="0" layoutInCell="1" hidden="0" allowOverlap="1" wp14:anchorId="7B7EE827" wp14:editId="4E9D0971">
          <wp:simplePos x="0" y="0"/>
          <wp:positionH relativeFrom="page">
            <wp:posOffset>0</wp:posOffset>
          </wp:positionH>
          <wp:positionV relativeFrom="page">
            <wp:posOffset>0</wp:posOffset>
          </wp:positionV>
          <wp:extent cx="7558560" cy="1571040"/>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7558560" cy="15710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F3834" w14:textId="77777777" w:rsidR="00155420" w:rsidRDefault="00155420">
    <w:pPr>
      <w:pBdr>
        <w:top w:val="nil"/>
        <w:left w:val="nil"/>
        <w:bottom w:val="nil"/>
        <w:right w:val="nil"/>
        <w:between w:val="nil"/>
      </w:pBdr>
      <w:tabs>
        <w:tab w:val="center" w:pos="4513"/>
        <w:tab w:val="right" w:pos="9026"/>
      </w:tabs>
      <w:spacing w:after="0"/>
      <w:rPr>
        <w:color w:val="000000"/>
        <w:sz w:val="14"/>
        <w:szCs w:val="14"/>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AF7C8" w14:textId="77777777" w:rsidR="00155420" w:rsidRDefault="00155420">
    <w:pPr>
      <w:pBdr>
        <w:top w:val="nil"/>
        <w:left w:val="nil"/>
        <w:bottom w:val="nil"/>
        <w:right w:val="nil"/>
        <w:between w:val="nil"/>
      </w:pBdr>
      <w:tabs>
        <w:tab w:val="center" w:pos="4513"/>
        <w:tab w:val="right" w:pos="9026"/>
      </w:tabs>
      <w:spacing w:after="0"/>
      <w:rPr>
        <w:color w:val="000000"/>
        <w:sz w:val="14"/>
        <w:szCs w:val="1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4154"/>
    <w:multiLevelType w:val="multilevel"/>
    <w:tmpl w:val="E95AC0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0300D7"/>
    <w:multiLevelType w:val="multilevel"/>
    <w:tmpl w:val="BEE268B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5CE61F7"/>
    <w:multiLevelType w:val="multilevel"/>
    <w:tmpl w:val="F9E8E770"/>
    <w:lvl w:ilvl="0">
      <w:start w:val="1"/>
      <w:numFmt w:val="bullet"/>
      <w:lvlText w:val="●"/>
      <w:lvlJc w:val="left"/>
      <w:pPr>
        <w:ind w:left="360" w:hanging="360"/>
      </w:pPr>
      <w:rPr>
        <w:rFonts w:ascii="Noto Sans Symbols" w:eastAsia="Noto Sans Symbols" w:hAnsi="Noto Sans Symbols" w:cs="Noto Sans Symbols"/>
        <w:i/>
      </w:rPr>
    </w:lvl>
    <w:lvl w:ilvl="1">
      <w:start w:val="1"/>
      <w:numFmt w:val="decimal"/>
      <w:lvlText w:val="●.%2"/>
      <w:lvlJc w:val="left"/>
      <w:pPr>
        <w:ind w:left="420" w:hanging="420"/>
      </w:pPr>
    </w:lvl>
    <w:lvl w:ilvl="2">
      <w:start w:val="1"/>
      <w:numFmt w:val="decimal"/>
      <w:lvlText w:val="●.%2.%3"/>
      <w:lvlJc w:val="left"/>
      <w:pPr>
        <w:ind w:left="720" w:hanging="720"/>
      </w:pPr>
    </w:lvl>
    <w:lvl w:ilvl="3">
      <w:start w:val="1"/>
      <w:numFmt w:val="decimal"/>
      <w:lvlText w:val="●.%2.%3.%4"/>
      <w:lvlJc w:val="left"/>
      <w:pPr>
        <w:ind w:left="720" w:hanging="720"/>
      </w:pPr>
    </w:lvl>
    <w:lvl w:ilvl="4">
      <w:start w:val="1"/>
      <w:numFmt w:val="decimal"/>
      <w:lvlText w:val="●.%2.%3.%4.%5"/>
      <w:lvlJc w:val="left"/>
      <w:pPr>
        <w:ind w:left="1080" w:hanging="1080"/>
      </w:pPr>
    </w:lvl>
    <w:lvl w:ilvl="5">
      <w:start w:val="1"/>
      <w:numFmt w:val="decimal"/>
      <w:lvlText w:val="●.%2.%3.%4.%5.%6"/>
      <w:lvlJc w:val="left"/>
      <w:pPr>
        <w:ind w:left="1080" w:hanging="1080"/>
      </w:pPr>
    </w:lvl>
    <w:lvl w:ilvl="6">
      <w:start w:val="1"/>
      <w:numFmt w:val="decimal"/>
      <w:lvlText w:val="●.%2.%3.%4.%5.%6.%7"/>
      <w:lvlJc w:val="left"/>
      <w:pPr>
        <w:ind w:left="1440" w:hanging="1440"/>
      </w:pPr>
    </w:lvl>
    <w:lvl w:ilvl="7">
      <w:start w:val="1"/>
      <w:numFmt w:val="decimal"/>
      <w:lvlText w:val="●.%2.%3.%4.%5.%6.%7.%8"/>
      <w:lvlJc w:val="left"/>
      <w:pPr>
        <w:ind w:left="1440" w:hanging="1440"/>
      </w:pPr>
    </w:lvl>
    <w:lvl w:ilvl="8">
      <w:start w:val="1"/>
      <w:numFmt w:val="decimal"/>
      <w:lvlText w:val="●.%2.%3.%4.%5.%6.%7.%8.%9"/>
      <w:lvlJc w:val="left"/>
      <w:pPr>
        <w:ind w:left="1800" w:hanging="1800"/>
      </w:pPr>
    </w:lvl>
  </w:abstractNum>
  <w:abstractNum w:abstractNumId="3" w15:restartNumberingAfterBreak="0">
    <w:nsid w:val="07474FB8"/>
    <w:multiLevelType w:val="multilevel"/>
    <w:tmpl w:val="09821160"/>
    <w:lvl w:ilvl="0">
      <w:start w:val="2"/>
      <w:numFmt w:val="decimal"/>
      <w:lvlText w:val="Section %1."/>
      <w:lvlJc w:val="left"/>
      <w:pPr>
        <w:ind w:left="1800" w:hanging="1800"/>
      </w:pPr>
    </w:lvl>
    <w:lvl w:ilvl="1">
      <w:start w:val="1"/>
      <w:numFmt w:val="decimal"/>
      <w:lvlText w:val="1.%2"/>
      <w:lvlJc w:val="left"/>
      <w:pPr>
        <w:ind w:left="360" w:hanging="360"/>
      </w:pPr>
    </w:lvl>
    <w:lvl w:ilvl="2">
      <w:start w:val="1"/>
      <w:numFmt w:val="upperLetter"/>
      <w:lvlText w:val="%3."/>
      <w:lvlJc w:val="left"/>
      <w:pPr>
        <w:ind w:left="851" w:hanging="851"/>
      </w:pPr>
    </w:lvl>
    <w:lvl w:ilvl="3">
      <w:start w:val="1"/>
      <w:numFmt w:val="decimal"/>
      <w:lvlText w:val="%1.%2.%3.%4"/>
      <w:lvlJc w:val="left"/>
      <w:pPr>
        <w:ind w:left="964" w:hanging="964"/>
      </w:pPr>
    </w:lvl>
    <w:lvl w:ilvl="4">
      <w:start w:val="1"/>
      <w:numFmt w:val="decimal"/>
      <w:lvlText w:val="%1.%2.%3.%4.%5"/>
      <w:lvlJc w:val="left"/>
      <w:pPr>
        <w:ind w:left="1191" w:hanging="1191"/>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0A480B00"/>
    <w:multiLevelType w:val="multilevel"/>
    <w:tmpl w:val="59E88E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0E626A71"/>
    <w:multiLevelType w:val="multilevel"/>
    <w:tmpl w:val="972CEF12"/>
    <w:lvl w:ilvl="0">
      <w:start w:val="1"/>
      <w:numFmt w:val="bullet"/>
      <w:lvlText w:val="●"/>
      <w:lvlJc w:val="left"/>
      <w:pPr>
        <w:ind w:left="360" w:hanging="360"/>
      </w:pPr>
      <w:rPr>
        <w:rFonts w:ascii="Noto Sans Symbols" w:eastAsia="Noto Sans Symbols" w:hAnsi="Noto Sans Symbols" w:cs="Noto Sans Symbols"/>
        <w:i/>
      </w:rPr>
    </w:lvl>
    <w:lvl w:ilvl="1">
      <w:start w:val="1"/>
      <w:numFmt w:val="decimal"/>
      <w:lvlText w:val="●.%2"/>
      <w:lvlJc w:val="left"/>
      <w:pPr>
        <w:ind w:left="420" w:hanging="420"/>
      </w:pPr>
    </w:lvl>
    <w:lvl w:ilvl="2">
      <w:start w:val="1"/>
      <w:numFmt w:val="decimal"/>
      <w:lvlText w:val="●.%2.%3"/>
      <w:lvlJc w:val="left"/>
      <w:pPr>
        <w:ind w:left="720" w:hanging="720"/>
      </w:pPr>
    </w:lvl>
    <w:lvl w:ilvl="3">
      <w:start w:val="1"/>
      <w:numFmt w:val="decimal"/>
      <w:lvlText w:val="●.%2.%3.%4"/>
      <w:lvlJc w:val="left"/>
      <w:pPr>
        <w:ind w:left="720" w:hanging="720"/>
      </w:pPr>
    </w:lvl>
    <w:lvl w:ilvl="4">
      <w:start w:val="1"/>
      <w:numFmt w:val="decimal"/>
      <w:lvlText w:val="●.%2.%3.%4.%5"/>
      <w:lvlJc w:val="left"/>
      <w:pPr>
        <w:ind w:left="1080" w:hanging="1080"/>
      </w:pPr>
    </w:lvl>
    <w:lvl w:ilvl="5">
      <w:start w:val="1"/>
      <w:numFmt w:val="decimal"/>
      <w:lvlText w:val="●.%2.%3.%4.%5.%6"/>
      <w:lvlJc w:val="left"/>
      <w:pPr>
        <w:ind w:left="1080" w:hanging="1080"/>
      </w:pPr>
    </w:lvl>
    <w:lvl w:ilvl="6">
      <w:start w:val="1"/>
      <w:numFmt w:val="decimal"/>
      <w:lvlText w:val="●.%2.%3.%4.%5.%6.%7"/>
      <w:lvlJc w:val="left"/>
      <w:pPr>
        <w:ind w:left="1440" w:hanging="1440"/>
      </w:pPr>
    </w:lvl>
    <w:lvl w:ilvl="7">
      <w:start w:val="1"/>
      <w:numFmt w:val="decimal"/>
      <w:lvlText w:val="●.%2.%3.%4.%5.%6.%7.%8"/>
      <w:lvlJc w:val="left"/>
      <w:pPr>
        <w:ind w:left="1440" w:hanging="1440"/>
      </w:pPr>
    </w:lvl>
    <w:lvl w:ilvl="8">
      <w:start w:val="1"/>
      <w:numFmt w:val="decimal"/>
      <w:lvlText w:val="●.%2.%3.%4.%5.%6.%7.%8.%9"/>
      <w:lvlJc w:val="left"/>
      <w:pPr>
        <w:ind w:left="1800" w:hanging="1800"/>
      </w:pPr>
    </w:lvl>
  </w:abstractNum>
  <w:abstractNum w:abstractNumId="6" w15:restartNumberingAfterBreak="0">
    <w:nsid w:val="12365D34"/>
    <w:multiLevelType w:val="multilevel"/>
    <w:tmpl w:val="A7285496"/>
    <w:lvl w:ilvl="0">
      <w:start w:val="1"/>
      <w:numFmt w:val="bullet"/>
      <w:lvlText w:val="●"/>
      <w:lvlJc w:val="left"/>
      <w:pPr>
        <w:ind w:left="360" w:hanging="360"/>
      </w:pPr>
      <w:rPr>
        <w:rFonts w:ascii="Noto Sans Symbols" w:eastAsia="Noto Sans Symbols" w:hAnsi="Noto Sans Symbols" w:cs="Noto Sans Symbols"/>
        <w:i/>
      </w:rPr>
    </w:lvl>
    <w:lvl w:ilvl="1">
      <w:start w:val="1"/>
      <w:numFmt w:val="decimal"/>
      <w:lvlText w:val="●.%2"/>
      <w:lvlJc w:val="left"/>
      <w:pPr>
        <w:ind w:left="420" w:hanging="420"/>
      </w:pPr>
    </w:lvl>
    <w:lvl w:ilvl="2">
      <w:start w:val="1"/>
      <w:numFmt w:val="decimal"/>
      <w:lvlText w:val="●.%2.%3"/>
      <w:lvlJc w:val="left"/>
      <w:pPr>
        <w:ind w:left="720" w:hanging="720"/>
      </w:pPr>
    </w:lvl>
    <w:lvl w:ilvl="3">
      <w:start w:val="1"/>
      <w:numFmt w:val="decimal"/>
      <w:lvlText w:val="●.%2.%3.%4"/>
      <w:lvlJc w:val="left"/>
      <w:pPr>
        <w:ind w:left="720" w:hanging="720"/>
      </w:pPr>
    </w:lvl>
    <w:lvl w:ilvl="4">
      <w:start w:val="1"/>
      <w:numFmt w:val="decimal"/>
      <w:lvlText w:val="●.%2.%3.%4.%5"/>
      <w:lvlJc w:val="left"/>
      <w:pPr>
        <w:ind w:left="1080" w:hanging="1080"/>
      </w:pPr>
    </w:lvl>
    <w:lvl w:ilvl="5">
      <w:start w:val="1"/>
      <w:numFmt w:val="decimal"/>
      <w:lvlText w:val="●.%2.%3.%4.%5.%6"/>
      <w:lvlJc w:val="left"/>
      <w:pPr>
        <w:ind w:left="1080" w:hanging="1080"/>
      </w:pPr>
    </w:lvl>
    <w:lvl w:ilvl="6">
      <w:start w:val="1"/>
      <w:numFmt w:val="decimal"/>
      <w:lvlText w:val="●.%2.%3.%4.%5.%6.%7"/>
      <w:lvlJc w:val="left"/>
      <w:pPr>
        <w:ind w:left="1440" w:hanging="1440"/>
      </w:pPr>
    </w:lvl>
    <w:lvl w:ilvl="7">
      <w:start w:val="1"/>
      <w:numFmt w:val="decimal"/>
      <w:lvlText w:val="●.%2.%3.%4.%5.%6.%7.%8"/>
      <w:lvlJc w:val="left"/>
      <w:pPr>
        <w:ind w:left="1440" w:hanging="1440"/>
      </w:pPr>
    </w:lvl>
    <w:lvl w:ilvl="8">
      <w:start w:val="1"/>
      <w:numFmt w:val="decimal"/>
      <w:lvlText w:val="●.%2.%3.%4.%5.%6.%7.%8.%9"/>
      <w:lvlJc w:val="left"/>
      <w:pPr>
        <w:ind w:left="1800" w:hanging="1800"/>
      </w:pPr>
    </w:lvl>
  </w:abstractNum>
  <w:abstractNum w:abstractNumId="7" w15:restartNumberingAfterBreak="0">
    <w:nsid w:val="127F4FA4"/>
    <w:multiLevelType w:val="multilevel"/>
    <w:tmpl w:val="2ABA7E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4233559"/>
    <w:multiLevelType w:val="multilevel"/>
    <w:tmpl w:val="889659A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9674CF9"/>
    <w:multiLevelType w:val="multilevel"/>
    <w:tmpl w:val="637AA2F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1F535B47"/>
    <w:multiLevelType w:val="multilevel"/>
    <w:tmpl w:val="D3223F0A"/>
    <w:lvl w:ilvl="0">
      <w:start w:val="1"/>
      <w:numFmt w:val="bullet"/>
      <w:lvlText w:val="●"/>
      <w:lvlJc w:val="left"/>
      <w:pPr>
        <w:ind w:left="360" w:hanging="360"/>
      </w:pPr>
      <w:rPr>
        <w:rFonts w:ascii="Noto Sans Symbols" w:eastAsia="Noto Sans Symbols" w:hAnsi="Noto Sans Symbols" w:cs="Noto Sans Symbols"/>
        <w:i/>
      </w:rPr>
    </w:lvl>
    <w:lvl w:ilvl="1">
      <w:start w:val="1"/>
      <w:numFmt w:val="decimal"/>
      <w:lvlText w:val="●.%2"/>
      <w:lvlJc w:val="left"/>
      <w:pPr>
        <w:ind w:left="420" w:hanging="420"/>
      </w:pPr>
    </w:lvl>
    <w:lvl w:ilvl="2">
      <w:start w:val="1"/>
      <w:numFmt w:val="decimal"/>
      <w:lvlText w:val="●.%2.%3"/>
      <w:lvlJc w:val="left"/>
      <w:pPr>
        <w:ind w:left="720" w:hanging="720"/>
      </w:pPr>
    </w:lvl>
    <w:lvl w:ilvl="3">
      <w:start w:val="1"/>
      <w:numFmt w:val="decimal"/>
      <w:lvlText w:val="●.%2.%3.%4"/>
      <w:lvlJc w:val="left"/>
      <w:pPr>
        <w:ind w:left="720" w:hanging="720"/>
      </w:pPr>
    </w:lvl>
    <w:lvl w:ilvl="4">
      <w:start w:val="1"/>
      <w:numFmt w:val="decimal"/>
      <w:lvlText w:val="●.%2.%3.%4.%5"/>
      <w:lvlJc w:val="left"/>
      <w:pPr>
        <w:ind w:left="1080" w:hanging="1080"/>
      </w:pPr>
    </w:lvl>
    <w:lvl w:ilvl="5">
      <w:start w:val="1"/>
      <w:numFmt w:val="decimal"/>
      <w:lvlText w:val="●.%2.%3.%4.%5.%6"/>
      <w:lvlJc w:val="left"/>
      <w:pPr>
        <w:ind w:left="1080" w:hanging="1080"/>
      </w:pPr>
    </w:lvl>
    <w:lvl w:ilvl="6">
      <w:start w:val="1"/>
      <w:numFmt w:val="decimal"/>
      <w:lvlText w:val="●.%2.%3.%4.%5.%6.%7"/>
      <w:lvlJc w:val="left"/>
      <w:pPr>
        <w:ind w:left="1440" w:hanging="1440"/>
      </w:pPr>
    </w:lvl>
    <w:lvl w:ilvl="7">
      <w:start w:val="1"/>
      <w:numFmt w:val="decimal"/>
      <w:lvlText w:val="●.%2.%3.%4.%5.%6.%7.%8"/>
      <w:lvlJc w:val="left"/>
      <w:pPr>
        <w:ind w:left="1440" w:hanging="1440"/>
      </w:pPr>
    </w:lvl>
    <w:lvl w:ilvl="8">
      <w:start w:val="1"/>
      <w:numFmt w:val="decimal"/>
      <w:lvlText w:val="●.%2.%3.%4.%5.%6.%7.%8.%9"/>
      <w:lvlJc w:val="left"/>
      <w:pPr>
        <w:ind w:left="1800" w:hanging="1800"/>
      </w:pPr>
    </w:lvl>
  </w:abstractNum>
  <w:abstractNum w:abstractNumId="11" w15:restartNumberingAfterBreak="0">
    <w:nsid w:val="1F554892"/>
    <w:multiLevelType w:val="multilevel"/>
    <w:tmpl w:val="77BE24B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22D16456"/>
    <w:multiLevelType w:val="multilevel"/>
    <w:tmpl w:val="17AEF63C"/>
    <w:lvl w:ilvl="0">
      <w:start w:val="1"/>
      <w:numFmt w:val="bullet"/>
      <w:lvlText w:val="●"/>
      <w:lvlJc w:val="left"/>
      <w:pPr>
        <w:ind w:left="360" w:hanging="360"/>
      </w:pPr>
      <w:rPr>
        <w:rFonts w:ascii="Noto Sans Symbols" w:eastAsia="Noto Sans Symbols" w:hAnsi="Noto Sans Symbols" w:cs="Noto Sans Symbols"/>
        <w:i/>
      </w:rPr>
    </w:lvl>
    <w:lvl w:ilvl="1">
      <w:start w:val="1"/>
      <w:numFmt w:val="decimal"/>
      <w:lvlText w:val="●.%2"/>
      <w:lvlJc w:val="left"/>
      <w:pPr>
        <w:ind w:left="420" w:hanging="420"/>
      </w:pPr>
    </w:lvl>
    <w:lvl w:ilvl="2">
      <w:start w:val="1"/>
      <w:numFmt w:val="decimal"/>
      <w:lvlText w:val="●.%2.%3"/>
      <w:lvlJc w:val="left"/>
      <w:pPr>
        <w:ind w:left="720" w:hanging="720"/>
      </w:pPr>
    </w:lvl>
    <w:lvl w:ilvl="3">
      <w:start w:val="1"/>
      <w:numFmt w:val="decimal"/>
      <w:lvlText w:val="●.%2.%3.%4"/>
      <w:lvlJc w:val="left"/>
      <w:pPr>
        <w:ind w:left="720" w:hanging="720"/>
      </w:pPr>
    </w:lvl>
    <w:lvl w:ilvl="4">
      <w:start w:val="1"/>
      <w:numFmt w:val="decimal"/>
      <w:lvlText w:val="●.%2.%3.%4.%5"/>
      <w:lvlJc w:val="left"/>
      <w:pPr>
        <w:ind w:left="1080" w:hanging="1080"/>
      </w:pPr>
    </w:lvl>
    <w:lvl w:ilvl="5">
      <w:start w:val="1"/>
      <w:numFmt w:val="decimal"/>
      <w:lvlText w:val="●.%2.%3.%4.%5.%6"/>
      <w:lvlJc w:val="left"/>
      <w:pPr>
        <w:ind w:left="1080" w:hanging="1080"/>
      </w:pPr>
    </w:lvl>
    <w:lvl w:ilvl="6">
      <w:start w:val="1"/>
      <w:numFmt w:val="decimal"/>
      <w:lvlText w:val="●.%2.%3.%4.%5.%6.%7"/>
      <w:lvlJc w:val="left"/>
      <w:pPr>
        <w:ind w:left="1440" w:hanging="1440"/>
      </w:pPr>
    </w:lvl>
    <w:lvl w:ilvl="7">
      <w:start w:val="1"/>
      <w:numFmt w:val="decimal"/>
      <w:lvlText w:val="●.%2.%3.%4.%5.%6.%7.%8"/>
      <w:lvlJc w:val="left"/>
      <w:pPr>
        <w:ind w:left="1440" w:hanging="1440"/>
      </w:pPr>
    </w:lvl>
    <w:lvl w:ilvl="8">
      <w:start w:val="1"/>
      <w:numFmt w:val="decimal"/>
      <w:lvlText w:val="●.%2.%3.%4.%5.%6.%7.%8.%9"/>
      <w:lvlJc w:val="left"/>
      <w:pPr>
        <w:ind w:left="1800" w:hanging="1800"/>
      </w:pPr>
    </w:lvl>
  </w:abstractNum>
  <w:abstractNum w:abstractNumId="13" w15:restartNumberingAfterBreak="0">
    <w:nsid w:val="268914EA"/>
    <w:multiLevelType w:val="multilevel"/>
    <w:tmpl w:val="2026AC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2ED6168D"/>
    <w:multiLevelType w:val="multilevel"/>
    <w:tmpl w:val="BA0CCCF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DB3DE0"/>
    <w:multiLevelType w:val="multilevel"/>
    <w:tmpl w:val="08448C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3917678"/>
    <w:multiLevelType w:val="multilevel"/>
    <w:tmpl w:val="71621876"/>
    <w:lvl w:ilvl="0">
      <w:start w:val="1"/>
      <w:numFmt w:val="bullet"/>
      <w:lvlText w:val="●"/>
      <w:lvlJc w:val="left"/>
      <w:pPr>
        <w:ind w:left="360" w:hanging="360"/>
      </w:pPr>
      <w:rPr>
        <w:rFonts w:ascii="Noto Sans Symbols" w:eastAsia="Noto Sans Symbols" w:hAnsi="Noto Sans Symbols" w:cs="Noto Sans Symbols"/>
        <w:i/>
      </w:rPr>
    </w:lvl>
    <w:lvl w:ilvl="1">
      <w:start w:val="1"/>
      <w:numFmt w:val="decimal"/>
      <w:lvlText w:val="●.%2"/>
      <w:lvlJc w:val="left"/>
      <w:pPr>
        <w:ind w:left="420" w:hanging="420"/>
      </w:pPr>
    </w:lvl>
    <w:lvl w:ilvl="2">
      <w:start w:val="1"/>
      <w:numFmt w:val="decimal"/>
      <w:lvlText w:val="●.%2.%3"/>
      <w:lvlJc w:val="left"/>
      <w:pPr>
        <w:ind w:left="720" w:hanging="720"/>
      </w:pPr>
    </w:lvl>
    <w:lvl w:ilvl="3">
      <w:start w:val="1"/>
      <w:numFmt w:val="decimal"/>
      <w:lvlText w:val="●.%2.%3.%4"/>
      <w:lvlJc w:val="left"/>
      <w:pPr>
        <w:ind w:left="720" w:hanging="720"/>
      </w:pPr>
    </w:lvl>
    <w:lvl w:ilvl="4">
      <w:start w:val="1"/>
      <w:numFmt w:val="decimal"/>
      <w:lvlText w:val="●.%2.%3.%4.%5"/>
      <w:lvlJc w:val="left"/>
      <w:pPr>
        <w:ind w:left="1080" w:hanging="1080"/>
      </w:pPr>
    </w:lvl>
    <w:lvl w:ilvl="5">
      <w:start w:val="1"/>
      <w:numFmt w:val="decimal"/>
      <w:lvlText w:val="●.%2.%3.%4.%5.%6"/>
      <w:lvlJc w:val="left"/>
      <w:pPr>
        <w:ind w:left="1080" w:hanging="1080"/>
      </w:pPr>
    </w:lvl>
    <w:lvl w:ilvl="6">
      <w:start w:val="1"/>
      <w:numFmt w:val="decimal"/>
      <w:lvlText w:val="●.%2.%3.%4.%5.%6.%7"/>
      <w:lvlJc w:val="left"/>
      <w:pPr>
        <w:ind w:left="1440" w:hanging="1440"/>
      </w:pPr>
    </w:lvl>
    <w:lvl w:ilvl="7">
      <w:start w:val="1"/>
      <w:numFmt w:val="decimal"/>
      <w:lvlText w:val="●.%2.%3.%4.%5.%6.%7.%8"/>
      <w:lvlJc w:val="left"/>
      <w:pPr>
        <w:ind w:left="1440" w:hanging="1440"/>
      </w:pPr>
    </w:lvl>
    <w:lvl w:ilvl="8">
      <w:start w:val="1"/>
      <w:numFmt w:val="decimal"/>
      <w:lvlText w:val="●.%2.%3.%4.%5.%6.%7.%8.%9"/>
      <w:lvlJc w:val="left"/>
      <w:pPr>
        <w:ind w:left="1800" w:hanging="1800"/>
      </w:pPr>
    </w:lvl>
  </w:abstractNum>
  <w:abstractNum w:abstractNumId="17" w15:restartNumberingAfterBreak="0">
    <w:nsid w:val="33B73E76"/>
    <w:multiLevelType w:val="multilevel"/>
    <w:tmpl w:val="E5741C6A"/>
    <w:lvl w:ilvl="0">
      <w:start w:val="1"/>
      <w:numFmt w:val="bullet"/>
      <w:lvlText w:val="●"/>
      <w:lvlJc w:val="left"/>
      <w:pPr>
        <w:ind w:left="360" w:hanging="360"/>
      </w:pPr>
      <w:rPr>
        <w:rFonts w:ascii="Noto Sans Symbols" w:eastAsia="Noto Sans Symbols" w:hAnsi="Noto Sans Symbols" w:cs="Noto Sans Symbols"/>
        <w:i/>
      </w:rPr>
    </w:lvl>
    <w:lvl w:ilvl="1">
      <w:start w:val="1"/>
      <w:numFmt w:val="decimal"/>
      <w:lvlText w:val="●.%2"/>
      <w:lvlJc w:val="left"/>
      <w:pPr>
        <w:ind w:left="420" w:hanging="420"/>
      </w:pPr>
    </w:lvl>
    <w:lvl w:ilvl="2">
      <w:start w:val="1"/>
      <w:numFmt w:val="decimal"/>
      <w:lvlText w:val="●.%2.%3"/>
      <w:lvlJc w:val="left"/>
      <w:pPr>
        <w:ind w:left="720" w:hanging="720"/>
      </w:pPr>
    </w:lvl>
    <w:lvl w:ilvl="3">
      <w:start w:val="1"/>
      <w:numFmt w:val="decimal"/>
      <w:lvlText w:val="●.%2.%3.%4"/>
      <w:lvlJc w:val="left"/>
      <w:pPr>
        <w:ind w:left="720" w:hanging="720"/>
      </w:pPr>
    </w:lvl>
    <w:lvl w:ilvl="4">
      <w:start w:val="1"/>
      <w:numFmt w:val="decimal"/>
      <w:lvlText w:val="●.%2.%3.%4.%5"/>
      <w:lvlJc w:val="left"/>
      <w:pPr>
        <w:ind w:left="1080" w:hanging="1080"/>
      </w:pPr>
    </w:lvl>
    <w:lvl w:ilvl="5">
      <w:start w:val="1"/>
      <w:numFmt w:val="decimal"/>
      <w:lvlText w:val="●.%2.%3.%4.%5.%6"/>
      <w:lvlJc w:val="left"/>
      <w:pPr>
        <w:ind w:left="1080" w:hanging="1080"/>
      </w:pPr>
    </w:lvl>
    <w:lvl w:ilvl="6">
      <w:start w:val="1"/>
      <w:numFmt w:val="decimal"/>
      <w:lvlText w:val="●.%2.%3.%4.%5.%6.%7"/>
      <w:lvlJc w:val="left"/>
      <w:pPr>
        <w:ind w:left="1440" w:hanging="1440"/>
      </w:pPr>
    </w:lvl>
    <w:lvl w:ilvl="7">
      <w:start w:val="1"/>
      <w:numFmt w:val="decimal"/>
      <w:lvlText w:val="●.%2.%3.%4.%5.%6.%7.%8"/>
      <w:lvlJc w:val="left"/>
      <w:pPr>
        <w:ind w:left="1440" w:hanging="1440"/>
      </w:pPr>
    </w:lvl>
    <w:lvl w:ilvl="8">
      <w:start w:val="1"/>
      <w:numFmt w:val="decimal"/>
      <w:lvlText w:val="●.%2.%3.%4.%5.%6.%7.%8.%9"/>
      <w:lvlJc w:val="left"/>
      <w:pPr>
        <w:ind w:left="1800" w:hanging="1800"/>
      </w:pPr>
    </w:lvl>
  </w:abstractNum>
  <w:abstractNum w:abstractNumId="18" w15:restartNumberingAfterBreak="0">
    <w:nsid w:val="354731AC"/>
    <w:multiLevelType w:val="multilevel"/>
    <w:tmpl w:val="A60A54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862496A"/>
    <w:multiLevelType w:val="multilevel"/>
    <w:tmpl w:val="7100A3B6"/>
    <w:lvl w:ilvl="0">
      <w:start w:val="1"/>
      <w:numFmt w:val="bullet"/>
      <w:lvlText w:val="●"/>
      <w:lvlJc w:val="left"/>
      <w:pPr>
        <w:ind w:left="360" w:hanging="360"/>
      </w:pPr>
      <w:rPr>
        <w:rFonts w:ascii="Noto Sans Symbols" w:eastAsia="Noto Sans Symbols" w:hAnsi="Noto Sans Symbols" w:cs="Noto Sans Symbols"/>
        <w:i/>
      </w:rPr>
    </w:lvl>
    <w:lvl w:ilvl="1">
      <w:start w:val="1"/>
      <w:numFmt w:val="decimal"/>
      <w:lvlText w:val="●.%2"/>
      <w:lvlJc w:val="left"/>
      <w:pPr>
        <w:ind w:left="420" w:hanging="420"/>
      </w:pPr>
    </w:lvl>
    <w:lvl w:ilvl="2">
      <w:start w:val="1"/>
      <w:numFmt w:val="decimal"/>
      <w:lvlText w:val="●.%2.%3"/>
      <w:lvlJc w:val="left"/>
      <w:pPr>
        <w:ind w:left="720" w:hanging="720"/>
      </w:pPr>
    </w:lvl>
    <w:lvl w:ilvl="3">
      <w:start w:val="1"/>
      <w:numFmt w:val="decimal"/>
      <w:lvlText w:val="●.%2.%3.%4"/>
      <w:lvlJc w:val="left"/>
      <w:pPr>
        <w:ind w:left="720" w:hanging="720"/>
      </w:pPr>
    </w:lvl>
    <w:lvl w:ilvl="4">
      <w:start w:val="1"/>
      <w:numFmt w:val="decimal"/>
      <w:lvlText w:val="●.%2.%3.%4.%5"/>
      <w:lvlJc w:val="left"/>
      <w:pPr>
        <w:ind w:left="1080" w:hanging="1080"/>
      </w:pPr>
    </w:lvl>
    <w:lvl w:ilvl="5">
      <w:start w:val="1"/>
      <w:numFmt w:val="decimal"/>
      <w:lvlText w:val="●.%2.%3.%4.%5.%6"/>
      <w:lvlJc w:val="left"/>
      <w:pPr>
        <w:ind w:left="1080" w:hanging="1080"/>
      </w:pPr>
    </w:lvl>
    <w:lvl w:ilvl="6">
      <w:start w:val="1"/>
      <w:numFmt w:val="decimal"/>
      <w:lvlText w:val="●.%2.%3.%4.%5.%6.%7"/>
      <w:lvlJc w:val="left"/>
      <w:pPr>
        <w:ind w:left="1440" w:hanging="1440"/>
      </w:pPr>
    </w:lvl>
    <w:lvl w:ilvl="7">
      <w:start w:val="1"/>
      <w:numFmt w:val="decimal"/>
      <w:lvlText w:val="●.%2.%3.%4.%5.%6.%7.%8"/>
      <w:lvlJc w:val="left"/>
      <w:pPr>
        <w:ind w:left="1440" w:hanging="1440"/>
      </w:pPr>
    </w:lvl>
    <w:lvl w:ilvl="8">
      <w:start w:val="1"/>
      <w:numFmt w:val="decimal"/>
      <w:lvlText w:val="●.%2.%3.%4.%5.%6.%7.%8.%9"/>
      <w:lvlJc w:val="left"/>
      <w:pPr>
        <w:ind w:left="1800" w:hanging="1800"/>
      </w:pPr>
    </w:lvl>
  </w:abstractNum>
  <w:abstractNum w:abstractNumId="20" w15:restartNumberingAfterBreak="0">
    <w:nsid w:val="3B392F29"/>
    <w:multiLevelType w:val="multilevel"/>
    <w:tmpl w:val="D9FAF9E0"/>
    <w:lvl w:ilvl="0">
      <w:start w:val="1"/>
      <w:numFmt w:val="bullet"/>
      <w:lvlText w:val="●"/>
      <w:lvlJc w:val="left"/>
      <w:pPr>
        <w:ind w:left="360" w:hanging="360"/>
      </w:pPr>
      <w:rPr>
        <w:rFonts w:ascii="Noto Sans Symbols" w:eastAsia="Noto Sans Symbols" w:hAnsi="Noto Sans Symbols" w:cs="Noto Sans Symbols"/>
        <w:i/>
      </w:rPr>
    </w:lvl>
    <w:lvl w:ilvl="1">
      <w:start w:val="1"/>
      <w:numFmt w:val="decimal"/>
      <w:lvlText w:val="●.%2"/>
      <w:lvlJc w:val="left"/>
      <w:pPr>
        <w:ind w:left="420" w:hanging="420"/>
      </w:pPr>
    </w:lvl>
    <w:lvl w:ilvl="2">
      <w:start w:val="1"/>
      <w:numFmt w:val="decimal"/>
      <w:lvlText w:val="●.%2.%3"/>
      <w:lvlJc w:val="left"/>
      <w:pPr>
        <w:ind w:left="720" w:hanging="720"/>
      </w:pPr>
    </w:lvl>
    <w:lvl w:ilvl="3">
      <w:start w:val="1"/>
      <w:numFmt w:val="decimal"/>
      <w:lvlText w:val="●.%2.%3.%4"/>
      <w:lvlJc w:val="left"/>
      <w:pPr>
        <w:ind w:left="720" w:hanging="720"/>
      </w:pPr>
    </w:lvl>
    <w:lvl w:ilvl="4">
      <w:start w:val="1"/>
      <w:numFmt w:val="decimal"/>
      <w:lvlText w:val="●.%2.%3.%4.%5"/>
      <w:lvlJc w:val="left"/>
      <w:pPr>
        <w:ind w:left="1080" w:hanging="1080"/>
      </w:pPr>
    </w:lvl>
    <w:lvl w:ilvl="5">
      <w:start w:val="1"/>
      <w:numFmt w:val="decimal"/>
      <w:lvlText w:val="●.%2.%3.%4.%5.%6"/>
      <w:lvlJc w:val="left"/>
      <w:pPr>
        <w:ind w:left="1080" w:hanging="1080"/>
      </w:pPr>
    </w:lvl>
    <w:lvl w:ilvl="6">
      <w:start w:val="1"/>
      <w:numFmt w:val="decimal"/>
      <w:lvlText w:val="●.%2.%3.%4.%5.%6.%7"/>
      <w:lvlJc w:val="left"/>
      <w:pPr>
        <w:ind w:left="1440" w:hanging="1440"/>
      </w:pPr>
    </w:lvl>
    <w:lvl w:ilvl="7">
      <w:start w:val="1"/>
      <w:numFmt w:val="decimal"/>
      <w:lvlText w:val="●.%2.%3.%4.%5.%6.%7.%8"/>
      <w:lvlJc w:val="left"/>
      <w:pPr>
        <w:ind w:left="1440" w:hanging="1440"/>
      </w:pPr>
    </w:lvl>
    <w:lvl w:ilvl="8">
      <w:start w:val="1"/>
      <w:numFmt w:val="decimal"/>
      <w:lvlText w:val="●.%2.%3.%4.%5.%6.%7.%8.%9"/>
      <w:lvlJc w:val="left"/>
      <w:pPr>
        <w:ind w:left="1800" w:hanging="1800"/>
      </w:pPr>
    </w:lvl>
  </w:abstractNum>
  <w:abstractNum w:abstractNumId="21" w15:restartNumberingAfterBreak="0">
    <w:nsid w:val="3C362A71"/>
    <w:multiLevelType w:val="multilevel"/>
    <w:tmpl w:val="CED09800"/>
    <w:lvl w:ilvl="0">
      <w:start w:val="1"/>
      <w:numFmt w:val="bullet"/>
      <w:lvlText w:val="●"/>
      <w:lvlJc w:val="left"/>
      <w:pPr>
        <w:ind w:left="360" w:hanging="360"/>
      </w:pPr>
      <w:rPr>
        <w:rFonts w:ascii="Noto Sans Symbols" w:eastAsia="Noto Sans Symbols" w:hAnsi="Noto Sans Symbols" w:cs="Noto Sans Symbols"/>
        <w:i/>
      </w:rPr>
    </w:lvl>
    <w:lvl w:ilvl="1">
      <w:start w:val="1"/>
      <w:numFmt w:val="decimal"/>
      <w:lvlText w:val="●.%2"/>
      <w:lvlJc w:val="left"/>
      <w:pPr>
        <w:ind w:left="420" w:hanging="420"/>
      </w:pPr>
    </w:lvl>
    <w:lvl w:ilvl="2">
      <w:start w:val="1"/>
      <w:numFmt w:val="decimal"/>
      <w:lvlText w:val="●.%2.%3"/>
      <w:lvlJc w:val="left"/>
      <w:pPr>
        <w:ind w:left="720" w:hanging="720"/>
      </w:pPr>
    </w:lvl>
    <w:lvl w:ilvl="3">
      <w:start w:val="1"/>
      <w:numFmt w:val="decimal"/>
      <w:lvlText w:val="●.%2.%3.%4"/>
      <w:lvlJc w:val="left"/>
      <w:pPr>
        <w:ind w:left="720" w:hanging="720"/>
      </w:pPr>
    </w:lvl>
    <w:lvl w:ilvl="4">
      <w:start w:val="1"/>
      <w:numFmt w:val="decimal"/>
      <w:lvlText w:val="●.%2.%3.%4.%5"/>
      <w:lvlJc w:val="left"/>
      <w:pPr>
        <w:ind w:left="1080" w:hanging="1080"/>
      </w:pPr>
    </w:lvl>
    <w:lvl w:ilvl="5">
      <w:start w:val="1"/>
      <w:numFmt w:val="decimal"/>
      <w:lvlText w:val="●.%2.%3.%4.%5.%6"/>
      <w:lvlJc w:val="left"/>
      <w:pPr>
        <w:ind w:left="1080" w:hanging="1080"/>
      </w:pPr>
    </w:lvl>
    <w:lvl w:ilvl="6">
      <w:start w:val="1"/>
      <w:numFmt w:val="decimal"/>
      <w:lvlText w:val="●.%2.%3.%4.%5.%6.%7"/>
      <w:lvlJc w:val="left"/>
      <w:pPr>
        <w:ind w:left="1440" w:hanging="1440"/>
      </w:pPr>
    </w:lvl>
    <w:lvl w:ilvl="7">
      <w:start w:val="1"/>
      <w:numFmt w:val="decimal"/>
      <w:lvlText w:val="●.%2.%3.%4.%5.%6.%7.%8"/>
      <w:lvlJc w:val="left"/>
      <w:pPr>
        <w:ind w:left="1440" w:hanging="1440"/>
      </w:pPr>
    </w:lvl>
    <w:lvl w:ilvl="8">
      <w:start w:val="1"/>
      <w:numFmt w:val="decimal"/>
      <w:lvlText w:val="●.%2.%3.%4.%5.%6.%7.%8.%9"/>
      <w:lvlJc w:val="left"/>
      <w:pPr>
        <w:ind w:left="1800" w:hanging="1800"/>
      </w:pPr>
    </w:lvl>
  </w:abstractNum>
  <w:abstractNum w:abstractNumId="22" w15:restartNumberingAfterBreak="0">
    <w:nsid w:val="3EA450A8"/>
    <w:multiLevelType w:val="multilevel"/>
    <w:tmpl w:val="F17008B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15:restartNumberingAfterBreak="0">
    <w:nsid w:val="404D7ECF"/>
    <w:multiLevelType w:val="multilevel"/>
    <w:tmpl w:val="61CE91EC"/>
    <w:lvl w:ilvl="0">
      <w:start w:val="1"/>
      <w:numFmt w:val="bullet"/>
      <w:lvlText w:val="●"/>
      <w:lvlJc w:val="left"/>
      <w:pPr>
        <w:ind w:left="360" w:hanging="360"/>
      </w:pPr>
      <w:rPr>
        <w:rFonts w:ascii="Noto Sans Symbols" w:eastAsia="Noto Sans Symbols" w:hAnsi="Noto Sans Symbols" w:cs="Noto Sans Symbols"/>
        <w:i/>
        <w:u w:val="none"/>
      </w:rPr>
    </w:lvl>
    <w:lvl w:ilvl="1">
      <w:start w:val="1"/>
      <w:numFmt w:val="decimal"/>
      <w:lvlText w:val="●.%2"/>
      <w:lvlJc w:val="left"/>
      <w:pPr>
        <w:ind w:left="420" w:hanging="420"/>
      </w:pPr>
    </w:lvl>
    <w:lvl w:ilvl="2">
      <w:start w:val="1"/>
      <w:numFmt w:val="decimal"/>
      <w:lvlText w:val="●.%2.%3"/>
      <w:lvlJc w:val="left"/>
      <w:pPr>
        <w:ind w:left="720" w:hanging="720"/>
      </w:pPr>
    </w:lvl>
    <w:lvl w:ilvl="3">
      <w:start w:val="1"/>
      <w:numFmt w:val="decimal"/>
      <w:lvlText w:val="●.%2.%3.%4"/>
      <w:lvlJc w:val="left"/>
      <w:pPr>
        <w:ind w:left="720" w:hanging="720"/>
      </w:pPr>
    </w:lvl>
    <w:lvl w:ilvl="4">
      <w:start w:val="1"/>
      <w:numFmt w:val="decimal"/>
      <w:lvlText w:val="●.%2.%3.%4.%5"/>
      <w:lvlJc w:val="left"/>
      <w:pPr>
        <w:ind w:left="1080" w:hanging="1080"/>
      </w:pPr>
    </w:lvl>
    <w:lvl w:ilvl="5">
      <w:start w:val="1"/>
      <w:numFmt w:val="decimal"/>
      <w:lvlText w:val="●.%2.%3.%4.%5.%6"/>
      <w:lvlJc w:val="left"/>
      <w:pPr>
        <w:ind w:left="1080" w:hanging="1080"/>
      </w:pPr>
    </w:lvl>
    <w:lvl w:ilvl="6">
      <w:start w:val="1"/>
      <w:numFmt w:val="decimal"/>
      <w:lvlText w:val="●.%2.%3.%4.%5.%6.%7"/>
      <w:lvlJc w:val="left"/>
      <w:pPr>
        <w:ind w:left="1440" w:hanging="1440"/>
      </w:pPr>
    </w:lvl>
    <w:lvl w:ilvl="7">
      <w:start w:val="1"/>
      <w:numFmt w:val="decimal"/>
      <w:lvlText w:val="●.%2.%3.%4.%5.%6.%7.%8"/>
      <w:lvlJc w:val="left"/>
      <w:pPr>
        <w:ind w:left="1440" w:hanging="1440"/>
      </w:pPr>
    </w:lvl>
    <w:lvl w:ilvl="8">
      <w:start w:val="1"/>
      <w:numFmt w:val="decimal"/>
      <w:lvlText w:val="●.%2.%3.%4.%5.%6.%7.%8.%9"/>
      <w:lvlJc w:val="left"/>
      <w:pPr>
        <w:ind w:left="1800" w:hanging="1800"/>
      </w:pPr>
    </w:lvl>
  </w:abstractNum>
  <w:abstractNum w:abstractNumId="24" w15:restartNumberingAfterBreak="0">
    <w:nsid w:val="40734975"/>
    <w:multiLevelType w:val="multilevel"/>
    <w:tmpl w:val="96E8EEB4"/>
    <w:lvl w:ilvl="0">
      <w:start w:val="1"/>
      <w:numFmt w:val="bullet"/>
      <w:lvlText w:val="●"/>
      <w:lvlJc w:val="left"/>
      <w:pPr>
        <w:ind w:left="360" w:hanging="360"/>
      </w:pPr>
      <w:rPr>
        <w:rFonts w:ascii="Noto Sans Symbols" w:eastAsia="Noto Sans Symbols" w:hAnsi="Noto Sans Symbols" w:cs="Noto Sans Symbols"/>
        <w:i/>
      </w:rPr>
    </w:lvl>
    <w:lvl w:ilvl="1">
      <w:start w:val="1"/>
      <w:numFmt w:val="decimal"/>
      <w:lvlText w:val="●.%2"/>
      <w:lvlJc w:val="left"/>
      <w:pPr>
        <w:ind w:left="420" w:hanging="420"/>
      </w:pPr>
    </w:lvl>
    <w:lvl w:ilvl="2">
      <w:start w:val="1"/>
      <w:numFmt w:val="decimal"/>
      <w:lvlText w:val="●.%2.%3"/>
      <w:lvlJc w:val="left"/>
      <w:pPr>
        <w:ind w:left="720" w:hanging="720"/>
      </w:pPr>
    </w:lvl>
    <w:lvl w:ilvl="3">
      <w:start w:val="1"/>
      <w:numFmt w:val="decimal"/>
      <w:lvlText w:val="●.%2.%3.%4"/>
      <w:lvlJc w:val="left"/>
      <w:pPr>
        <w:ind w:left="720" w:hanging="720"/>
      </w:pPr>
    </w:lvl>
    <w:lvl w:ilvl="4">
      <w:start w:val="1"/>
      <w:numFmt w:val="decimal"/>
      <w:lvlText w:val="●.%2.%3.%4.%5"/>
      <w:lvlJc w:val="left"/>
      <w:pPr>
        <w:ind w:left="1080" w:hanging="1080"/>
      </w:pPr>
    </w:lvl>
    <w:lvl w:ilvl="5">
      <w:start w:val="1"/>
      <w:numFmt w:val="decimal"/>
      <w:lvlText w:val="●.%2.%3.%4.%5.%6"/>
      <w:lvlJc w:val="left"/>
      <w:pPr>
        <w:ind w:left="1080" w:hanging="1080"/>
      </w:pPr>
    </w:lvl>
    <w:lvl w:ilvl="6">
      <w:start w:val="1"/>
      <w:numFmt w:val="decimal"/>
      <w:lvlText w:val="●.%2.%3.%4.%5.%6.%7"/>
      <w:lvlJc w:val="left"/>
      <w:pPr>
        <w:ind w:left="1440" w:hanging="1440"/>
      </w:pPr>
    </w:lvl>
    <w:lvl w:ilvl="7">
      <w:start w:val="1"/>
      <w:numFmt w:val="decimal"/>
      <w:lvlText w:val="●.%2.%3.%4.%5.%6.%7.%8"/>
      <w:lvlJc w:val="left"/>
      <w:pPr>
        <w:ind w:left="1440" w:hanging="1440"/>
      </w:pPr>
    </w:lvl>
    <w:lvl w:ilvl="8">
      <w:start w:val="1"/>
      <w:numFmt w:val="decimal"/>
      <w:lvlText w:val="●.%2.%3.%4.%5.%6.%7.%8.%9"/>
      <w:lvlJc w:val="left"/>
      <w:pPr>
        <w:ind w:left="1800" w:hanging="1800"/>
      </w:pPr>
    </w:lvl>
  </w:abstractNum>
  <w:abstractNum w:abstractNumId="25" w15:restartNumberingAfterBreak="0">
    <w:nsid w:val="481C27DC"/>
    <w:multiLevelType w:val="multilevel"/>
    <w:tmpl w:val="A8461E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15:restartNumberingAfterBreak="0">
    <w:nsid w:val="498C39F5"/>
    <w:multiLevelType w:val="multilevel"/>
    <w:tmpl w:val="38C09C2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4A612D4E"/>
    <w:multiLevelType w:val="multilevel"/>
    <w:tmpl w:val="94F2AA0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4E0902D8"/>
    <w:multiLevelType w:val="hybridMultilevel"/>
    <w:tmpl w:val="0D74623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15:restartNumberingAfterBreak="0">
    <w:nsid w:val="500C2232"/>
    <w:multiLevelType w:val="multilevel"/>
    <w:tmpl w:val="231646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20C603C"/>
    <w:multiLevelType w:val="hybridMultilevel"/>
    <w:tmpl w:val="3540283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1" w15:restartNumberingAfterBreak="0">
    <w:nsid w:val="5397129D"/>
    <w:multiLevelType w:val="multilevel"/>
    <w:tmpl w:val="6EA2D4E4"/>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32" w15:restartNumberingAfterBreak="0">
    <w:nsid w:val="546B4295"/>
    <w:multiLevelType w:val="multilevel"/>
    <w:tmpl w:val="FF1C8CC6"/>
    <w:lvl w:ilvl="0">
      <w:start w:val="1"/>
      <w:numFmt w:val="decimal"/>
      <w:lvlText w:val="Section %1."/>
      <w:lvlJc w:val="left"/>
      <w:pPr>
        <w:ind w:left="1800" w:hanging="1800"/>
      </w:pPr>
    </w:lvl>
    <w:lvl w:ilvl="1">
      <w:start w:val="1"/>
      <w:numFmt w:val="decimal"/>
      <w:lvlText w:val="%1.%2"/>
      <w:lvlJc w:val="left"/>
      <w:pPr>
        <w:ind w:left="360" w:hanging="360"/>
      </w:pPr>
    </w:lvl>
    <w:lvl w:ilvl="2">
      <w:start w:val="1"/>
      <w:numFmt w:val="upperLetter"/>
      <w:lvlText w:val="%3."/>
      <w:lvlJc w:val="left"/>
      <w:pPr>
        <w:ind w:left="851" w:hanging="851"/>
      </w:pPr>
    </w:lvl>
    <w:lvl w:ilvl="3">
      <w:start w:val="1"/>
      <w:numFmt w:val="decimal"/>
      <w:lvlText w:val="%1.%2.%3.%4"/>
      <w:lvlJc w:val="left"/>
      <w:pPr>
        <w:ind w:left="964" w:hanging="964"/>
      </w:pPr>
    </w:lvl>
    <w:lvl w:ilvl="4">
      <w:start w:val="1"/>
      <w:numFmt w:val="decimal"/>
      <w:lvlText w:val="%1.%2.%3.%4.%5"/>
      <w:lvlJc w:val="left"/>
      <w:pPr>
        <w:ind w:left="1191" w:hanging="1191"/>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3" w15:restartNumberingAfterBreak="0">
    <w:nsid w:val="55735CFD"/>
    <w:multiLevelType w:val="multilevel"/>
    <w:tmpl w:val="39C8132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4" w15:restartNumberingAfterBreak="0">
    <w:nsid w:val="57791051"/>
    <w:multiLevelType w:val="multilevel"/>
    <w:tmpl w:val="3C90AD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581616EA"/>
    <w:multiLevelType w:val="multilevel"/>
    <w:tmpl w:val="920A37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6" w15:restartNumberingAfterBreak="0">
    <w:nsid w:val="5EA956BD"/>
    <w:multiLevelType w:val="multilevel"/>
    <w:tmpl w:val="B35A3A8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7" w15:restartNumberingAfterBreak="0">
    <w:nsid w:val="6001574E"/>
    <w:multiLevelType w:val="multilevel"/>
    <w:tmpl w:val="351CDDC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10C579E"/>
    <w:multiLevelType w:val="multilevel"/>
    <w:tmpl w:val="04EAE3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3A86324"/>
    <w:multiLevelType w:val="multilevel"/>
    <w:tmpl w:val="5EA65C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7B565F0"/>
    <w:multiLevelType w:val="multilevel"/>
    <w:tmpl w:val="FA1A4D1C"/>
    <w:lvl w:ilvl="0">
      <w:start w:val="1"/>
      <w:numFmt w:val="bullet"/>
      <w:lvlText w:val="●"/>
      <w:lvlJc w:val="left"/>
      <w:pPr>
        <w:ind w:left="360" w:hanging="360"/>
      </w:pPr>
      <w:rPr>
        <w:rFonts w:ascii="Noto Sans Symbols" w:eastAsia="Noto Sans Symbols" w:hAnsi="Noto Sans Symbols" w:cs="Noto Sans Symbols"/>
        <w:i/>
      </w:rPr>
    </w:lvl>
    <w:lvl w:ilvl="1">
      <w:start w:val="1"/>
      <w:numFmt w:val="decimal"/>
      <w:lvlText w:val="●.%2"/>
      <w:lvlJc w:val="left"/>
      <w:pPr>
        <w:ind w:left="420" w:hanging="420"/>
      </w:pPr>
    </w:lvl>
    <w:lvl w:ilvl="2">
      <w:start w:val="1"/>
      <w:numFmt w:val="decimal"/>
      <w:lvlText w:val="●.%2.%3"/>
      <w:lvlJc w:val="left"/>
      <w:pPr>
        <w:ind w:left="720" w:hanging="720"/>
      </w:pPr>
    </w:lvl>
    <w:lvl w:ilvl="3">
      <w:start w:val="1"/>
      <w:numFmt w:val="decimal"/>
      <w:lvlText w:val="●.%2.%3.%4"/>
      <w:lvlJc w:val="left"/>
      <w:pPr>
        <w:ind w:left="720" w:hanging="720"/>
      </w:pPr>
    </w:lvl>
    <w:lvl w:ilvl="4">
      <w:start w:val="1"/>
      <w:numFmt w:val="decimal"/>
      <w:lvlText w:val="●.%2.%3.%4.%5"/>
      <w:lvlJc w:val="left"/>
      <w:pPr>
        <w:ind w:left="1080" w:hanging="1080"/>
      </w:pPr>
    </w:lvl>
    <w:lvl w:ilvl="5">
      <w:start w:val="1"/>
      <w:numFmt w:val="decimal"/>
      <w:lvlText w:val="●.%2.%3.%4.%5.%6"/>
      <w:lvlJc w:val="left"/>
      <w:pPr>
        <w:ind w:left="1080" w:hanging="1080"/>
      </w:pPr>
    </w:lvl>
    <w:lvl w:ilvl="6">
      <w:start w:val="1"/>
      <w:numFmt w:val="decimal"/>
      <w:lvlText w:val="●.%2.%3.%4.%5.%6.%7"/>
      <w:lvlJc w:val="left"/>
      <w:pPr>
        <w:ind w:left="1440" w:hanging="1440"/>
      </w:pPr>
    </w:lvl>
    <w:lvl w:ilvl="7">
      <w:start w:val="1"/>
      <w:numFmt w:val="decimal"/>
      <w:lvlText w:val="●.%2.%3.%4.%5.%6.%7.%8"/>
      <w:lvlJc w:val="left"/>
      <w:pPr>
        <w:ind w:left="1440" w:hanging="1440"/>
      </w:pPr>
    </w:lvl>
    <w:lvl w:ilvl="8">
      <w:start w:val="1"/>
      <w:numFmt w:val="decimal"/>
      <w:lvlText w:val="●.%2.%3.%4.%5.%6.%7.%8.%9"/>
      <w:lvlJc w:val="left"/>
      <w:pPr>
        <w:ind w:left="1800" w:hanging="1800"/>
      </w:pPr>
    </w:lvl>
  </w:abstractNum>
  <w:abstractNum w:abstractNumId="41" w15:restartNumberingAfterBreak="0">
    <w:nsid w:val="7A184474"/>
    <w:multiLevelType w:val="multilevel"/>
    <w:tmpl w:val="D4EC0A1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2" w15:restartNumberingAfterBreak="0">
    <w:nsid w:val="7B9C5A47"/>
    <w:multiLevelType w:val="multilevel"/>
    <w:tmpl w:val="35AC73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7F5D7805"/>
    <w:multiLevelType w:val="multilevel"/>
    <w:tmpl w:val="79A4FA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7"/>
  </w:num>
  <w:num w:numId="2">
    <w:abstractNumId w:val="9"/>
  </w:num>
  <w:num w:numId="3">
    <w:abstractNumId w:val="35"/>
  </w:num>
  <w:num w:numId="4">
    <w:abstractNumId w:val="5"/>
  </w:num>
  <w:num w:numId="5">
    <w:abstractNumId w:val="25"/>
  </w:num>
  <w:num w:numId="6">
    <w:abstractNumId w:val="17"/>
  </w:num>
  <w:num w:numId="7">
    <w:abstractNumId w:val="22"/>
  </w:num>
  <w:num w:numId="8">
    <w:abstractNumId w:val="14"/>
  </w:num>
  <w:num w:numId="9">
    <w:abstractNumId w:val="6"/>
  </w:num>
  <w:num w:numId="10">
    <w:abstractNumId w:val="34"/>
  </w:num>
  <w:num w:numId="11">
    <w:abstractNumId w:val="8"/>
  </w:num>
  <w:num w:numId="12">
    <w:abstractNumId w:val="20"/>
  </w:num>
  <w:num w:numId="13">
    <w:abstractNumId w:val="37"/>
  </w:num>
  <w:num w:numId="14">
    <w:abstractNumId w:val="4"/>
  </w:num>
  <w:num w:numId="15">
    <w:abstractNumId w:val="3"/>
  </w:num>
  <w:num w:numId="16">
    <w:abstractNumId w:val="23"/>
  </w:num>
  <w:num w:numId="17">
    <w:abstractNumId w:val="36"/>
  </w:num>
  <w:num w:numId="18">
    <w:abstractNumId w:val="16"/>
  </w:num>
  <w:num w:numId="19">
    <w:abstractNumId w:val="18"/>
  </w:num>
  <w:num w:numId="20">
    <w:abstractNumId w:val="15"/>
  </w:num>
  <w:num w:numId="21">
    <w:abstractNumId w:val="0"/>
  </w:num>
  <w:num w:numId="22">
    <w:abstractNumId w:val="43"/>
  </w:num>
  <w:num w:numId="23">
    <w:abstractNumId w:val="10"/>
  </w:num>
  <w:num w:numId="24">
    <w:abstractNumId w:val="31"/>
  </w:num>
  <w:num w:numId="25">
    <w:abstractNumId w:val="33"/>
  </w:num>
  <w:num w:numId="26">
    <w:abstractNumId w:val="12"/>
  </w:num>
  <w:num w:numId="27">
    <w:abstractNumId w:val="19"/>
  </w:num>
  <w:num w:numId="28">
    <w:abstractNumId w:val="21"/>
  </w:num>
  <w:num w:numId="29">
    <w:abstractNumId w:val="26"/>
  </w:num>
  <w:num w:numId="30">
    <w:abstractNumId w:val="1"/>
  </w:num>
  <w:num w:numId="31">
    <w:abstractNumId w:val="13"/>
  </w:num>
  <w:num w:numId="32">
    <w:abstractNumId w:val="7"/>
  </w:num>
  <w:num w:numId="33">
    <w:abstractNumId w:val="11"/>
  </w:num>
  <w:num w:numId="34">
    <w:abstractNumId w:val="39"/>
  </w:num>
  <w:num w:numId="35">
    <w:abstractNumId w:val="42"/>
  </w:num>
  <w:num w:numId="36">
    <w:abstractNumId w:val="29"/>
  </w:num>
  <w:num w:numId="37">
    <w:abstractNumId w:val="38"/>
  </w:num>
  <w:num w:numId="38">
    <w:abstractNumId w:val="32"/>
  </w:num>
  <w:num w:numId="39">
    <w:abstractNumId w:val="2"/>
  </w:num>
  <w:num w:numId="40">
    <w:abstractNumId w:val="41"/>
  </w:num>
  <w:num w:numId="41">
    <w:abstractNumId w:val="24"/>
  </w:num>
  <w:num w:numId="42">
    <w:abstractNumId w:val="40"/>
  </w:num>
  <w:num w:numId="43">
    <w:abstractNumId w:val="30"/>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420"/>
    <w:rsid w:val="00096A8D"/>
    <w:rsid w:val="000F43DF"/>
    <w:rsid w:val="00155420"/>
    <w:rsid w:val="001A3F86"/>
    <w:rsid w:val="001B34E8"/>
    <w:rsid w:val="001B6745"/>
    <w:rsid w:val="00243DD3"/>
    <w:rsid w:val="00287B7D"/>
    <w:rsid w:val="003B6F06"/>
    <w:rsid w:val="003C2349"/>
    <w:rsid w:val="003C28E8"/>
    <w:rsid w:val="003E5DAA"/>
    <w:rsid w:val="004154BB"/>
    <w:rsid w:val="00436E24"/>
    <w:rsid w:val="00447C42"/>
    <w:rsid w:val="004A53BF"/>
    <w:rsid w:val="004C3037"/>
    <w:rsid w:val="004D2790"/>
    <w:rsid w:val="004D7734"/>
    <w:rsid w:val="00532088"/>
    <w:rsid w:val="00553D94"/>
    <w:rsid w:val="005C6956"/>
    <w:rsid w:val="005E61FD"/>
    <w:rsid w:val="006550D6"/>
    <w:rsid w:val="00697898"/>
    <w:rsid w:val="007C36C5"/>
    <w:rsid w:val="00835238"/>
    <w:rsid w:val="008F5533"/>
    <w:rsid w:val="00902DFE"/>
    <w:rsid w:val="009252BB"/>
    <w:rsid w:val="00954301"/>
    <w:rsid w:val="00AF4289"/>
    <w:rsid w:val="00B07778"/>
    <w:rsid w:val="00B5371A"/>
    <w:rsid w:val="00B57005"/>
    <w:rsid w:val="00BA5B66"/>
    <w:rsid w:val="00BC31D3"/>
    <w:rsid w:val="00BE4AFD"/>
    <w:rsid w:val="00BF38D8"/>
    <w:rsid w:val="00C2092B"/>
    <w:rsid w:val="00C773AB"/>
    <w:rsid w:val="00CC512A"/>
    <w:rsid w:val="00D65121"/>
    <w:rsid w:val="00D76F5A"/>
    <w:rsid w:val="00DB1393"/>
    <w:rsid w:val="00E22D3A"/>
    <w:rsid w:val="00E33533"/>
    <w:rsid w:val="00E84F93"/>
    <w:rsid w:val="00EA148D"/>
    <w:rsid w:val="00EF13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21835"/>
  <w15:docId w15:val="{54ADD427-8A02-46BC-A6AF-584E54DFC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PH"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600" w:after="600"/>
      <w:ind w:left="1800" w:hanging="1800"/>
      <w:outlineLvl w:val="0"/>
    </w:pPr>
    <w:rPr>
      <w:rFonts w:ascii="Arial Black" w:eastAsia="Arial Black" w:hAnsi="Arial Black" w:cs="Arial Black"/>
      <w:color w:val="000000"/>
      <w:sz w:val="36"/>
      <w:szCs w:val="36"/>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240" w:after="240"/>
      <w:ind w:left="360" w:hanging="360"/>
      <w:outlineLvl w:val="1"/>
    </w:pPr>
    <w:rPr>
      <w:rFonts w:ascii="Arial Black" w:eastAsia="Arial Black" w:hAnsi="Arial Black" w:cs="Arial Black"/>
      <w:color w:val="000000"/>
      <w:sz w:val="24"/>
      <w:szCs w:val="24"/>
    </w:rPr>
  </w:style>
  <w:style w:type="paragraph" w:styleId="Heading3">
    <w:name w:val="heading 3"/>
    <w:basedOn w:val="Normal"/>
    <w:next w:val="Normal"/>
    <w:uiPriority w:val="9"/>
    <w:unhideWhenUsed/>
    <w:qFormat/>
    <w:pPr>
      <w:keepNext/>
      <w:keepLines/>
      <w:pBdr>
        <w:top w:val="nil"/>
        <w:left w:val="nil"/>
        <w:bottom w:val="nil"/>
        <w:right w:val="nil"/>
        <w:between w:val="nil"/>
      </w:pBdr>
      <w:spacing w:before="40" w:after="0"/>
      <w:outlineLvl w:val="2"/>
    </w:pPr>
    <w:rPr>
      <w:rFonts w:ascii="Arial Black" w:eastAsia="Arial Black" w:hAnsi="Arial Black" w:cs="Arial Black"/>
      <w:color w:val="000000"/>
      <w:sz w:val="24"/>
      <w:szCs w:val="24"/>
    </w:rPr>
  </w:style>
  <w:style w:type="paragraph" w:styleId="Heading4">
    <w:name w:val="heading 4"/>
    <w:basedOn w:val="Normal"/>
    <w:next w:val="Normal"/>
    <w:uiPriority w:val="9"/>
    <w:unhideWhenUsed/>
    <w:qFormat/>
    <w:pPr>
      <w:keepNext/>
      <w:keepLines/>
      <w:pBdr>
        <w:top w:val="nil"/>
        <w:left w:val="nil"/>
        <w:bottom w:val="nil"/>
        <w:right w:val="nil"/>
        <w:between w:val="nil"/>
      </w:pBdr>
      <w:spacing w:after="0"/>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after="0"/>
      <w:outlineLvl w:val="4"/>
    </w:pPr>
    <w:rPr>
      <w:i/>
      <w:color w:val="000000"/>
      <w:sz w:val="24"/>
      <w:szCs w:val="24"/>
    </w:rPr>
  </w:style>
  <w:style w:type="paragraph" w:styleId="Heading6">
    <w:name w:val="heading 6"/>
    <w:basedOn w:val="Normal"/>
    <w:next w:val="Normal"/>
    <w:uiPriority w:val="9"/>
    <w:semiHidden/>
    <w:unhideWhenUsed/>
    <w:qFormat/>
    <w:pPr>
      <w:keepNext/>
      <w:keepLines/>
      <w:spacing w:before="40" w:after="0"/>
      <w:outlineLvl w:val="5"/>
    </w:pPr>
    <w:rPr>
      <w:rFonts w:ascii="Arial Black" w:eastAsia="Arial Black" w:hAnsi="Arial Black" w:cs="Arial Black"/>
      <w:color w:val="76051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after="0" w:line="192" w:lineRule="auto"/>
    </w:pPr>
    <w:rPr>
      <w:rFonts w:ascii="Arial Black" w:eastAsia="Arial Black" w:hAnsi="Arial Black" w:cs="Arial Black"/>
      <w:color w:val="000000"/>
      <w:sz w:val="40"/>
      <w:szCs w:val="40"/>
    </w:rPr>
  </w:style>
  <w:style w:type="paragraph" w:styleId="Subtitle">
    <w:name w:val="Subtitle"/>
    <w:basedOn w:val="Normal"/>
    <w:next w:val="Normal"/>
    <w:uiPriority w:val="11"/>
    <w:qFormat/>
    <w:pPr>
      <w:keepNext/>
      <w:keepLines/>
      <w:pBdr>
        <w:top w:val="nil"/>
        <w:left w:val="nil"/>
        <w:bottom w:val="nil"/>
        <w:right w:val="nil"/>
        <w:between w:val="nil"/>
      </w:pBdr>
      <w:spacing w:after="360"/>
    </w:pPr>
    <w:rPr>
      <w:color w:val="000000"/>
      <w:sz w:val="28"/>
      <w:szCs w:val="28"/>
    </w:rPr>
  </w:style>
  <w:style w:type="table" w:customStyle="1" w:styleId="a">
    <w:basedOn w:val="TableNormal"/>
    <w:pPr>
      <w:keepNext/>
      <w:spacing w:before="60" w:after="0"/>
      <w:ind w:left="57" w:right="57"/>
    </w:pPr>
    <w:rPr>
      <w:color w:val="404040"/>
    </w:rPr>
    <w:tblPr>
      <w:tblStyleRowBandSize w:val="1"/>
      <w:tblStyleColBandSize w:val="1"/>
      <w:tblCellMar>
        <w:left w:w="0" w:type="dxa"/>
        <w:right w:w="0" w:type="dxa"/>
      </w:tblCellMar>
    </w:tblPr>
    <w:tcPr>
      <w:shd w:val="clear" w:color="auto" w:fill="D5DBFD"/>
      <w:vAlign w:val="center"/>
    </w:tcPr>
  </w:style>
  <w:style w:type="table" w:customStyle="1" w:styleId="a0">
    <w:basedOn w:val="TableNormal"/>
    <w:pPr>
      <w:keepNext/>
      <w:spacing w:before="60" w:after="0"/>
      <w:ind w:left="57" w:right="57"/>
    </w:pPr>
    <w:rPr>
      <w:color w:val="404040"/>
    </w:rPr>
    <w:tblPr>
      <w:tblStyleRowBandSize w:val="1"/>
      <w:tblStyleColBandSize w:val="1"/>
      <w:tblCellMar>
        <w:top w:w="57" w:type="dxa"/>
        <w:left w:w="57" w:type="dxa"/>
        <w:bottom w:w="57" w:type="dxa"/>
        <w:right w:w="28" w:type="dxa"/>
      </w:tblCellMar>
    </w:tblPr>
    <w:tcPr>
      <w:shd w:val="clear" w:color="auto" w:fill="D5DBFD"/>
      <w:vAlign w:val="center"/>
    </w:tcPr>
    <w:tblStylePr w:type="firstRow">
      <w:pPr>
        <w:jc w:val="left"/>
      </w:pPr>
      <w:rPr>
        <w:rFonts w:ascii="Arial Black" w:eastAsia="Arial Black" w:hAnsi="Arial Black" w:cs="Arial Black"/>
        <w:b w:val="0"/>
        <w:i w:val="0"/>
        <w:smallCaps w:val="0"/>
        <w:color w:val="000000"/>
        <w:sz w:val="22"/>
        <w:szCs w:val="22"/>
      </w:rPr>
      <w:tblPr/>
      <w:tcPr>
        <w:tcBorders>
          <w:bottom w:val="single" w:sz="6" w:space="0" w:color="404040"/>
        </w:tcBorders>
      </w:tcPr>
    </w:tblStylePr>
    <w:tblStylePr w:type="lastRow">
      <w:pPr>
        <w:jc w:val="left"/>
      </w:pPr>
      <w:rPr>
        <w:rFonts w:ascii="Arial" w:eastAsia="Arial" w:hAnsi="Arial" w:cs="Arial"/>
        <w:color w:val="000000"/>
      </w:rPr>
      <w:tblPr/>
      <w:tcPr>
        <w:tcBorders>
          <w:top w:val="single" w:sz="6" w:space="0" w:color="000000"/>
          <w:left w:val="nil"/>
          <w:bottom w:val="single" w:sz="6" w:space="0" w:color="000000"/>
          <w:right w:val="nil"/>
          <w:insideH w:val="nil"/>
          <w:insideV w:val="nil"/>
        </w:tcBorders>
      </w:tcPr>
    </w:tblStylePr>
    <w:tblStylePr w:type="band1Horz">
      <w:pPr>
        <w:jc w:val="left"/>
      </w:pPr>
      <w:rPr>
        <w:color w:val="404040"/>
      </w:rPr>
      <w:tblPr/>
      <w:tcPr>
        <w:tcBorders>
          <w:top w:val="nil"/>
          <w:left w:val="nil"/>
          <w:bottom w:val="single" w:sz="4" w:space="0" w:color="BFBFBF"/>
          <w:right w:val="nil"/>
          <w:insideH w:val="nil"/>
          <w:insideV w:val="nil"/>
        </w:tcBorders>
      </w:tcPr>
    </w:tblStylePr>
    <w:tblStylePr w:type="band2Horz">
      <w:pPr>
        <w:jc w:val="left"/>
      </w:pPr>
      <w:rPr>
        <w:color w:val="404040"/>
      </w:rPr>
      <w:tblPr/>
      <w:tcPr>
        <w:tcBorders>
          <w:top w:val="nil"/>
          <w:left w:val="nil"/>
          <w:bottom w:val="single" w:sz="4" w:space="0" w:color="BFBFBF"/>
          <w:right w:val="nil"/>
          <w:insideH w:val="nil"/>
          <w:insideV w:val="nil"/>
        </w:tcBorders>
      </w:tcPr>
    </w:tblStylePr>
  </w:style>
  <w:style w:type="table" w:customStyle="1" w:styleId="a1">
    <w:basedOn w:val="TableNormal"/>
    <w:pPr>
      <w:keepNext/>
      <w:spacing w:before="60" w:after="0"/>
      <w:ind w:left="57" w:right="57"/>
    </w:pPr>
    <w:rPr>
      <w:color w:val="404040"/>
    </w:rPr>
    <w:tblPr>
      <w:tblStyleRowBandSize w:val="1"/>
      <w:tblStyleColBandSize w:val="1"/>
      <w:tblCellMar>
        <w:left w:w="0" w:type="dxa"/>
        <w:right w:w="0" w:type="dxa"/>
      </w:tblCellMar>
    </w:tblPr>
    <w:tcPr>
      <w:shd w:val="clear" w:color="auto" w:fill="D5DBFD"/>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keepNext/>
      <w:spacing w:before="60" w:after="0"/>
      <w:ind w:left="57" w:right="57"/>
    </w:pPr>
    <w:rPr>
      <w:color w:val="404040"/>
    </w:rPr>
    <w:tblPr>
      <w:tblStyleRowBandSize w:val="1"/>
      <w:tblStyleColBandSize w:val="1"/>
      <w:tblCellMar>
        <w:left w:w="0" w:type="dxa"/>
        <w:right w:w="0" w:type="dxa"/>
      </w:tblCellMar>
    </w:tblPr>
    <w:tcPr>
      <w:shd w:val="clear" w:color="auto" w:fill="D5DBFD"/>
      <w:vAlign w:val="center"/>
    </w:tcPr>
    <w:tblStylePr w:type="firstRow">
      <w:rPr>
        <w:b/>
        <w:color w:val="FFFFFF"/>
      </w:rPr>
      <w:tblPr/>
      <w:tcPr>
        <w:tcBorders>
          <w:top w:val="single" w:sz="4" w:space="0" w:color="2E4DF9"/>
          <w:left w:val="single" w:sz="4" w:space="0" w:color="2E4DF9"/>
          <w:bottom w:val="single" w:sz="4" w:space="0" w:color="2E4DF9"/>
          <w:right w:val="single" w:sz="4" w:space="0" w:color="2E4DF9"/>
          <w:insideH w:val="nil"/>
          <w:insideV w:val="nil"/>
        </w:tcBorders>
        <w:shd w:val="clear" w:color="auto" w:fill="2E4DF9"/>
      </w:tcPr>
    </w:tblStylePr>
    <w:tblStylePr w:type="lastRow">
      <w:rPr>
        <w:b/>
      </w:rPr>
      <w:tblPr/>
      <w:tcPr>
        <w:tcBorders>
          <w:top w:val="single" w:sz="4" w:space="0" w:color="2E4DF9"/>
        </w:tcBorders>
      </w:tcPr>
    </w:tblStylePr>
    <w:tblStylePr w:type="firstCol">
      <w:rPr>
        <w:b/>
      </w:rPr>
    </w:tblStylePr>
    <w:tblStylePr w:type="lastCol">
      <w:rPr>
        <w:b/>
      </w:rPr>
    </w:tblStylePr>
    <w:tblStylePr w:type="band1Vert">
      <w:tblPr/>
      <w:tcPr>
        <w:shd w:val="clear" w:color="auto" w:fill="D5DBFD"/>
      </w:tcPr>
    </w:tblStylePr>
    <w:tblStylePr w:type="band1Horz">
      <w:tblPr/>
      <w:tcPr>
        <w:shd w:val="clear" w:color="auto" w:fill="D5DBFD"/>
      </w:tcPr>
    </w:tblStylePr>
  </w:style>
  <w:style w:type="table" w:customStyle="1" w:styleId="a3">
    <w:basedOn w:val="TableNormal"/>
    <w:pPr>
      <w:keepNext/>
      <w:spacing w:before="60" w:after="0"/>
      <w:ind w:left="57" w:right="57"/>
    </w:pPr>
    <w:rPr>
      <w:color w:val="404040"/>
    </w:rPr>
    <w:tblPr>
      <w:tblStyleRowBandSize w:val="1"/>
      <w:tblStyleColBandSize w:val="1"/>
      <w:tblCellMar>
        <w:left w:w="0" w:type="dxa"/>
        <w:right w:w="0" w:type="dxa"/>
      </w:tblCellMar>
    </w:tblPr>
    <w:tcPr>
      <w:shd w:val="clear" w:color="auto" w:fill="D5DBFD"/>
      <w:vAlign w:val="center"/>
    </w:tcPr>
    <w:tblStylePr w:type="firstRow">
      <w:rPr>
        <w:b/>
        <w:color w:val="FFFFFF"/>
      </w:rPr>
      <w:tblPr/>
      <w:tcPr>
        <w:tcBorders>
          <w:top w:val="single" w:sz="4" w:space="0" w:color="2E4DF9"/>
          <w:left w:val="single" w:sz="4" w:space="0" w:color="2E4DF9"/>
          <w:bottom w:val="single" w:sz="4" w:space="0" w:color="2E4DF9"/>
          <w:right w:val="single" w:sz="4" w:space="0" w:color="2E4DF9"/>
          <w:insideH w:val="nil"/>
          <w:insideV w:val="nil"/>
        </w:tcBorders>
        <w:shd w:val="clear" w:color="auto" w:fill="2E4DF9"/>
      </w:tcPr>
    </w:tblStylePr>
    <w:tblStylePr w:type="lastRow">
      <w:rPr>
        <w:b/>
      </w:rPr>
      <w:tblPr/>
      <w:tcPr>
        <w:tcBorders>
          <w:top w:val="single" w:sz="4" w:space="0" w:color="2E4DF9"/>
        </w:tcBorders>
      </w:tcPr>
    </w:tblStylePr>
    <w:tblStylePr w:type="firstCol">
      <w:rPr>
        <w:b/>
      </w:rPr>
    </w:tblStylePr>
    <w:tblStylePr w:type="lastCol">
      <w:rPr>
        <w:b/>
      </w:rPr>
    </w:tblStylePr>
    <w:tblStylePr w:type="band1Vert">
      <w:tblPr/>
      <w:tcPr>
        <w:shd w:val="clear" w:color="auto" w:fill="D5DBFD"/>
      </w:tcPr>
    </w:tblStylePr>
    <w:tblStylePr w:type="band1Horz">
      <w:tblPr/>
      <w:tcPr>
        <w:shd w:val="clear" w:color="auto" w:fill="D5DBFD"/>
      </w:tcPr>
    </w:tblStylePr>
  </w:style>
  <w:style w:type="table" w:customStyle="1" w:styleId="a4">
    <w:basedOn w:val="TableNormal"/>
    <w:pPr>
      <w:keepNext/>
      <w:spacing w:before="60" w:after="0"/>
      <w:ind w:left="57" w:right="57"/>
    </w:pPr>
    <w:rPr>
      <w:color w:val="404040"/>
    </w:rPr>
    <w:tblPr>
      <w:tblStyleRowBandSize w:val="1"/>
      <w:tblStyleColBandSize w:val="1"/>
      <w:tblCellMar>
        <w:left w:w="0" w:type="dxa"/>
        <w:right w:w="0" w:type="dxa"/>
      </w:tblCellMar>
    </w:tblPr>
    <w:tcPr>
      <w:shd w:val="clear" w:color="auto" w:fill="D5DBFD"/>
      <w:vAlign w:val="center"/>
    </w:tcPr>
    <w:tblStylePr w:type="firstRow">
      <w:rPr>
        <w:b/>
        <w:color w:val="FFFFFF"/>
      </w:rPr>
      <w:tblPr/>
      <w:tcPr>
        <w:tcBorders>
          <w:top w:val="single" w:sz="4" w:space="0" w:color="2E4DF9"/>
          <w:left w:val="single" w:sz="4" w:space="0" w:color="2E4DF9"/>
          <w:bottom w:val="single" w:sz="4" w:space="0" w:color="2E4DF9"/>
          <w:right w:val="single" w:sz="4" w:space="0" w:color="2E4DF9"/>
          <w:insideH w:val="nil"/>
          <w:insideV w:val="nil"/>
        </w:tcBorders>
        <w:shd w:val="clear" w:color="auto" w:fill="2E4DF9"/>
      </w:tcPr>
    </w:tblStylePr>
    <w:tblStylePr w:type="lastRow">
      <w:rPr>
        <w:b/>
      </w:rPr>
      <w:tblPr/>
      <w:tcPr>
        <w:tcBorders>
          <w:top w:val="single" w:sz="4" w:space="0" w:color="2E4DF9"/>
        </w:tcBorders>
      </w:tcPr>
    </w:tblStylePr>
    <w:tblStylePr w:type="firstCol">
      <w:rPr>
        <w:b/>
      </w:rPr>
    </w:tblStylePr>
    <w:tblStylePr w:type="lastCol">
      <w:rPr>
        <w:b/>
      </w:rPr>
    </w:tblStylePr>
    <w:tblStylePr w:type="band1Vert">
      <w:tblPr/>
      <w:tcPr>
        <w:shd w:val="clear" w:color="auto" w:fill="D5DBFD"/>
      </w:tcPr>
    </w:tblStylePr>
    <w:tblStylePr w:type="band1Horz">
      <w:tblPr/>
      <w:tcPr>
        <w:shd w:val="clear" w:color="auto" w:fill="D5DBFD"/>
      </w:tcPr>
    </w:tblStylePr>
  </w:style>
  <w:style w:type="table" w:customStyle="1" w:styleId="a5">
    <w:basedOn w:val="TableNormal"/>
    <w:pPr>
      <w:keepNext/>
      <w:spacing w:before="60" w:after="0"/>
      <w:ind w:left="57" w:right="57"/>
    </w:pPr>
    <w:rPr>
      <w:color w:val="404040"/>
    </w:rPr>
    <w:tblPr>
      <w:tblStyleRowBandSize w:val="1"/>
      <w:tblStyleColBandSize w:val="1"/>
      <w:tblCellMar>
        <w:left w:w="0" w:type="dxa"/>
        <w:right w:w="0" w:type="dxa"/>
      </w:tblCellMar>
    </w:tblPr>
    <w:tcPr>
      <w:shd w:val="clear" w:color="auto" w:fill="D5DBFD"/>
      <w:vAlign w:val="center"/>
    </w:tcPr>
    <w:tblStylePr w:type="firstRow">
      <w:rPr>
        <w:b/>
        <w:color w:val="FFFFFF"/>
      </w:rPr>
      <w:tblPr/>
      <w:tcPr>
        <w:tcBorders>
          <w:top w:val="single" w:sz="4" w:space="0" w:color="2E4DF9"/>
          <w:left w:val="single" w:sz="4" w:space="0" w:color="2E4DF9"/>
          <w:bottom w:val="single" w:sz="4" w:space="0" w:color="2E4DF9"/>
          <w:right w:val="single" w:sz="4" w:space="0" w:color="2E4DF9"/>
          <w:insideH w:val="nil"/>
          <w:insideV w:val="nil"/>
        </w:tcBorders>
        <w:shd w:val="clear" w:color="auto" w:fill="2E4DF9"/>
      </w:tcPr>
    </w:tblStylePr>
    <w:tblStylePr w:type="lastRow">
      <w:rPr>
        <w:b/>
      </w:rPr>
      <w:tblPr/>
      <w:tcPr>
        <w:tcBorders>
          <w:top w:val="single" w:sz="4" w:space="0" w:color="2E4DF9"/>
        </w:tcBorders>
      </w:tcPr>
    </w:tblStylePr>
    <w:tblStylePr w:type="firstCol">
      <w:rPr>
        <w:b/>
      </w:rPr>
    </w:tblStylePr>
    <w:tblStylePr w:type="lastCol">
      <w:rPr>
        <w:b/>
      </w:rPr>
    </w:tblStylePr>
    <w:tblStylePr w:type="band1Vert">
      <w:tblPr/>
      <w:tcPr>
        <w:shd w:val="clear" w:color="auto" w:fill="D5DBFD"/>
      </w:tcPr>
    </w:tblStylePr>
    <w:tblStylePr w:type="band1Horz">
      <w:tblPr/>
      <w:tcPr>
        <w:shd w:val="clear" w:color="auto" w:fill="D5DBFD"/>
      </w:tcPr>
    </w:tblStylePr>
  </w:style>
  <w:style w:type="table" w:customStyle="1" w:styleId="a6">
    <w:basedOn w:val="TableNormal"/>
    <w:pPr>
      <w:keepNext/>
      <w:spacing w:before="60" w:after="0"/>
      <w:ind w:left="57" w:right="57"/>
    </w:pPr>
    <w:rPr>
      <w:color w:val="404040"/>
    </w:rPr>
    <w:tblPr>
      <w:tblStyleRowBandSize w:val="1"/>
      <w:tblStyleColBandSize w:val="1"/>
      <w:tblCellMar>
        <w:left w:w="0" w:type="dxa"/>
        <w:right w:w="0" w:type="dxa"/>
      </w:tblCellMar>
    </w:tblPr>
    <w:tcPr>
      <w:shd w:val="clear" w:color="auto" w:fill="D5DBFD"/>
      <w:vAlign w:val="center"/>
    </w:tcPr>
    <w:tblStylePr w:type="firstRow">
      <w:rPr>
        <w:b/>
        <w:color w:val="FFFFFF"/>
      </w:rPr>
      <w:tblPr/>
      <w:tcPr>
        <w:tcBorders>
          <w:top w:val="single" w:sz="4" w:space="0" w:color="2E4DF9"/>
          <w:left w:val="single" w:sz="4" w:space="0" w:color="2E4DF9"/>
          <w:bottom w:val="single" w:sz="4" w:space="0" w:color="2E4DF9"/>
          <w:right w:val="single" w:sz="4" w:space="0" w:color="2E4DF9"/>
          <w:insideH w:val="nil"/>
          <w:insideV w:val="nil"/>
        </w:tcBorders>
        <w:shd w:val="clear" w:color="auto" w:fill="2E4DF9"/>
      </w:tcPr>
    </w:tblStylePr>
    <w:tblStylePr w:type="lastRow">
      <w:rPr>
        <w:b/>
      </w:rPr>
      <w:tblPr/>
      <w:tcPr>
        <w:tcBorders>
          <w:top w:val="single" w:sz="4" w:space="0" w:color="2E4DF9"/>
        </w:tcBorders>
      </w:tcPr>
    </w:tblStylePr>
    <w:tblStylePr w:type="firstCol">
      <w:rPr>
        <w:b/>
      </w:rPr>
    </w:tblStylePr>
    <w:tblStylePr w:type="lastCol">
      <w:rPr>
        <w:b/>
      </w:rPr>
    </w:tblStylePr>
    <w:tblStylePr w:type="band1Vert">
      <w:tblPr/>
      <w:tcPr>
        <w:shd w:val="clear" w:color="auto" w:fill="D5DBFD"/>
      </w:tcPr>
    </w:tblStylePr>
    <w:tblStylePr w:type="band1Horz">
      <w:tblPr/>
      <w:tcPr>
        <w:shd w:val="clear" w:color="auto" w:fill="D5DBFD"/>
      </w:tcPr>
    </w:tblStyle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pPr>
      <w:keepNext/>
      <w:spacing w:before="60" w:after="0"/>
      <w:ind w:left="57" w:right="57"/>
    </w:pPr>
    <w:rPr>
      <w:color w:val="404040"/>
    </w:rPr>
    <w:tblPr>
      <w:tblStyleRowBandSize w:val="1"/>
      <w:tblStyleColBandSize w:val="1"/>
      <w:tblCellMar>
        <w:left w:w="0" w:type="dxa"/>
        <w:right w:w="0" w:type="dxa"/>
      </w:tblCellMar>
    </w:tblPr>
    <w:tcPr>
      <w:shd w:val="clear" w:color="auto" w:fill="D5DBFD"/>
      <w:vAlign w:val="center"/>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9">
    <w:basedOn w:val="TableNormal"/>
    <w:pPr>
      <w:keepNext/>
      <w:spacing w:before="60" w:after="0"/>
      <w:ind w:left="57" w:right="57"/>
    </w:pPr>
    <w:rPr>
      <w:color w:val="404040"/>
    </w:rPr>
    <w:tblPr>
      <w:tblStyleRowBandSize w:val="1"/>
      <w:tblStyleColBandSize w:val="1"/>
      <w:tblCellMar>
        <w:left w:w="0" w:type="dxa"/>
        <w:right w:w="0" w:type="dxa"/>
      </w:tblCellMar>
    </w:tblPr>
    <w:tcPr>
      <w:shd w:val="clear" w:color="auto" w:fill="D5DBFD"/>
      <w:vAlign w:val="center"/>
    </w:tcPr>
    <w:tblStylePr w:type="firstRow">
      <w:rPr>
        <w:b/>
        <w:color w:val="FFFFFF"/>
      </w:rPr>
      <w:tblPr/>
      <w:tcPr>
        <w:tcBorders>
          <w:top w:val="single" w:sz="4" w:space="0" w:color="2E4DF9"/>
          <w:left w:val="single" w:sz="4" w:space="0" w:color="2E4DF9"/>
          <w:bottom w:val="single" w:sz="4" w:space="0" w:color="2E4DF9"/>
          <w:right w:val="single" w:sz="4" w:space="0" w:color="2E4DF9"/>
          <w:insideH w:val="nil"/>
          <w:insideV w:val="nil"/>
        </w:tcBorders>
        <w:shd w:val="clear" w:color="auto" w:fill="2E4DF9"/>
      </w:tcPr>
    </w:tblStylePr>
    <w:tblStylePr w:type="lastRow">
      <w:rPr>
        <w:b/>
      </w:rPr>
      <w:tblPr/>
      <w:tcPr>
        <w:tcBorders>
          <w:top w:val="single" w:sz="4" w:space="0" w:color="2E4DF9"/>
        </w:tcBorders>
      </w:tcPr>
    </w:tblStylePr>
    <w:tblStylePr w:type="firstCol">
      <w:rPr>
        <w:b/>
      </w:rPr>
    </w:tblStylePr>
    <w:tblStylePr w:type="lastCol">
      <w:rPr>
        <w:b/>
      </w:rPr>
    </w:tblStylePr>
    <w:tblStylePr w:type="band1Vert">
      <w:tblPr/>
      <w:tcPr>
        <w:shd w:val="clear" w:color="auto" w:fill="D5DBFD"/>
      </w:tcPr>
    </w:tblStylePr>
    <w:tblStylePr w:type="band1Horz">
      <w:tblPr/>
      <w:tcPr>
        <w:shd w:val="clear" w:color="auto" w:fill="D5DBFD"/>
      </w:tcPr>
    </w:tblStylePr>
  </w:style>
  <w:style w:type="table" w:customStyle="1" w:styleId="aa">
    <w:basedOn w:val="TableNormal"/>
    <w:pPr>
      <w:keepNext/>
      <w:spacing w:before="60" w:after="0"/>
      <w:ind w:left="57" w:right="57"/>
    </w:pPr>
    <w:rPr>
      <w:color w:val="404040"/>
    </w:rPr>
    <w:tblPr>
      <w:tblStyleRowBandSize w:val="1"/>
      <w:tblStyleColBandSize w:val="1"/>
      <w:tblCellMar>
        <w:left w:w="0" w:type="dxa"/>
        <w:right w:w="0" w:type="dxa"/>
      </w:tblCellMar>
    </w:tblPr>
    <w:tcPr>
      <w:shd w:val="clear" w:color="auto" w:fill="D5DBFD"/>
      <w:vAlign w:val="center"/>
    </w:tcPr>
    <w:tblStylePr w:type="firstRow">
      <w:rPr>
        <w:b/>
        <w:color w:val="FFFFFF"/>
      </w:rPr>
      <w:tblPr/>
      <w:tcPr>
        <w:tcBorders>
          <w:top w:val="single" w:sz="4" w:space="0" w:color="2E4DF9"/>
          <w:left w:val="single" w:sz="4" w:space="0" w:color="2E4DF9"/>
          <w:bottom w:val="single" w:sz="4" w:space="0" w:color="2E4DF9"/>
          <w:right w:val="single" w:sz="4" w:space="0" w:color="2E4DF9"/>
          <w:insideH w:val="nil"/>
          <w:insideV w:val="nil"/>
        </w:tcBorders>
        <w:shd w:val="clear" w:color="auto" w:fill="2E4DF9"/>
      </w:tcPr>
    </w:tblStylePr>
    <w:tblStylePr w:type="lastRow">
      <w:rPr>
        <w:b/>
      </w:rPr>
      <w:tblPr/>
      <w:tcPr>
        <w:tcBorders>
          <w:top w:val="single" w:sz="4" w:space="0" w:color="2E4DF9"/>
        </w:tcBorders>
      </w:tcPr>
    </w:tblStylePr>
    <w:tblStylePr w:type="firstCol">
      <w:rPr>
        <w:b/>
      </w:rPr>
    </w:tblStylePr>
    <w:tblStylePr w:type="lastCol">
      <w:rPr>
        <w:b/>
      </w:rPr>
    </w:tblStylePr>
    <w:tblStylePr w:type="band1Vert">
      <w:tblPr/>
      <w:tcPr>
        <w:shd w:val="clear" w:color="auto" w:fill="D5DBFD"/>
      </w:tcPr>
    </w:tblStylePr>
    <w:tblStylePr w:type="band1Horz">
      <w:tblPr/>
      <w:tcPr>
        <w:shd w:val="clear" w:color="auto" w:fill="D5DBFD"/>
      </w:tcPr>
    </w:tblStyle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pPr>
      <w:keepNext/>
      <w:spacing w:before="60" w:after="0"/>
      <w:ind w:left="57" w:right="57"/>
    </w:pPr>
    <w:rPr>
      <w:color w:val="404040"/>
    </w:rPr>
    <w:tblPr>
      <w:tblStyleRowBandSize w:val="1"/>
      <w:tblStyleColBandSize w:val="1"/>
      <w:tblCellMar>
        <w:left w:w="0" w:type="dxa"/>
        <w:right w:w="0" w:type="dxa"/>
      </w:tblCellMar>
    </w:tblPr>
    <w:tcPr>
      <w:shd w:val="clear" w:color="auto" w:fill="D5DBFD"/>
      <w:vAlign w:val="center"/>
    </w:tcPr>
    <w:tblStylePr w:type="firstRow">
      <w:pPr>
        <w:jc w:val="left"/>
      </w:pPr>
      <w:rPr>
        <w:rFonts w:ascii="Arial Black" w:eastAsia="Arial Black" w:hAnsi="Arial Black" w:cs="Arial Black"/>
        <w:b w:val="0"/>
        <w:i w:val="0"/>
        <w:smallCaps w:val="0"/>
        <w:color w:val="000000"/>
        <w:sz w:val="22"/>
        <w:szCs w:val="22"/>
      </w:rPr>
      <w:tblPr/>
      <w:tcPr>
        <w:tcBorders>
          <w:bottom w:val="single" w:sz="6" w:space="0" w:color="404040"/>
        </w:tcBorders>
      </w:tcPr>
    </w:tblStylePr>
    <w:tblStylePr w:type="lastRow">
      <w:pPr>
        <w:jc w:val="left"/>
      </w:pPr>
      <w:rPr>
        <w:rFonts w:ascii="Arial" w:eastAsia="Arial" w:hAnsi="Arial" w:cs="Arial"/>
        <w:color w:val="000000"/>
      </w:rPr>
      <w:tblPr/>
      <w:tcPr>
        <w:tcBorders>
          <w:top w:val="single" w:sz="6" w:space="0" w:color="000000"/>
          <w:left w:val="nil"/>
          <w:bottom w:val="single" w:sz="6" w:space="0" w:color="000000"/>
          <w:right w:val="nil"/>
          <w:insideH w:val="nil"/>
          <w:insideV w:val="nil"/>
        </w:tcBorders>
      </w:tcPr>
    </w:tblStylePr>
    <w:tblStylePr w:type="band1Horz">
      <w:pPr>
        <w:jc w:val="left"/>
      </w:pPr>
      <w:rPr>
        <w:color w:val="404040"/>
      </w:rPr>
      <w:tblPr/>
      <w:tcPr>
        <w:tcBorders>
          <w:top w:val="nil"/>
          <w:left w:val="nil"/>
          <w:bottom w:val="single" w:sz="4" w:space="0" w:color="BFBFBF"/>
          <w:right w:val="nil"/>
          <w:insideH w:val="nil"/>
          <w:insideV w:val="nil"/>
        </w:tcBorders>
      </w:tcPr>
    </w:tblStylePr>
    <w:tblStylePr w:type="band2Horz">
      <w:pPr>
        <w:jc w:val="left"/>
      </w:pPr>
      <w:rPr>
        <w:color w:val="404040"/>
      </w:rPr>
      <w:tblPr/>
      <w:tcPr>
        <w:tcBorders>
          <w:top w:val="nil"/>
          <w:left w:val="nil"/>
          <w:bottom w:val="single" w:sz="4" w:space="0" w:color="BFBFBF"/>
          <w:right w:val="nil"/>
          <w:insideH w:val="nil"/>
          <w:insideV w:val="nil"/>
        </w:tcBorders>
      </w:tcPr>
    </w:tblStylePr>
  </w:style>
  <w:style w:type="table" w:customStyle="1" w:styleId="ad">
    <w:basedOn w:val="TableNormal"/>
    <w:pPr>
      <w:keepNext/>
      <w:spacing w:before="60" w:after="0"/>
      <w:ind w:left="57" w:right="57"/>
    </w:pPr>
    <w:rPr>
      <w:color w:val="404040"/>
    </w:rPr>
    <w:tblPr>
      <w:tblStyleRowBandSize w:val="1"/>
      <w:tblStyleColBandSize w:val="1"/>
      <w:tblCellMar>
        <w:left w:w="0" w:type="dxa"/>
        <w:right w:w="0" w:type="dxa"/>
      </w:tblCellMar>
    </w:tblPr>
    <w:tcPr>
      <w:shd w:val="clear" w:color="auto" w:fill="D5DBFD"/>
      <w:vAlign w:val="center"/>
    </w:tcPr>
    <w:tblStylePr w:type="firstRow">
      <w:pPr>
        <w:jc w:val="left"/>
      </w:pPr>
      <w:rPr>
        <w:rFonts w:ascii="Arial Black" w:eastAsia="Arial Black" w:hAnsi="Arial Black" w:cs="Arial Black"/>
        <w:b w:val="0"/>
        <w:i w:val="0"/>
        <w:smallCaps w:val="0"/>
        <w:color w:val="000000"/>
        <w:sz w:val="22"/>
        <w:szCs w:val="22"/>
      </w:rPr>
      <w:tblPr/>
      <w:tcPr>
        <w:tcBorders>
          <w:bottom w:val="single" w:sz="6" w:space="0" w:color="404040"/>
        </w:tcBorders>
      </w:tcPr>
    </w:tblStylePr>
    <w:tblStylePr w:type="lastRow">
      <w:pPr>
        <w:jc w:val="left"/>
      </w:pPr>
      <w:rPr>
        <w:rFonts w:ascii="Arial" w:eastAsia="Arial" w:hAnsi="Arial" w:cs="Arial"/>
        <w:color w:val="000000"/>
      </w:rPr>
      <w:tblPr/>
      <w:tcPr>
        <w:tcBorders>
          <w:top w:val="single" w:sz="6" w:space="0" w:color="000000"/>
          <w:left w:val="nil"/>
          <w:bottom w:val="single" w:sz="6" w:space="0" w:color="000000"/>
          <w:right w:val="nil"/>
          <w:insideH w:val="nil"/>
          <w:insideV w:val="nil"/>
        </w:tcBorders>
      </w:tcPr>
    </w:tblStylePr>
    <w:tblStylePr w:type="band1Horz">
      <w:pPr>
        <w:jc w:val="left"/>
      </w:pPr>
      <w:rPr>
        <w:color w:val="404040"/>
      </w:rPr>
      <w:tblPr/>
      <w:tcPr>
        <w:tcBorders>
          <w:top w:val="nil"/>
          <w:left w:val="nil"/>
          <w:bottom w:val="single" w:sz="4" w:space="0" w:color="BFBFBF"/>
          <w:right w:val="nil"/>
          <w:insideH w:val="nil"/>
          <w:insideV w:val="nil"/>
        </w:tcBorders>
      </w:tcPr>
    </w:tblStylePr>
    <w:tblStylePr w:type="band2Horz">
      <w:pPr>
        <w:jc w:val="left"/>
      </w:pPr>
      <w:rPr>
        <w:color w:val="404040"/>
      </w:rPr>
      <w:tblPr/>
      <w:tcPr>
        <w:tcBorders>
          <w:top w:val="nil"/>
          <w:left w:val="nil"/>
          <w:bottom w:val="single" w:sz="4" w:space="0" w:color="BFBFBF"/>
          <w:right w:val="nil"/>
          <w:insideH w:val="nil"/>
          <w:insideV w:val="nil"/>
        </w:tcBorders>
      </w:tcPr>
    </w:tblStylePr>
  </w:style>
  <w:style w:type="table" w:customStyle="1" w:styleId="ae">
    <w:basedOn w:val="TableNormal"/>
    <w:pPr>
      <w:keepNext/>
      <w:spacing w:before="60" w:after="0"/>
      <w:ind w:left="57" w:right="57"/>
    </w:pPr>
    <w:rPr>
      <w:color w:val="404040"/>
    </w:rPr>
    <w:tblPr>
      <w:tblStyleRowBandSize w:val="1"/>
      <w:tblStyleColBandSize w:val="1"/>
      <w:tblCellMar>
        <w:left w:w="0" w:type="dxa"/>
        <w:right w:w="0" w:type="dxa"/>
      </w:tblCellMar>
    </w:tblPr>
    <w:tcPr>
      <w:shd w:val="clear" w:color="auto" w:fill="D5DBFD"/>
      <w:vAlign w:val="center"/>
    </w:tc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pPr>
      <w:keepNext/>
      <w:spacing w:before="60" w:after="0"/>
      <w:ind w:left="57" w:right="57"/>
    </w:pPr>
    <w:rPr>
      <w:color w:val="404040"/>
    </w:rPr>
    <w:tblPr>
      <w:tblStyleRowBandSize w:val="1"/>
      <w:tblStyleColBandSize w:val="1"/>
      <w:tblCellMar>
        <w:left w:w="0" w:type="dxa"/>
        <w:right w:w="0" w:type="dxa"/>
      </w:tblCellMar>
    </w:tblPr>
    <w:tcPr>
      <w:shd w:val="clear" w:color="auto" w:fill="D5DBFD"/>
      <w:vAlign w:val="center"/>
    </w:tcPr>
  </w:style>
  <w:style w:type="table" w:customStyle="1" w:styleId="af1">
    <w:basedOn w:val="TableNormal"/>
    <w:pPr>
      <w:keepNext/>
      <w:spacing w:before="60" w:after="0"/>
      <w:ind w:left="57" w:right="57"/>
    </w:pPr>
    <w:rPr>
      <w:color w:val="404040"/>
    </w:rPr>
    <w:tblPr>
      <w:tblStyleRowBandSize w:val="1"/>
      <w:tblStyleColBandSize w:val="1"/>
      <w:tblCellMar>
        <w:left w:w="0" w:type="dxa"/>
        <w:right w:w="0" w:type="dxa"/>
      </w:tblCellMar>
    </w:tblPr>
    <w:tcPr>
      <w:shd w:val="clear" w:color="auto" w:fill="D5DBFD"/>
      <w:vAlign w:val="center"/>
    </w:tcPr>
  </w:style>
  <w:style w:type="table" w:customStyle="1" w:styleId="af2">
    <w:basedOn w:val="TableNormal"/>
    <w:pPr>
      <w:keepNext/>
      <w:spacing w:before="60" w:after="0"/>
      <w:ind w:left="57" w:right="57"/>
    </w:pPr>
    <w:rPr>
      <w:color w:val="404040"/>
    </w:rPr>
    <w:tblPr>
      <w:tblStyleRowBandSize w:val="1"/>
      <w:tblStyleColBandSize w:val="1"/>
      <w:tblCellMar>
        <w:left w:w="0" w:type="dxa"/>
        <w:right w:w="0" w:type="dxa"/>
      </w:tblCellMar>
    </w:tblPr>
    <w:tcPr>
      <w:shd w:val="clear" w:color="auto" w:fill="D5DBFD"/>
      <w:vAlign w:val="center"/>
    </w:tcPr>
  </w:style>
  <w:style w:type="table" w:customStyle="1" w:styleId="af3">
    <w:basedOn w:val="TableNormal"/>
    <w:pPr>
      <w:keepNext/>
      <w:spacing w:before="60" w:after="0"/>
      <w:ind w:left="57" w:right="57"/>
    </w:pPr>
    <w:rPr>
      <w:color w:val="404040"/>
    </w:rPr>
    <w:tblPr>
      <w:tblStyleRowBandSize w:val="1"/>
      <w:tblStyleColBandSize w:val="1"/>
      <w:tblCellMar>
        <w:left w:w="0" w:type="dxa"/>
        <w:right w:w="0" w:type="dxa"/>
      </w:tblCellMar>
    </w:tblPr>
    <w:tcPr>
      <w:shd w:val="clear" w:color="auto" w:fill="D5DBFD"/>
      <w:vAlign w:val="center"/>
    </w:tcPr>
  </w:style>
  <w:style w:type="table" w:customStyle="1" w:styleId="af4">
    <w:basedOn w:val="TableNormal"/>
    <w:pPr>
      <w:keepNext/>
      <w:spacing w:before="60" w:after="0"/>
      <w:ind w:left="57" w:right="57"/>
    </w:pPr>
    <w:rPr>
      <w:color w:val="404040"/>
    </w:rPr>
    <w:tblPr>
      <w:tblStyleRowBandSize w:val="1"/>
      <w:tblStyleColBandSize w:val="1"/>
      <w:tblCellMar>
        <w:left w:w="0" w:type="dxa"/>
        <w:right w:w="0" w:type="dxa"/>
      </w:tblCellMar>
    </w:tblPr>
    <w:tcPr>
      <w:shd w:val="clear" w:color="auto" w:fill="D5DBFD"/>
      <w:vAlign w:val="center"/>
    </w:tcPr>
  </w:style>
  <w:style w:type="paragraph" w:styleId="ListParagraph">
    <w:name w:val="List Paragraph"/>
    <w:basedOn w:val="Normal"/>
    <w:uiPriority w:val="34"/>
    <w:qFormat/>
    <w:rsid w:val="004D7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yperlink" Target="https://www.theglobalfund.org/media/5743/fundingrequest_fullreview_instructions_en.pdf" TargetMode="Externa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theglobalfund.org/media/3048/trp_technicalreviewpanel_tor_en.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theglobalfund.org/media/5743/fundingrequest_fullreview_instructions_en.pdf" TargetMode="Externa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www.theglobalfund.org/media/5743/fundingrequest_fullreview_instructions_en.pdf" TargetMode="External"/><Relationship Id="rId1" Type="http://schemas.openxmlformats.org/officeDocument/2006/relationships/hyperlink" Target="https://www.theglobalfund.org/media/3048/trp_technicalreviewpanel_tor_en.pdf"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56</Pages>
  <Words>16508</Words>
  <Characters>94102</Characters>
  <Application>Microsoft Office Word</Application>
  <DocSecurity>0</DocSecurity>
  <Lines>784</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user</cp:lastModifiedBy>
  <cp:revision>9</cp:revision>
  <dcterms:created xsi:type="dcterms:W3CDTF">2023-03-29T10:11:00Z</dcterms:created>
  <dcterms:modified xsi:type="dcterms:W3CDTF">2023-03-30T13:43:00Z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18a01d42e062bda5f21e9b1bb163085ef0e1059250d684cf528041944a7fd115</vt:lpwstr>
  </property>
</Properties>
</file>