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13CC" w14:textId="2C0E31B2" w:rsidR="00093F25" w:rsidRDefault="009065E7">
      <w:pPr>
        <w:spacing w:after="0" w:line="259" w:lineRule="auto"/>
        <w:ind w:left="435" w:right="0" w:firstLine="0"/>
      </w:pPr>
      <w:r>
        <w:rPr>
          <w:noProof/>
        </w:rPr>
        <mc:AlternateContent>
          <mc:Choice Requires="wps">
            <w:drawing>
              <wp:anchor distT="0" distB="0" distL="114300" distR="114300" simplePos="0" relativeHeight="251659264" behindDoc="0" locked="0" layoutInCell="1" allowOverlap="1" wp14:anchorId="37954139" wp14:editId="00A31A72">
                <wp:simplePos x="0" y="0"/>
                <wp:positionH relativeFrom="column">
                  <wp:posOffset>5051607</wp:posOffset>
                </wp:positionH>
                <wp:positionV relativeFrom="paragraph">
                  <wp:posOffset>65895</wp:posOffset>
                </wp:positionV>
                <wp:extent cx="959668" cy="199176"/>
                <wp:effectExtent l="0" t="0" r="12065" b="10795"/>
                <wp:wrapNone/>
                <wp:docPr id="1396147325" name="Rectángulo 2"/>
                <wp:cNvGraphicFramePr/>
                <a:graphic xmlns:a="http://schemas.openxmlformats.org/drawingml/2006/main">
                  <a:graphicData uri="http://schemas.microsoft.com/office/word/2010/wordprocessingShape">
                    <wps:wsp>
                      <wps:cNvSpPr/>
                      <wps:spPr>
                        <a:xfrm>
                          <a:off x="0" y="0"/>
                          <a:ext cx="959668" cy="19917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2E33E8" id="Rectángulo 2" o:spid="_x0000_s1026" style="position:absolute;margin-left:397.75pt;margin-top:5.2pt;width:75.55pt;height:1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" fillcolor="white [3212]" strokecolor="white [3212]" strokeweight="1.5pt"/>
            </w:pict>
          </mc:Fallback>
        </mc:AlternateContent>
      </w:r>
      <w:r w:rsidR="00FD4679">
        <w:rPr>
          <w:noProof/>
        </w:rPr>
        <w:drawing>
          <wp:inline distT="0" distB="0" distL="0" distR="0" wp14:anchorId="47A2D439" wp14:editId="4EFFDE47">
            <wp:extent cx="7560945" cy="6953250"/>
            <wp:effectExtent l="0" t="0" r="1905" b="0"/>
            <wp:docPr id="1804178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60945" cy="6953250"/>
                    </a:xfrm>
                    <a:prstGeom prst="rect">
                      <a:avLst/>
                    </a:prstGeom>
                    <a:noFill/>
                    <a:ln>
                      <a:noFill/>
                    </a:ln>
                  </pic:spPr>
                </pic:pic>
              </a:graphicData>
            </a:graphic>
          </wp:inline>
        </w:drawing>
      </w:r>
      <w:r w:rsidR="00000000">
        <w:t xml:space="preserve"> </w:t>
      </w:r>
    </w:p>
    <w:p w14:paraId="6AA33D11" w14:textId="77777777" w:rsidR="00093F25" w:rsidRDefault="00093F25">
      <w:pPr>
        <w:sectPr w:rsidR="00093F25">
          <w:pgSz w:w="15840" w:h="12240" w:orient="landscape"/>
          <w:pgMar w:top="851" w:right="1440" w:bottom="439" w:left="1440" w:header="720" w:footer="720" w:gutter="0"/>
          <w:cols w:space="720"/>
        </w:sectPr>
      </w:pPr>
    </w:p>
    <w:p w14:paraId="136AABB7" w14:textId="77777777" w:rsidR="00093F25" w:rsidRDefault="00000000">
      <w:pPr>
        <w:spacing w:after="153" w:line="259" w:lineRule="auto"/>
        <w:ind w:left="0" w:right="1" w:firstLine="0"/>
        <w:jc w:val="center"/>
      </w:pPr>
      <w:r>
        <w:rPr>
          <w:b/>
          <w:color w:val="000000"/>
        </w:rPr>
        <w:lastRenderedPageBreak/>
        <w:t xml:space="preserve">Diagrama C4 Nivel 1 </w:t>
      </w:r>
      <w:r>
        <w:t xml:space="preserve"> </w:t>
      </w:r>
    </w:p>
    <w:p w14:paraId="7E4A4C97" w14:textId="77777777" w:rsidR="00093F25" w:rsidRDefault="00000000">
      <w:pPr>
        <w:spacing w:after="160" w:line="255" w:lineRule="auto"/>
        <w:ind w:left="14" w:right="-9" w:firstLine="0"/>
      </w:pPr>
      <w:r>
        <w:rPr>
          <w:color w:val="000000"/>
        </w:rPr>
        <w:t xml:space="preserve">Para nuestro proyecto </w:t>
      </w:r>
      <w:proofErr w:type="spellStart"/>
      <w:r>
        <w:rPr>
          <w:color w:val="000000"/>
        </w:rPr>
        <w:t>AgriSense</w:t>
      </w:r>
      <w:proofErr w:type="spellEnd"/>
      <w:r>
        <w:rPr>
          <w:color w:val="000000"/>
        </w:rPr>
        <w:t xml:space="preserve">-Sevilla, hemos construido un diagrama de contexto que define con precisión los límites de nuestro sistema y sus interacciones con el entorno, siguiendo rigurosamente la notación C4, lo que nos permite establecer un entendimiento compartido del alcance y las interacciones de nuestro sistema con todos los </w:t>
      </w:r>
      <w:proofErr w:type="spellStart"/>
      <w:r>
        <w:rPr>
          <w:color w:val="000000"/>
        </w:rPr>
        <w:t>stakeholders</w:t>
      </w:r>
      <w:proofErr w:type="spellEnd"/>
      <w:r>
        <w:rPr>
          <w:color w:val="000000"/>
        </w:rPr>
        <w:t xml:space="preserve"> del proyecto. A continuación, presentamos la descripción de nuestra arquitectura: </w:t>
      </w:r>
      <w:r>
        <w:t xml:space="preserve"> </w:t>
      </w:r>
    </w:p>
    <w:p w14:paraId="03693724" w14:textId="77777777" w:rsidR="00093F25" w:rsidRDefault="00000000">
      <w:pPr>
        <w:spacing w:after="160" w:line="255" w:lineRule="auto"/>
        <w:ind w:left="14" w:right="-9" w:firstLine="0"/>
      </w:pPr>
      <w:r>
        <w:rPr>
          <w:color w:val="000000"/>
        </w:rPr>
        <w:t>En el centro de nuestro diagrama ubicamos a</w:t>
      </w:r>
      <w:r>
        <w:rPr>
          <w:b/>
          <w:color w:val="000000"/>
        </w:rPr>
        <w:t xml:space="preserve"> </w:t>
      </w:r>
      <w:proofErr w:type="spellStart"/>
      <w:r>
        <w:rPr>
          <w:b/>
          <w:color w:val="000000"/>
        </w:rPr>
        <w:t>AgriSense</w:t>
      </w:r>
      <w:proofErr w:type="spellEnd"/>
      <w:r>
        <w:rPr>
          <w:b/>
          <w:color w:val="000000"/>
        </w:rPr>
        <w:t>-Sevilla</w:t>
      </w:r>
      <w:r>
        <w:rPr>
          <w:color w:val="000000"/>
        </w:rPr>
        <w:t xml:space="preserve">, definido como una </w:t>
      </w:r>
      <w:r>
        <w:rPr>
          <w:b/>
          <w:color w:val="000000"/>
        </w:rPr>
        <w:t>plataforma de monitoreo agroambiental para fincas cafeteras de pequeña escala</w:t>
      </w:r>
      <w:r>
        <w:rPr>
          <w:color w:val="000000"/>
        </w:rPr>
        <w:t xml:space="preserve">. Esta definición deliberadamente enfatiza el </w:t>
      </w:r>
      <w:r>
        <w:rPr>
          <w:i/>
          <w:color w:val="000000"/>
        </w:rPr>
        <w:t>propósito</w:t>
      </w:r>
      <w:r>
        <w:rPr>
          <w:color w:val="000000"/>
        </w:rPr>
        <w:t xml:space="preserve"> y el </w:t>
      </w:r>
      <w:r>
        <w:rPr>
          <w:i/>
          <w:color w:val="000000"/>
        </w:rPr>
        <w:t>valor</w:t>
      </w:r>
      <w:r>
        <w:rPr>
          <w:color w:val="000000"/>
        </w:rPr>
        <w:t xml:space="preserve"> que entregamos a los usuarios, sin adelantar detalles de implementación que corresponden a los niveles inferiores de la arquitectura. Nuestro sistema se convierte así en un habilitador tecnológico que proporciona visibilidad del cultivo y alertas tempranas para la toma de decisiones. </w:t>
      </w:r>
      <w:r>
        <w:t xml:space="preserve"> </w:t>
      </w:r>
    </w:p>
    <w:p w14:paraId="76752456" w14:textId="77777777" w:rsidR="00093F25" w:rsidRDefault="00000000">
      <w:pPr>
        <w:spacing w:after="158" w:line="258" w:lineRule="auto"/>
        <w:ind w:left="-5" w:right="0"/>
        <w:jc w:val="left"/>
      </w:pPr>
      <w:r>
        <w:rPr>
          <w:b/>
          <w:color w:val="000000"/>
        </w:rPr>
        <w:t>Identificamos dos actores principales que interactúan con nuestra plataforma:</w:t>
      </w:r>
      <w:r>
        <w:rPr>
          <w:color w:val="000000"/>
        </w:rPr>
        <w:t xml:space="preserve"> </w:t>
      </w:r>
      <w:r>
        <w:t xml:space="preserve"> </w:t>
      </w:r>
    </w:p>
    <w:p w14:paraId="1F8CA409" w14:textId="64DF875C" w:rsidR="00FD4679" w:rsidRPr="00FD4679" w:rsidRDefault="00FD4679" w:rsidP="00FD4679">
      <w:pPr>
        <w:pStyle w:val="ds-markdown-paragraph"/>
        <w:numPr>
          <w:ilvl w:val="0"/>
          <w:numId w:val="6"/>
        </w:numPr>
        <w:shd w:val="clear" w:color="auto" w:fill="FFFFFF"/>
        <w:spacing w:before="240" w:beforeAutospacing="0" w:after="240" w:afterAutospacing="0"/>
        <w:jc w:val="both"/>
        <w:rPr>
          <w:color w:val="0F1115"/>
        </w:rPr>
      </w:pPr>
      <w:r w:rsidRPr="00FD4679">
        <w:rPr>
          <w:b/>
          <w:bCs/>
          <w:color w:val="0F1115"/>
        </w:rPr>
        <w:t>El Caficultor,</w:t>
      </w:r>
      <w:r w:rsidRPr="00FD4679">
        <w:rPr>
          <w:color w:val="0F1115"/>
        </w:rPr>
        <w:t xml:space="preserve"> agricultor de pequeña escala en Sevilla, Valle del Cauca, quien representa el usuario final de nuestra solución. Hemos modelado cuidadosamente una relación </w:t>
      </w:r>
      <w:r w:rsidRPr="00FD4679">
        <w:rPr>
          <w:color w:val="0F1115"/>
        </w:rPr>
        <w:t>bidireccional,</w:t>
      </w:r>
      <w:r w:rsidRPr="00FD4679">
        <w:rPr>
          <w:color w:val="0F1115"/>
        </w:rPr>
        <w:t xml:space="preserve"> pero con un flujo asíncrono mediado por un </w:t>
      </w:r>
      <w:proofErr w:type="spellStart"/>
      <w:r w:rsidRPr="00FD4679">
        <w:rPr>
          <w:color w:val="0F1115"/>
        </w:rPr>
        <w:t>broker</w:t>
      </w:r>
      <w:proofErr w:type="spellEnd"/>
      <w:r w:rsidRPr="00FD4679">
        <w:rPr>
          <w:color w:val="0F1115"/>
        </w:rPr>
        <w:t xml:space="preserve"> MQTT: Por un lado, el caficultor consulta activamente los datos de su cultivo y registra actividades agronómicas a través de nuestra aplicación web; por otro lado, se suscribe al </w:t>
      </w:r>
      <w:proofErr w:type="spellStart"/>
      <w:r w:rsidRPr="00FD4679">
        <w:rPr>
          <w:color w:val="0F1115"/>
        </w:rPr>
        <w:t>broker</w:t>
      </w:r>
      <w:proofErr w:type="spellEnd"/>
      <w:r w:rsidRPr="00FD4679">
        <w:rPr>
          <w:color w:val="0F1115"/>
        </w:rPr>
        <w:t xml:space="preserve"> MQTT para recibir alertas tempranas de roya, broca o necesidades de riego que nuestro sistema publica en dicho </w:t>
      </w:r>
      <w:proofErr w:type="spellStart"/>
      <w:r w:rsidRPr="00FD4679">
        <w:rPr>
          <w:color w:val="0F1115"/>
        </w:rPr>
        <w:t>broker</w:t>
      </w:r>
      <w:proofErr w:type="spellEnd"/>
      <w:r w:rsidRPr="00FD4679">
        <w:rPr>
          <w:color w:val="0F1115"/>
        </w:rPr>
        <w:t>. Esta separación refleja fielmente la naturaleza desacoplada y basada en eventos de un sistema de monitoreo en tiempo real.</w:t>
      </w:r>
    </w:p>
    <w:p w14:paraId="2EBF89FA" w14:textId="3E9970E4" w:rsidR="00FD4679" w:rsidRPr="00FD4679" w:rsidRDefault="00FD4679" w:rsidP="00FD4679">
      <w:pPr>
        <w:pStyle w:val="ds-markdown-paragraph"/>
        <w:numPr>
          <w:ilvl w:val="0"/>
          <w:numId w:val="6"/>
        </w:numPr>
        <w:shd w:val="clear" w:color="auto" w:fill="FFFFFF"/>
        <w:spacing w:before="240" w:beforeAutospacing="0" w:after="240" w:afterAutospacing="0"/>
        <w:jc w:val="both"/>
        <w:rPr>
          <w:color w:val="0F1115"/>
        </w:rPr>
      </w:pPr>
      <w:r w:rsidRPr="00FD4679">
        <w:rPr>
          <w:b/>
          <w:bCs/>
          <w:color w:val="0F1115"/>
        </w:rPr>
        <w:t>El Técnico Agrónomo del Comité de Cafeteros,</w:t>
      </w:r>
      <w:r w:rsidRPr="00FD4679">
        <w:rPr>
          <w:color w:val="0F1115"/>
        </w:rPr>
        <w:t xml:space="preserve"> quien utiliza nuestra plataforma como herramienta de supervisión </w:t>
      </w:r>
      <w:proofErr w:type="spellStart"/>
      <w:r w:rsidRPr="00FD4679">
        <w:rPr>
          <w:color w:val="0F1115"/>
        </w:rPr>
        <w:t>multi-finca</w:t>
      </w:r>
      <w:proofErr w:type="spellEnd"/>
      <w:r w:rsidRPr="00FD4679">
        <w:rPr>
          <w:color w:val="0F1115"/>
        </w:rPr>
        <w:t xml:space="preserve">, analizando tendencias y generando reportes que le permiten brindar soporte especializado basado en evidencia objetiva, optimizando así sus limitadas visitas de campo. Adicionalmente, el técnico puede suscribirse al mismo </w:t>
      </w:r>
      <w:proofErr w:type="spellStart"/>
      <w:r w:rsidRPr="00FD4679">
        <w:rPr>
          <w:color w:val="0F1115"/>
        </w:rPr>
        <w:t>broker</w:t>
      </w:r>
      <w:proofErr w:type="spellEnd"/>
      <w:r w:rsidRPr="00FD4679">
        <w:rPr>
          <w:color w:val="0F1115"/>
        </w:rPr>
        <w:t xml:space="preserve"> MQTT para recibir alertas críticas de múltiples fincas, aunque esto es opcional según sus necesidades.</w:t>
      </w:r>
    </w:p>
    <w:p w14:paraId="46937A89" w14:textId="77777777" w:rsidR="00093F25" w:rsidRDefault="00000000">
      <w:pPr>
        <w:spacing w:after="158" w:line="258" w:lineRule="auto"/>
        <w:ind w:left="-5" w:right="0"/>
        <w:jc w:val="left"/>
      </w:pPr>
      <w:r>
        <w:rPr>
          <w:b/>
          <w:color w:val="000000"/>
        </w:rPr>
        <w:t>Nuestro sistema se apoya en tres sistemas externos especializados</w:t>
      </w:r>
      <w:r>
        <w:rPr>
          <w:color w:val="000000"/>
        </w:rPr>
        <w:t xml:space="preserve">, los cuales son fundamentales para la operación: </w:t>
      </w:r>
      <w:r>
        <w:t xml:space="preserve"> </w:t>
      </w:r>
    </w:p>
    <w:p w14:paraId="22D0AE11" w14:textId="77777777" w:rsidR="00093F25" w:rsidRDefault="00000000">
      <w:pPr>
        <w:numPr>
          <w:ilvl w:val="0"/>
          <w:numId w:val="1"/>
        </w:numPr>
        <w:spacing w:after="160" w:line="255" w:lineRule="auto"/>
        <w:ind w:right="-9" w:hanging="360"/>
      </w:pPr>
      <w:r>
        <w:rPr>
          <w:color w:val="000000"/>
        </w:rPr>
        <w:t xml:space="preserve">Una </w:t>
      </w:r>
      <w:r>
        <w:rPr>
          <w:b/>
          <w:color w:val="000000"/>
        </w:rPr>
        <w:t>Plataforma en la nube</w:t>
      </w:r>
      <w:r>
        <w:rPr>
          <w:color w:val="000000"/>
        </w:rPr>
        <w:t xml:space="preserve"> (AWS/Azure/GCP) que actúa como nuestro socio tecnológico para el respaldo global y el análisis de largo plazo. </w:t>
      </w:r>
      <w:proofErr w:type="spellStart"/>
      <w:r>
        <w:rPr>
          <w:color w:val="000000"/>
        </w:rPr>
        <w:t>AgriSense</w:t>
      </w:r>
      <w:proofErr w:type="spellEnd"/>
      <w:r>
        <w:rPr>
          <w:color w:val="000000"/>
        </w:rPr>
        <w:t xml:space="preserve"> sincroniza con ella los datos históricos cuando hay conectividad disponible, permitiendo la agregación de información de múltiples fincas. </w:t>
      </w:r>
      <w:r>
        <w:t xml:space="preserve"> </w:t>
      </w:r>
    </w:p>
    <w:p w14:paraId="36824D7A" w14:textId="77777777" w:rsidR="00FD4679" w:rsidRPr="00FD4679" w:rsidRDefault="00FD4679">
      <w:pPr>
        <w:numPr>
          <w:ilvl w:val="0"/>
          <w:numId w:val="1"/>
        </w:numPr>
        <w:spacing w:after="160" w:line="255" w:lineRule="auto"/>
        <w:ind w:right="-9" w:hanging="360"/>
      </w:pPr>
      <w:r w:rsidRPr="00FD4679">
        <w:rPr>
          <w:color w:val="000000"/>
        </w:rPr>
        <w:t xml:space="preserve">Un </w:t>
      </w:r>
      <w:r w:rsidRPr="00FD4679">
        <w:rPr>
          <w:b/>
          <w:bCs/>
          <w:color w:val="000000"/>
        </w:rPr>
        <w:t>Broker MQTT</w:t>
      </w:r>
      <w:r w:rsidRPr="00FD4679">
        <w:rPr>
          <w:color w:val="000000"/>
        </w:rPr>
        <w:t xml:space="preserve"> que funciona como nuestro sistema de mensajería asíncrona. </w:t>
      </w:r>
      <w:proofErr w:type="spellStart"/>
      <w:r w:rsidRPr="00FD4679">
        <w:rPr>
          <w:color w:val="000000"/>
        </w:rPr>
        <w:t>AgriSense</w:t>
      </w:r>
      <w:proofErr w:type="spellEnd"/>
      <w:r w:rsidRPr="00FD4679">
        <w:rPr>
          <w:color w:val="000000"/>
        </w:rPr>
        <w:t xml:space="preserve"> publica en él todas las alertas generadas (roya, broca, riego), y desde allí los dispositivos de los caficultores (y opcionalmente los técnicos) se suscriben para recibirlas en tiempo real.</w:t>
      </w:r>
    </w:p>
    <w:p w14:paraId="6D552272" w14:textId="59EEBAD4" w:rsidR="00093F25" w:rsidRDefault="00000000">
      <w:pPr>
        <w:numPr>
          <w:ilvl w:val="0"/>
          <w:numId w:val="1"/>
        </w:numPr>
        <w:spacing w:after="160" w:line="255" w:lineRule="auto"/>
        <w:ind w:right="-9" w:hanging="360"/>
      </w:pPr>
      <w:r>
        <w:rPr>
          <w:color w:val="000000"/>
        </w:rPr>
        <w:lastRenderedPageBreak/>
        <w:t xml:space="preserve">Un </w:t>
      </w:r>
      <w:r>
        <w:rPr>
          <w:b/>
          <w:color w:val="000000"/>
        </w:rPr>
        <w:t>Servicio meteorológico externo</w:t>
      </w:r>
      <w:r>
        <w:rPr>
          <w:color w:val="000000"/>
        </w:rPr>
        <w:t xml:space="preserve"> (IDEAM, </w:t>
      </w:r>
      <w:proofErr w:type="spellStart"/>
      <w:r>
        <w:rPr>
          <w:color w:val="000000"/>
        </w:rPr>
        <w:t>OpenWeatherMap</w:t>
      </w:r>
      <w:proofErr w:type="spellEnd"/>
      <w:r>
        <w:rPr>
          <w:color w:val="000000"/>
        </w:rPr>
        <w:t xml:space="preserve">) que consultamos para enriquecer nuestros datos locales con información climática regional, mejorando la precisión de nuestros modelos predictivos. </w:t>
      </w:r>
      <w:r>
        <w:t xml:space="preserve"> </w:t>
      </w:r>
    </w:p>
    <w:p w14:paraId="76176EA4" w14:textId="77777777" w:rsidR="00093F25" w:rsidRDefault="00000000">
      <w:pPr>
        <w:spacing w:after="160" w:line="255" w:lineRule="auto"/>
        <w:ind w:left="14" w:right="-9" w:firstLine="0"/>
      </w:pPr>
      <w:r>
        <w:rPr>
          <w:b/>
          <w:color w:val="000000"/>
        </w:rPr>
        <w:t>Es importante destacar una decisión arquitectónica fundamental:</w:t>
      </w:r>
      <w:r>
        <w:rPr>
          <w:color w:val="000000"/>
        </w:rPr>
        <w:t xml:space="preserve"> En este nivel de contexto </w:t>
      </w:r>
      <w:r>
        <w:rPr>
          <w:b/>
          <w:color w:val="000000"/>
        </w:rPr>
        <w:t xml:space="preserve">no incluimos los dispositivos </w:t>
      </w:r>
      <w:proofErr w:type="spellStart"/>
      <w:r>
        <w:rPr>
          <w:b/>
          <w:color w:val="000000"/>
        </w:rPr>
        <w:t>IoT</w:t>
      </w:r>
      <w:proofErr w:type="spellEnd"/>
      <w:r>
        <w:rPr>
          <w:b/>
          <w:color w:val="000000"/>
        </w:rPr>
        <w:t xml:space="preserve"> de campo</w:t>
      </w:r>
      <w:r>
        <w:rPr>
          <w:color w:val="000000"/>
        </w:rPr>
        <w:t xml:space="preserve"> (sensores con ESP32) como sistemas externos. Siguiendo la metodología C4, estos elementos son </w:t>
      </w:r>
      <w:r>
        <w:rPr>
          <w:i/>
          <w:color w:val="000000"/>
        </w:rPr>
        <w:t>contenedores</w:t>
      </w:r>
      <w:r>
        <w:rPr>
          <w:color w:val="000000"/>
        </w:rPr>
        <w:t xml:space="preserve"> que nosotros mismos diseñamos, construimos y programamos, por lo que forman parte integral de nuestra solución y serán modelados en detalle en el </w:t>
      </w:r>
      <w:r>
        <w:rPr>
          <w:b/>
          <w:color w:val="000000"/>
        </w:rPr>
        <w:t>diagrama de Nivel 2</w:t>
      </w:r>
      <w:r>
        <w:rPr>
          <w:color w:val="000000"/>
        </w:rPr>
        <w:t xml:space="preserve">. Una nota explicativa en nuestro diagrama aclara esta decisión, estableciendo las expectativas correctas para quienes revisan nuestra arquitectura. </w:t>
      </w:r>
      <w:r>
        <w:t xml:space="preserve"> </w:t>
      </w:r>
    </w:p>
    <w:p w14:paraId="7BFC73E6" w14:textId="77777777" w:rsidR="00093F25" w:rsidRDefault="00000000">
      <w:pPr>
        <w:spacing w:after="160" w:line="255" w:lineRule="auto"/>
        <w:ind w:left="14" w:right="-9" w:firstLine="0"/>
      </w:pPr>
      <w:r>
        <w:rPr>
          <w:color w:val="000000"/>
        </w:rPr>
        <w:t xml:space="preserve">Con esta estructura, hemos logrado un diagrama de contexto que comunica efectivamente el </w:t>
      </w:r>
      <w:r>
        <w:rPr>
          <w:i/>
          <w:color w:val="000000"/>
        </w:rPr>
        <w:t>qué</w:t>
      </w:r>
      <w:r>
        <w:rPr>
          <w:color w:val="000000"/>
        </w:rPr>
        <w:t xml:space="preserve"> y el </w:t>
      </w:r>
      <w:r>
        <w:rPr>
          <w:i/>
          <w:color w:val="000000"/>
        </w:rPr>
        <w:t>para quién</w:t>
      </w:r>
      <w:r>
        <w:rPr>
          <w:color w:val="000000"/>
        </w:rPr>
        <w:t xml:space="preserve"> de </w:t>
      </w:r>
      <w:proofErr w:type="spellStart"/>
      <w:r>
        <w:rPr>
          <w:color w:val="000000"/>
        </w:rPr>
        <w:t>AgriSense</w:t>
      </w:r>
      <w:proofErr w:type="spellEnd"/>
      <w:r>
        <w:rPr>
          <w:color w:val="000000"/>
        </w:rPr>
        <w:t xml:space="preserve">-Sevilla, estableciendo una base sólida y comprensible para todas las partes interesadas antes de profundizar en los detalles técnicos de la implementación." </w:t>
      </w:r>
      <w:r>
        <w:t xml:space="preserve"> </w:t>
      </w:r>
    </w:p>
    <w:p w14:paraId="1EF7352B" w14:textId="77777777" w:rsidR="00093F25" w:rsidRDefault="00093F25">
      <w:pPr>
        <w:sectPr w:rsidR="00093F25" w:rsidSect="00FD4679">
          <w:pgSz w:w="12240" w:h="15840"/>
          <w:pgMar w:top="1440" w:right="1440" w:bottom="1440" w:left="1440" w:header="720" w:footer="720" w:gutter="0"/>
          <w:cols w:space="720"/>
          <w:docGrid w:linePitch="326"/>
        </w:sectPr>
      </w:pPr>
    </w:p>
    <w:p w14:paraId="0CBF7AC8" w14:textId="6899A06A" w:rsidR="00093F25" w:rsidRDefault="00C54732">
      <w:pPr>
        <w:spacing w:after="0" w:line="259" w:lineRule="auto"/>
        <w:ind w:left="-22" w:right="0" w:firstLine="0"/>
      </w:pPr>
      <w:r w:rsidRPr="00C54732">
        <w:lastRenderedPageBreak/>
        <w:drawing>
          <wp:inline distT="0" distB="0" distL="0" distR="0" wp14:anchorId="68ABF9CB" wp14:editId="3BFFFA44">
            <wp:extent cx="8854289" cy="6687858"/>
            <wp:effectExtent l="0" t="0" r="4445" b="0"/>
            <wp:docPr id="164349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3733" name=""/>
                    <pic:cNvPicPr/>
                  </pic:nvPicPr>
                  <pic:blipFill>
                    <a:blip r:embed="rId7"/>
                    <a:stretch>
                      <a:fillRect/>
                    </a:stretch>
                  </pic:blipFill>
                  <pic:spPr>
                    <a:xfrm>
                      <a:off x="0" y="0"/>
                      <a:ext cx="8860329" cy="6692420"/>
                    </a:xfrm>
                    <a:prstGeom prst="rect">
                      <a:avLst/>
                    </a:prstGeom>
                  </pic:spPr>
                </pic:pic>
              </a:graphicData>
            </a:graphic>
          </wp:inline>
        </w:drawing>
      </w:r>
      <w:r w:rsidR="00000000">
        <w:rPr>
          <w:color w:val="000000"/>
        </w:rPr>
        <w:t xml:space="preserve"> </w:t>
      </w:r>
      <w:r w:rsidR="00000000">
        <w:t xml:space="preserve"> </w:t>
      </w:r>
    </w:p>
    <w:p w14:paraId="28D5FB10" w14:textId="77777777" w:rsidR="00093F25" w:rsidRDefault="00093F25">
      <w:pPr>
        <w:sectPr w:rsidR="00093F25">
          <w:pgSz w:w="15840" w:h="12240" w:orient="landscape"/>
          <w:pgMar w:top="851" w:right="1440" w:bottom="472" w:left="1440" w:header="720" w:footer="720" w:gutter="0"/>
          <w:cols w:space="720"/>
        </w:sectPr>
      </w:pPr>
    </w:p>
    <w:p w14:paraId="597277DA" w14:textId="39763381" w:rsidR="00961DC9" w:rsidRPr="00961DC9" w:rsidRDefault="00961DC9" w:rsidP="00961DC9">
      <w:pPr>
        <w:spacing w:after="153" w:line="259" w:lineRule="auto"/>
        <w:ind w:left="0" w:right="1" w:firstLine="0"/>
        <w:jc w:val="center"/>
        <w:rPr>
          <w:b/>
        </w:rPr>
      </w:pPr>
      <w:r w:rsidRPr="00961DC9">
        <w:rPr>
          <w:b/>
          <w:color w:val="000000"/>
        </w:rPr>
        <w:lastRenderedPageBreak/>
        <w:t xml:space="preserve">Diagrama C4 Nivel 2 </w:t>
      </w:r>
    </w:p>
    <w:p w14:paraId="176CD132" w14:textId="77777777" w:rsidR="00961DC9" w:rsidRPr="00961DC9" w:rsidRDefault="00961DC9" w:rsidP="00961DC9">
      <w:pPr>
        <w:pStyle w:val="ds-markdown-paragraph"/>
        <w:shd w:val="clear" w:color="auto" w:fill="FFFFFF"/>
        <w:spacing w:before="240" w:beforeAutospacing="0" w:after="240" w:afterAutospacing="0"/>
        <w:jc w:val="both"/>
        <w:rPr>
          <w:color w:val="0F1115"/>
        </w:rPr>
      </w:pPr>
      <w:r w:rsidRPr="00961DC9">
        <w:rPr>
          <w:color w:val="0F1115"/>
        </w:rPr>
        <w:t xml:space="preserve">Para nuestro proyecto </w:t>
      </w:r>
      <w:proofErr w:type="spellStart"/>
      <w:r w:rsidRPr="00961DC9">
        <w:rPr>
          <w:color w:val="0F1115"/>
        </w:rPr>
        <w:t>AgriSense</w:t>
      </w:r>
      <w:proofErr w:type="spellEnd"/>
      <w:r w:rsidRPr="00961DC9">
        <w:rPr>
          <w:color w:val="0F1115"/>
        </w:rPr>
        <w:t>-Sevilla, hemos estructurado la arquitectura en cuatro capas que reflejan el flujo completo de datos, desde la medición en campo hasta la visualización para el usuario final. Esta arquitectura está diseñada para operar en fincas cafeteras de Sevilla, Valle del Cauca, con conectividad intermitente y necesidad de autonomía energética.</w:t>
      </w:r>
    </w:p>
    <w:p w14:paraId="18F2ED78" w14:textId="77777777" w:rsidR="00961DC9" w:rsidRDefault="00961DC9" w:rsidP="00961DC9">
      <w:pPr>
        <w:pStyle w:val="ds-markdown-paragraph"/>
        <w:shd w:val="clear" w:color="auto" w:fill="FFFFFF"/>
        <w:spacing w:before="240" w:beforeAutospacing="0" w:after="240" w:afterAutospacing="0"/>
        <w:jc w:val="both"/>
        <w:rPr>
          <w:color w:val="0F1115"/>
        </w:rPr>
      </w:pPr>
      <w:r w:rsidRPr="00961DC9">
        <w:rPr>
          <w:rStyle w:val="Fuerte"/>
          <w:color w:val="0F1115"/>
        </w:rPr>
        <w:t xml:space="preserve">Capa 1 – Campo: Nodos </w:t>
      </w:r>
      <w:proofErr w:type="spellStart"/>
      <w:r w:rsidRPr="00961DC9">
        <w:rPr>
          <w:rStyle w:val="Fuerte"/>
          <w:color w:val="0F1115"/>
        </w:rPr>
        <w:t>IoT</w:t>
      </w:r>
      <w:proofErr w:type="spellEnd"/>
    </w:p>
    <w:p w14:paraId="44A22D53" w14:textId="0FA3C616" w:rsidR="00961DC9" w:rsidRPr="00961DC9" w:rsidRDefault="00961DC9" w:rsidP="00961DC9">
      <w:pPr>
        <w:pStyle w:val="ds-markdown-paragraph"/>
        <w:shd w:val="clear" w:color="auto" w:fill="FFFFFF"/>
        <w:spacing w:before="240" w:beforeAutospacing="0" w:after="240" w:afterAutospacing="0"/>
        <w:jc w:val="both"/>
        <w:rPr>
          <w:color w:val="0F1115"/>
        </w:rPr>
      </w:pPr>
      <w:r w:rsidRPr="00961DC9">
        <w:rPr>
          <w:color w:val="0F1115"/>
        </w:rPr>
        <w:t xml:space="preserve">Los nodos </w:t>
      </w:r>
      <w:proofErr w:type="spellStart"/>
      <w:r w:rsidRPr="00961DC9">
        <w:rPr>
          <w:color w:val="0F1115"/>
        </w:rPr>
        <w:t>IoT</w:t>
      </w:r>
      <w:proofErr w:type="spellEnd"/>
      <w:r w:rsidRPr="00961DC9">
        <w:rPr>
          <w:color w:val="0F1115"/>
        </w:rPr>
        <w:t xml:space="preserve"> (basados en ESP32) miden temperatura, humedad del aire, humedad del suelo y pH. Funcionan con energía solar y transmiten los datos mediante comunicación </w:t>
      </w:r>
      <w:proofErr w:type="spellStart"/>
      <w:r w:rsidRPr="00961DC9">
        <w:rPr>
          <w:color w:val="0F1115"/>
        </w:rPr>
        <w:t>LoRa</w:t>
      </w:r>
      <w:proofErr w:type="spellEnd"/>
      <w:r w:rsidRPr="00961DC9">
        <w:rPr>
          <w:color w:val="0F1115"/>
        </w:rPr>
        <w:t xml:space="preserve"> de bajo consumo y largo alcance, con muestreo periódico.</w:t>
      </w:r>
    </w:p>
    <w:p w14:paraId="7BD898D5" w14:textId="77777777" w:rsidR="00961DC9" w:rsidRDefault="00961DC9" w:rsidP="00961DC9">
      <w:pPr>
        <w:pStyle w:val="ds-markdown-paragraph"/>
        <w:shd w:val="clear" w:color="auto" w:fill="FFFFFF"/>
        <w:spacing w:before="240" w:beforeAutospacing="0" w:after="240" w:afterAutospacing="0"/>
        <w:jc w:val="both"/>
        <w:rPr>
          <w:color w:val="0F1115"/>
        </w:rPr>
      </w:pPr>
      <w:r w:rsidRPr="00961DC9">
        <w:rPr>
          <w:rStyle w:val="Fuerte"/>
          <w:color w:val="0F1115"/>
        </w:rPr>
        <w:t>Capa 2 – Edge: Gateway de Finca con procesamiento local</w:t>
      </w:r>
    </w:p>
    <w:p w14:paraId="1CB1B1E8" w14:textId="3C35ED2D" w:rsidR="00961DC9" w:rsidRPr="00961DC9" w:rsidRDefault="00961DC9" w:rsidP="00961DC9">
      <w:pPr>
        <w:pStyle w:val="ds-markdown-paragraph"/>
        <w:shd w:val="clear" w:color="auto" w:fill="FFFFFF"/>
        <w:spacing w:before="240" w:beforeAutospacing="0" w:after="240" w:afterAutospacing="0"/>
        <w:jc w:val="both"/>
        <w:rPr>
          <w:color w:val="0F1115"/>
        </w:rPr>
      </w:pPr>
      <w:r w:rsidRPr="00961DC9">
        <w:rPr>
          <w:color w:val="0F1115"/>
        </w:rPr>
        <w:t xml:space="preserve">La </w:t>
      </w:r>
      <w:proofErr w:type="spellStart"/>
      <w:r w:rsidRPr="00961DC9">
        <w:rPr>
          <w:color w:val="0F1115"/>
        </w:rPr>
        <w:t>gateway</w:t>
      </w:r>
      <w:proofErr w:type="spellEnd"/>
      <w:r w:rsidRPr="00961DC9">
        <w:rPr>
          <w:color w:val="0F1115"/>
        </w:rPr>
        <w:t xml:space="preserve"> de finca actúa como cerebro local. Cuando no hay internet, sigue procesando alertas críticas (roya, broca) y almacena datos en una base SQLite local con al menos 30 días de capacidad (NFR-01). Esto garantiza la resiliencia y el funcionamiento offline (REQ-OPT-03). Cuando la conectividad se restablece, la </w:t>
      </w:r>
      <w:proofErr w:type="spellStart"/>
      <w:r w:rsidRPr="00961DC9">
        <w:rPr>
          <w:color w:val="0F1115"/>
        </w:rPr>
        <w:t>gateway</w:t>
      </w:r>
      <w:proofErr w:type="spellEnd"/>
      <w:r w:rsidRPr="00961DC9">
        <w:rPr>
          <w:color w:val="0F1115"/>
        </w:rPr>
        <w:t xml:space="preserve"> sincroniza los datos con el </w:t>
      </w:r>
      <w:proofErr w:type="spellStart"/>
      <w:r w:rsidRPr="00961DC9">
        <w:rPr>
          <w:color w:val="0F1115"/>
        </w:rPr>
        <w:t>backend</w:t>
      </w:r>
      <w:proofErr w:type="spellEnd"/>
      <w:r w:rsidRPr="00961DC9">
        <w:rPr>
          <w:color w:val="0F1115"/>
        </w:rPr>
        <w:t>.</w:t>
      </w:r>
    </w:p>
    <w:p w14:paraId="26873F83" w14:textId="77777777" w:rsidR="00961DC9" w:rsidRDefault="00961DC9" w:rsidP="00961DC9">
      <w:pPr>
        <w:pStyle w:val="ds-markdown-paragraph"/>
        <w:shd w:val="clear" w:color="auto" w:fill="FFFFFF"/>
        <w:spacing w:before="240" w:beforeAutospacing="0" w:after="240" w:afterAutospacing="0"/>
        <w:jc w:val="both"/>
        <w:rPr>
          <w:color w:val="0F1115"/>
        </w:rPr>
      </w:pPr>
      <w:r w:rsidRPr="00961DC9">
        <w:rPr>
          <w:rStyle w:val="Fuerte"/>
          <w:color w:val="0F1115"/>
        </w:rPr>
        <w:t xml:space="preserve">Capa 3 – Nube: </w:t>
      </w:r>
      <w:proofErr w:type="spellStart"/>
      <w:r w:rsidRPr="00961DC9">
        <w:rPr>
          <w:rStyle w:val="Fuerte"/>
          <w:color w:val="0F1115"/>
        </w:rPr>
        <w:t>Backend</w:t>
      </w:r>
      <w:proofErr w:type="spellEnd"/>
      <w:r w:rsidRPr="00961DC9">
        <w:rPr>
          <w:rStyle w:val="Fuerte"/>
          <w:color w:val="0F1115"/>
        </w:rPr>
        <w:t>, persistencia y mensajería asíncrona</w:t>
      </w:r>
    </w:p>
    <w:p w14:paraId="6802C235" w14:textId="49832EC3" w:rsidR="00961DC9" w:rsidRPr="00961DC9" w:rsidRDefault="00961DC9" w:rsidP="00961DC9">
      <w:pPr>
        <w:pStyle w:val="ds-markdown-paragraph"/>
        <w:shd w:val="clear" w:color="auto" w:fill="FFFFFF"/>
        <w:spacing w:before="240" w:beforeAutospacing="0" w:after="240" w:afterAutospacing="0"/>
        <w:jc w:val="both"/>
        <w:rPr>
          <w:color w:val="0F1115"/>
        </w:rPr>
      </w:pPr>
      <w:r w:rsidRPr="00961DC9">
        <w:rPr>
          <w:color w:val="0F1115"/>
        </w:rPr>
        <w:t xml:space="preserve">Nuestra API </w:t>
      </w:r>
      <w:proofErr w:type="spellStart"/>
      <w:r w:rsidRPr="00961DC9">
        <w:rPr>
          <w:color w:val="0F1115"/>
        </w:rPr>
        <w:t>Backend</w:t>
      </w:r>
      <w:proofErr w:type="spellEnd"/>
      <w:r w:rsidRPr="00961DC9">
        <w:rPr>
          <w:color w:val="0F1115"/>
        </w:rPr>
        <w:t xml:space="preserve"> (Node.js/</w:t>
      </w:r>
      <w:proofErr w:type="spellStart"/>
      <w:r w:rsidRPr="00961DC9">
        <w:rPr>
          <w:color w:val="0F1115"/>
        </w:rPr>
        <w:t>FastAPI</w:t>
      </w:r>
      <w:proofErr w:type="spellEnd"/>
      <w:r w:rsidRPr="00961DC9">
        <w:rPr>
          <w:color w:val="0F1115"/>
        </w:rPr>
        <w:t xml:space="preserve">) recibe los datos sincronizados mediante MQTT. Los almacena en PostgreSQL con </w:t>
      </w:r>
      <w:proofErr w:type="spellStart"/>
      <w:r w:rsidRPr="00961DC9">
        <w:rPr>
          <w:color w:val="0F1115"/>
        </w:rPr>
        <w:t>TimescaleDB</w:t>
      </w:r>
      <w:proofErr w:type="spellEnd"/>
      <w:r w:rsidRPr="00961DC9">
        <w:rPr>
          <w:color w:val="0F1115"/>
        </w:rPr>
        <w:t xml:space="preserve">. </w:t>
      </w:r>
      <w:r w:rsidR="00C54732">
        <w:rPr>
          <w:color w:val="0F1115"/>
        </w:rPr>
        <w:t>H</w:t>
      </w:r>
      <w:r w:rsidRPr="00961DC9">
        <w:rPr>
          <w:color w:val="0F1115"/>
        </w:rPr>
        <w:t>emos incorporado un </w:t>
      </w:r>
      <w:r w:rsidRPr="00961DC9">
        <w:rPr>
          <w:rStyle w:val="Fuerte"/>
          <w:color w:val="0F1115"/>
        </w:rPr>
        <w:t>Broker MQTT</w:t>
      </w:r>
      <w:r w:rsidRPr="00961DC9">
        <w:rPr>
          <w:color w:val="0F1115"/>
        </w:rPr>
        <w:t xml:space="preserve"> externo como sistema de mensajería asíncrona: el </w:t>
      </w:r>
      <w:proofErr w:type="spellStart"/>
      <w:r w:rsidRPr="00961DC9">
        <w:rPr>
          <w:color w:val="0F1115"/>
        </w:rPr>
        <w:t>backend</w:t>
      </w:r>
      <w:proofErr w:type="spellEnd"/>
      <w:r w:rsidRPr="00961DC9">
        <w:rPr>
          <w:color w:val="0F1115"/>
        </w:rPr>
        <w:t xml:space="preserve"> publica alertas (roya, broca, riego) y los frontales se suscriben para recibirlas en tiempo real. También nos integramos con servicios meteorológicos externos (IDEAM, </w:t>
      </w:r>
      <w:proofErr w:type="spellStart"/>
      <w:r w:rsidRPr="00961DC9">
        <w:rPr>
          <w:color w:val="0F1115"/>
        </w:rPr>
        <w:t>OpenWeatherMap</w:t>
      </w:r>
      <w:proofErr w:type="spellEnd"/>
      <w:r w:rsidRPr="00961DC9">
        <w:rPr>
          <w:color w:val="0F1115"/>
        </w:rPr>
        <w:t xml:space="preserve">) y con plataformas </w:t>
      </w:r>
      <w:proofErr w:type="spellStart"/>
      <w:r w:rsidRPr="00961DC9">
        <w:rPr>
          <w:color w:val="0F1115"/>
        </w:rPr>
        <w:t>cloud</w:t>
      </w:r>
      <w:proofErr w:type="spellEnd"/>
      <w:r w:rsidRPr="00961DC9">
        <w:rPr>
          <w:color w:val="0F1115"/>
        </w:rPr>
        <w:t xml:space="preserve"> para respaldo y análisis </w:t>
      </w:r>
      <w:proofErr w:type="spellStart"/>
      <w:r w:rsidRPr="00961DC9">
        <w:rPr>
          <w:color w:val="0F1115"/>
        </w:rPr>
        <w:t>multi-finca</w:t>
      </w:r>
      <w:proofErr w:type="spellEnd"/>
      <w:r w:rsidRPr="00961DC9">
        <w:rPr>
          <w:color w:val="0F1115"/>
        </w:rPr>
        <w:t>.</w:t>
      </w:r>
    </w:p>
    <w:p w14:paraId="4CE15C8C" w14:textId="77777777" w:rsidR="00961DC9" w:rsidRPr="00961DC9" w:rsidRDefault="00961DC9" w:rsidP="00961DC9">
      <w:pPr>
        <w:pStyle w:val="ds-markdown-paragraph"/>
        <w:shd w:val="clear" w:color="auto" w:fill="FFFFFF"/>
        <w:spacing w:before="240" w:beforeAutospacing="0" w:after="240" w:afterAutospacing="0"/>
        <w:jc w:val="both"/>
        <w:rPr>
          <w:color w:val="0F1115"/>
        </w:rPr>
      </w:pPr>
      <w:r w:rsidRPr="00961DC9">
        <w:rPr>
          <w:rStyle w:val="Fuerte"/>
          <w:color w:val="0F1115"/>
        </w:rPr>
        <w:t>Capa 4 – Visualización y Control (</w:t>
      </w:r>
      <w:proofErr w:type="spellStart"/>
      <w:r w:rsidRPr="00961DC9">
        <w:rPr>
          <w:rStyle w:val="Fuerte"/>
          <w:color w:val="0F1115"/>
        </w:rPr>
        <w:t>React</w:t>
      </w:r>
      <w:proofErr w:type="spellEnd"/>
      <w:r w:rsidRPr="00961DC9">
        <w:rPr>
          <w:rStyle w:val="Fuerte"/>
          <w:color w:val="0F1115"/>
        </w:rPr>
        <w:t>)</w:t>
      </w:r>
    </w:p>
    <w:p w14:paraId="7CA832E9" w14:textId="77777777" w:rsidR="00961DC9" w:rsidRPr="00961DC9" w:rsidRDefault="00961DC9" w:rsidP="00961DC9">
      <w:pPr>
        <w:pStyle w:val="ds-markdown-paragraph"/>
        <w:numPr>
          <w:ilvl w:val="0"/>
          <w:numId w:val="7"/>
        </w:numPr>
        <w:shd w:val="clear" w:color="auto" w:fill="FFFFFF"/>
        <w:spacing w:before="0" w:beforeAutospacing="0" w:after="0" w:afterAutospacing="0"/>
        <w:jc w:val="both"/>
        <w:rPr>
          <w:color w:val="0F1115"/>
        </w:rPr>
      </w:pPr>
      <w:r w:rsidRPr="00961DC9">
        <w:rPr>
          <w:rStyle w:val="Fuerte"/>
          <w:color w:val="0F1115"/>
        </w:rPr>
        <w:t>Panel de Control</w:t>
      </w:r>
      <w:r w:rsidRPr="00961DC9">
        <w:rPr>
          <w:color w:val="0F1115"/>
        </w:rPr>
        <w:t> (</w:t>
      </w:r>
      <w:proofErr w:type="spellStart"/>
      <w:r w:rsidRPr="00961DC9">
        <w:rPr>
          <w:color w:val="0F1115"/>
        </w:rPr>
        <w:t>React</w:t>
      </w:r>
      <w:proofErr w:type="spellEnd"/>
      <w:r w:rsidRPr="00961DC9">
        <w:rPr>
          <w:color w:val="0F1115"/>
        </w:rPr>
        <w:t>/</w:t>
      </w:r>
      <w:proofErr w:type="spellStart"/>
      <w:r w:rsidRPr="00961DC9">
        <w:rPr>
          <w:color w:val="0F1115"/>
        </w:rPr>
        <w:t>Flutter</w:t>
      </w:r>
      <w:proofErr w:type="spellEnd"/>
      <w:r w:rsidRPr="00961DC9">
        <w:rPr>
          <w:color w:val="0F1115"/>
        </w:rPr>
        <w:t>): interfaz principal para el caficultor. Muestra datos del cultivo, permite registrar actividades fenológicas (riego, fertilización, cosecha) y recibe alertas vía suscripción MQTT.</w:t>
      </w:r>
    </w:p>
    <w:p w14:paraId="5BB5FC7E" w14:textId="77777777" w:rsidR="00961DC9" w:rsidRPr="00961DC9" w:rsidRDefault="00961DC9" w:rsidP="00961DC9">
      <w:pPr>
        <w:pStyle w:val="ds-markdown-paragraph"/>
        <w:numPr>
          <w:ilvl w:val="0"/>
          <w:numId w:val="7"/>
        </w:numPr>
        <w:shd w:val="clear" w:color="auto" w:fill="FFFFFF"/>
        <w:spacing w:before="0" w:beforeAutospacing="0" w:after="0" w:afterAutospacing="0"/>
        <w:jc w:val="both"/>
        <w:rPr>
          <w:color w:val="0F1115"/>
        </w:rPr>
      </w:pPr>
      <w:proofErr w:type="spellStart"/>
      <w:r w:rsidRPr="00961DC9">
        <w:rPr>
          <w:rStyle w:val="Fuerte"/>
          <w:color w:val="0F1115"/>
        </w:rPr>
        <w:t>Dashboard</w:t>
      </w:r>
      <w:proofErr w:type="spellEnd"/>
      <w:r w:rsidRPr="00961DC9">
        <w:rPr>
          <w:rStyle w:val="Fuerte"/>
          <w:color w:val="0F1115"/>
        </w:rPr>
        <w:t xml:space="preserve"> Web de Visualizaciones</w:t>
      </w:r>
      <w:r w:rsidRPr="00961DC9">
        <w:rPr>
          <w:color w:val="0F1115"/>
        </w:rPr>
        <w:t> (</w:t>
      </w:r>
      <w:proofErr w:type="spellStart"/>
      <w:r w:rsidRPr="00961DC9">
        <w:rPr>
          <w:color w:val="0F1115"/>
        </w:rPr>
        <w:t>React</w:t>
      </w:r>
      <w:proofErr w:type="spellEnd"/>
      <w:r w:rsidRPr="00961DC9">
        <w:rPr>
          <w:color w:val="0F1115"/>
        </w:rPr>
        <w:t xml:space="preserve"> + </w:t>
      </w:r>
      <w:proofErr w:type="spellStart"/>
      <w:r w:rsidRPr="00961DC9">
        <w:rPr>
          <w:color w:val="0F1115"/>
        </w:rPr>
        <w:t>Grafana</w:t>
      </w:r>
      <w:proofErr w:type="spellEnd"/>
      <w:r w:rsidRPr="00961DC9">
        <w:rPr>
          <w:color w:val="0F1115"/>
        </w:rPr>
        <w:t xml:space="preserve">): para el técnico agrónomo, con análisis de tendencias, gráficos históricos y supervisión </w:t>
      </w:r>
      <w:proofErr w:type="spellStart"/>
      <w:r w:rsidRPr="00961DC9">
        <w:rPr>
          <w:color w:val="0F1115"/>
        </w:rPr>
        <w:t>multi-finca</w:t>
      </w:r>
      <w:proofErr w:type="spellEnd"/>
      <w:r w:rsidRPr="00961DC9">
        <w:rPr>
          <w:color w:val="0F1115"/>
        </w:rPr>
        <w:t xml:space="preserve">. Se suscribe al </w:t>
      </w:r>
      <w:proofErr w:type="spellStart"/>
      <w:r w:rsidRPr="00961DC9">
        <w:rPr>
          <w:color w:val="0F1115"/>
        </w:rPr>
        <w:t>broker</w:t>
      </w:r>
      <w:proofErr w:type="spellEnd"/>
      <w:r w:rsidRPr="00961DC9">
        <w:rPr>
          <w:color w:val="0F1115"/>
        </w:rPr>
        <w:t xml:space="preserve"> MQTT para actualizaciones en vivo.</w:t>
      </w:r>
    </w:p>
    <w:p w14:paraId="6FA464AF" w14:textId="77777777" w:rsidR="00961DC9" w:rsidRPr="00961DC9" w:rsidRDefault="00961DC9" w:rsidP="00961DC9">
      <w:pPr>
        <w:pStyle w:val="ds-markdown-paragraph"/>
        <w:numPr>
          <w:ilvl w:val="0"/>
          <w:numId w:val="7"/>
        </w:numPr>
        <w:shd w:val="clear" w:color="auto" w:fill="FFFFFF"/>
        <w:spacing w:before="0" w:beforeAutospacing="0" w:after="0" w:afterAutospacing="0"/>
        <w:jc w:val="both"/>
        <w:rPr>
          <w:color w:val="0F1115"/>
        </w:rPr>
      </w:pPr>
      <w:proofErr w:type="spellStart"/>
      <w:r w:rsidRPr="00961DC9">
        <w:rPr>
          <w:rStyle w:val="Fuerte"/>
          <w:color w:val="0F1115"/>
        </w:rPr>
        <w:t>Dashboard</w:t>
      </w:r>
      <w:proofErr w:type="spellEnd"/>
      <w:r w:rsidRPr="00961DC9">
        <w:rPr>
          <w:rStyle w:val="Fuerte"/>
          <w:color w:val="0F1115"/>
        </w:rPr>
        <w:t xml:space="preserve"> Web de Acciones</w:t>
      </w:r>
      <w:r w:rsidRPr="00961DC9">
        <w:rPr>
          <w:color w:val="0F1115"/>
        </w:rPr>
        <w:t> (</w:t>
      </w:r>
      <w:proofErr w:type="spellStart"/>
      <w:r w:rsidRPr="00961DC9">
        <w:rPr>
          <w:color w:val="0F1115"/>
        </w:rPr>
        <w:t>React</w:t>
      </w:r>
      <w:proofErr w:type="spellEnd"/>
      <w:r w:rsidRPr="00961DC9">
        <w:rPr>
          <w:color w:val="0F1115"/>
        </w:rPr>
        <w:t xml:space="preserve">): permite al técnico enviar comandos de control remoto (activar riego, resetear alarmas, forzar lecturas). Las confirmaciones vuelven por el mismo </w:t>
      </w:r>
      <w:proofErr w:type="spellStart"/>
      <w:r w:rsidRPr="00961DC9">
        <w:rPr>
          <w:color w:val="0F1115"/>
        </w:rPr>
        <w:t>broker</w:t>
      </w:r>
      <w:proofErr w:type="spellEnd"/>
      <w:r w:rsidRPr="00961DC9">
        <w:rPr>
          <w:color w:val="0F1115"/>
        </w:rPr>
        <w:t>.</w:t>
      </w:r>
    </w:p>
    <w:p w14:paraId="10B77188" w14:textId="672C3B1A" w:rsidR="00961DC9" w:rsidRPr="00961DC9" w:rsidRDefault="00961DC9" w:rsidP="00961DC9">
      <w:pPr>
        <w:pStyle w:val="ds-markdown-paragraph"/>
        <w:shd w:val="clear" w:color="auto" w:fill="FFFFFF"/>
        <w:spacing w:before="240" w:beforeAutospacing="0" w:after="240" w:afterAutospacing="0"/>
        <w:jc w:val="both"/>
        <w:rPr>
          <w:color w:val="0F1115"/>
        </w:rPr>
      </w:pPr>
      <w:r w:rsidRPr="00961DC9">
        <w:rPr>
          <w:rStyle w:val="Fuerte"/>
          <w:color w:val="0F1115"/>
        </w:rPr>
        <w:t>Bidireccionalidad</w:t>
      </w:r>
      <w:r w:rsidRPr="00961DC9">
        <w:rPr>
          <w:color w:val="0F1115"/>
        </w:rPr>
        <w:br/>
        <w:t>Hemos modelado explícitamente la relación bidireccional entre el caficultor y el panel de control, así como entre el panel y la API. El agricultor no solo consume datos, sino que registra su conocimiento empírico (cambios de etapa, actividades), lo que reconfigura los umbrales de alerta (REQ-EVT-03).</w:t>
      </w:r>
    </w:p>
    <w:p w14:paraId="515E180C" w14:textId="77777777" w:rsidR="00961DC9" w:rsidRDefault="00961DC9" w:rsidP="00961DC9">
      <w:pPr>
        <w:pStyle w:val="Ttulo1"/>
        <w:jc w:val="both"/>
        <w:rPr>
          <w:bCs/>
          <w:kern w:val="0"/>
          <w:sz w:val="24"/>
          <w14:ligatures w14:val="none"/>
        </w:rPr>
      </w:pPr>
      <w:r w:rsidRPr="00961DC9">
        <w:rPr>
          <w:bCs/>
          <w:kern w:val="0"/>
          <w:sz w:val="24"/>
          <w14:ligatures w14:val="none"/>
        </w:rPr>
        <w:lastRenderedPageBreak/>
        <w:t>Trazabilidad del flujo de datos</w:t>
      </w:r>
    </w:p>
    <w:p w14:paraId="0B14723D" w14:textId="41A0D026" w:rsidR="00961DC9" w:rsidRPr="00961DC9" w:rsidRDefault="00961DC9" w:rsidP="00961DC9">
      <w:pPr>
        <w:pStyle w:val="Ttulo1"/>
        <w:jc w:val="both"/>
        <w:rPr>
          <w:bCs/>
          <w:kern w:val="0"/>
          <w:sz w:val="24"/>
          <w14:ligatures w14:val="none"/>
        </w:rPr>
      </w:pPr>
      <w:r w:rsidRPr="00961DC9">
        <w:rPr>
          <w:b w:val="0"/>
          <w:kern w:val="0"/>
          <w:sz w:val="24"/>
          <w14:ligatures w14:val="none"/>
        </w:rPr>
        <w:t xml:space="preserve">El flujo completo comienza con la captura de datos por los sensores conectados al ESP32. Cada nodo envía las lecturas a la </w:t>
      </w:r>
      <w:proofErr w:type="spellStart"/>
      <w:r w:rsidRPr="00961DC9">
        <w:rPr>
          <w:b w:val="0"/>
          <w:kern w:val="0"/>
          <w:sz w:val="24"/>
          <w14:ligatures w14:val="none"/>
        </w:rPr>
        <w:t>gateway</w:t>
      </w:r>
      <w:proofErr w:type="spellEnd"/>
      <w:r w:rsidRPr="00961DC9">
        <w:rPr>
          <w:b w:val="0"/>
          <w:kern w:val="0"/>
          <w:sz w:val="24"/>
          <w14:ligatures w14:val="none"/>
        </w:rPr>
        <w:t xml:space="preserve"> de finca mediante </w:t>
      </w:r>
      <w:proofErr w:type="spellStart"/>
      <w:r w:rsidRPr="00961DC9">
        <w:rPr>
          <w:b w:val="0"/>
          <w:kern w:val="0"/>
          <w:sz w:val="24"/>
          <w14:ligatures w14:val="none"/>
        </w:rPr>
        <w:t>LoRa</w:t>
      </w:r>
      <w:proofErr w:type="spellEnd"/>
      <w:r w:rsidRPr="00961DC9">
        <w:rPr>
          <w:b w:val="0"/>
          <w:kern w:val="0"/>
          <w:sz w:val="24"/>
          <w14:ligatures w14:val="none"/>
        </w:rPr>
        <w:t xml:space="preserve">. La </w:t>
      </w:r>
      <w:proofErr w:type="spellStart"/>
      <w:r w:rsidRPr="00961DC9">
        <w:rPr>
          <w:b w:val="0"/>
          <w:kern w:val="0"/>
          <w:sz w:val="24"/>
          <w14:ligatures w14:val="none"/>
        </w:rPr>
        <w:t>gateway</w:t>
      </w:r>
      <w:proofErr w:type="spellEnd"/>
      <w:r w:rsidRPr="00961DC9">
        <w:rPr>
          <w:b w:val="0"/>
          <w:kern w:val="0"/>
          <w:sz w:val="24"/>
          <w14:ligatures w14:val="none"/>
        </w:rPr>
        <w:t xml:space="preserve">, actuando como buffer, almacena localmente los datos en SQLite y, cuando hay conectividad, los sincroniza con nuestra API </w:t>
      </w:r>
      <w:proofErr w:type="spellStart"/>
      <w:r w:rsidRPr="00961DC9">
        <w:rPr>
          <w:b w:val="0"/>
          <w:kern w:val="0"/>
          <w:sz w:val="24"/>
          <w14:ligatures w14:val="none"/>
        </w:rPr>
        <w:t>Backend</w:t>
      </w:r>
      <w:proofErr w:type="spellEnd"/>
      <w:r w:rsidRPr="00961DC9">
        <w:rPr>
          <w:b w:val="0"/>
          <w:kern w:val="0"/>
          <w:sz w:val="24"/>
          <w14:ligatures w14:val="none"/>
        </w:rPr>
        <w:t xml:space="preserve"> vía MQTT. El </w:t>
      </w:r>
      <w:proofErr w:type="spellStart"/>
      <w:r w:rsidRPr="00961DC9">
        <w:rPr>
          <w:b w:val="0"/>
          <w:kern w:val="0"/>
          <w:sz w:val="24"/>
          <w14:ligatures w14:val="none"/>
        </w:rPr>
        <w:t>backend</w:t>
      </w:r>
      <w:proofErr w:type="spellEnd"/>
      <w:r w:rsidRPr="00961DC9">
        <w:rPr>
          <w:b w:val="0"/>
          <w:kern w:val="0"/>
          <w:sz w:val="24"/>
          <w14:ligatures w14:val="none"/>
        </w:rPr>
        <w:t xml:space="preserve"> procesa la información, aplica las reglas de alerta y la persiste en PostgreSQL + </w:t>
      </w:r>
      <w:proofErr w:type="spellStart"/>
      <w:r w:rsidRPr="00961DC9">
        <w:rPr>
          <w:b w:val="0"/>
          <w:kern w:val="0"/>
          <w:sz w:val="24"/>
          <w14:ligatures w14:val="none"/>
        </w:rPr>
        <w:t>TimescaleDB</w:t>
      </w:r>
      <w:proofErr w:type="spellEnd"/>
      <w:r w:rsidRPr="00961DC9">
        <w:rPr>
          <w:b w:val="0"/>
          <w:kern w:val="0"/>
          <w:sz w:val="24"/>
          <w14:ligatures w14:val="none"/>
        </w:rPr>
        <w:t xml:space="preserve">. Finalmente, los datos están disponibles para consulta en el panel de control (caficultor) y en los </w:t>
      </w:r>
      <w:proofErr w:type="spellStart"/>
      <w:r w:rsidRPr="00961DC9">
        <w:rPr>
          <w:b w:val="0"/>
          <w:kern w:val="0"/>
          <w:sz w:val="24"/>
          <w14:ligatures w14:val="none"/>
        </w:rPr>
        <w:t>dashboards</w:t>
      </w:r>
      <w:proofErr w:type="spellEnd"/>
      <w:r w:rsidRPr="00961DC9">
        <w:rPr>
          <w:b w:val="0"/>
          <w:kern w:val="0"/>
          <w:sz w:val="24"/>
          <w14:ligatures w14:val="none"/>
        </w:rPr>
        <w:t xml:space="preserve"> web (técnico), mientras que las alertas se distribuyen en tiempo real mediante el </w:t>
      </w:r>
      <w:proofErr w:type="spellStart"/>
      <w:r w:rsidRPr="00961DC9">
        <w:rPr>
          <w:b w:val="0"/>
          <w:kern w:val="0"/>
          <w:sz w:val="24"/>
          <w14:ligatures w14:val="none"/>
        </w:rPr>
        <w:t>broker</w:t>
      </w:r>
      <w:proofErr w:type="spellEnd"/>
      <w:r w:rsidRPr="00961DC9">
        <w:rPr>
          <w:b w:val="0"/>
          <w:kern w:val="0"/>
          <w:sz w:val="24"/>
          <w14:ligatures w14:val="none"/>
        </w:rPr>
        <w:t xml:space="preserve"> MQTT al que se suscriben todas las interfaces.</w:t>
      </w:r>
    </w:p>
    <w:p w14:paraId="594EC418" w14:textId="77777777" w:rsidR="00961DC9" w:rsidRDefault="00961DC9" w:rsidP="00961DC9">
      <w:pPr>
        <w:pStyle w:val="Ttulo1"/>
        <w:jc w:val="both"/>
        <w:rPr>
          <w:bCs/>
          <w:kern w:val="0"/>
          <w:sz w:val="24"/>
          <w14:ligatures w14:val="none"/>
        </w:rPr>
      </w:pPr>
      <w:r w:rsidRPr="00961DC9">
        <w:rPr>
          <w:bCs/>
          <w:kern w:val="0"/>
          <w:sz w:val="24"/>
          <w14:ligatures w14:val="none"/>
        </w:rPr>
        <w:t>Conclusión</w:t>
      </w:r>
    </w:p>
    <w:p w14:paraId="2A6F4310" w14:textId="69C22D3F" w:rsidR="00961DC9" w:rsidRPr="00961DC9" w:rsidRDefault="00961DC9" w:rsidP="00961DC9">
      <w:pPr>
        <w:pStyle w:val="Ttulo1"/>
        <w:jc w:val="both"/>
        <w:rPr>
          <w:bCs/>
          <w:kern w:val="0"/>
          <w:sz w:val="24"/>
          <w14:ligatures w14:val="none"/>
        </w:rPr>
      </w:pPr>
      <w:r w:rsidRPr="00961DC9">
        <w:rPr>
          <w:b w:val="0"/>
          <w:kern w:val="0"/>
          <w:sz w:val="24"/>
          <w14:ligatures w14:val="none"/>
        </w:rPr>
        <w:t xml:space="preserve">Esta arquitectura de cuatro capas, con procesamiento </w:t>
      </w:r>
      <w:proofErr w:type="spellStart"/>
      <w:r w:rsidRPr="00961DC9">
        <w:rPr>
          <w:b w:val="0"/>
          <w:kern w:val="0"/>
          <w:sz w:val="24"/>
          <w14:ligatures w14:val="none"/>
        </w:rPr>
        <w:t>edge</w:t>
      </w:r>
      <w:proofErr w:type="spellEnd"/>
      <w:r w:rsidRPr="00961DC9">
        <w:rPr>
          <w:b w:val="0"/>
          <w:kern w:val="0"/>
          <w:sz w:val="24"/>
          <w14:ligatures w14:val="none"/>
        </w:rPr>
        <w:t xml:space="preserve">, almacenamiento local, mensajería asíncrona mediante </w:t>
      </w:r>
      <w:proofErr w:type="spellStart"/>
      <w:r w:rsidRPr="00961DC9">
        <w:rPr>
          <w:b w:val="0"/>
          <w:kern w:val="0"/>
          <w:sz w:val="24"/>
          <w14:ligatures w14:val="none"/>
        </w:rPr>
        <w:t>broker</w:t>
      </w:r>
      <w:proofErr w:type="spellEnd"/>
      <w:r w:rsidRPr="00961DC9">
        <w:rPr>
          <w:b w:val="0"/>
          <w:kern w:val="0"/>
          <w:sz w:val="24"/>
          <w14:ligatures w14:val="none"/>
        </w:rPr>
        <w:t xml:space="preserve"> MQTT, e interfaces especializadas, constituye una solución robusta y adaptada a las condiciones reales de la caficultura de pequeña escala en Sevilla.</w:t>
      </w:r>
    </w:p>
    <w:p w14:paraId="1A417D4D" w14:textId="37ABEB66" w:rsidR="00093F25" w:rsidRDefault="00093F25" w:rsidP="00961DC9">
      <w:pPr>
        <w:pStyle w:val="Ttulo1"/>
      </w:pPr>
    </w:p>
    <w:sectPr w:rsidR="00093F25">
      <w:pgSz w:w="12240" w:h="15840"/>
      <w:pgMar w:top="1677" w:right="831" w:bottom="1521" w:left="8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82D"/>
    <w:multiLevelType w:val="multilevel"/>
    <w:tmpl w:val="2528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921B0"/>
    <w:multiLevelType w:val="hybridMultilevel"/>
    <w:tmpl w:val="4C863320"/>
    <w:lvl w:ilvl="0" w:tplc="DF660766">
      <w:start w:val="1"/>
      <w:numFmt w:val="bullet"/>
      <w:lvlText w:val="•"/>
      <w:lvlJc w:val="left"/>
      <w:pPr>
        <w:ind w:left="73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343A1CFE">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C1F67190">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1F16CF42">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B4E0A8BE">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14CE80F2">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4ACCC4F2">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31F4B37C">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484630CE">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2" w15:restartNumberingAfterBreak="0">
    <w:nsid w:val="306B3E8B"/>
    <w:multiLevelType w:val="hybridMultilevel"/>
    <w:tmpl w:val="55005BCC"/>
    <w:lvl w:ilvl="0" w:tplc="2B98D8C0">
      <w:start w:val="1"/>
      <w:numFmt w:val="bullet"/>
      <w:lvlText w:val="•"/>
      <w:lvlJc w:val="left"/>
      <w:pPr>
        <w:ind w:left="73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CC4C2C92">
      <w:start w:val="1"/>
      <w:numFmt w:val="decimal"/>
      <w:lvlText w:val="%2."/>
      <w:lvlJc w:val="left"/>
      <w:pPr>
        <w:ind w:left="1455"/>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2" w:tplc="655A87E8">
      <w:start w:val="1"/>
      <w:numFmt w:val="lowerRoman"/>
      <w:lvlText w:val="%3"/>
      <w:lvlJc w:val="left"/>
      <w:pPr>
        <w:ind w:left="21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3" w:tplc="40FA1120">
      <w:start w:val="1"/>
      <w:numFmt w:val="decimal"/>
      <w:lvlText w:val="%4"/>
      <w:lvlJc w:val="left"/>
      <w:pPr>
        <w:ind w:left="28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4" w:tplc="444C69BC">
      <w:start w:val="1"/>
      <w:numFmt w:val="lowerLetter"/>
      <w:lvlText w:val="%5"/>
      <w:lvlJc w:val="left"/>
      <w:pPr>
        <w:ind w:left="360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5" w:tplc="B80EA3B2">
      <w:start w:val="1"/>
      <w:numFmt w:val="lowerRoman"/>
      <w:lvlText w:val="%6"/>
      <w:lvlJc w:val="left"/>
      <w:pPr>
        <w:ind w:left="432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6" w:tplc="74E887E0">
      <w:start w:val="1"/>
      <w:numFmt w:val="decimal"/>
      <w:lvlText w:val="%7"/>
      <w:lvlJc w:val="left"/>
      <w:pPr>
        <w:ind w:left="50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7" w:tplc="3E2213D8">
      <w:start w:val="1"/>
      <w:numFmt w:val="lowerLetter"/>
      <w:lvlText w:val="%8"/>
      <w:lvlJc w:val="left"/>
      <w:pPr>
        <w:ind w:left="57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8" w:tplc="962455B6">
      <w:start w:val="1"/>
      <w:numFmt w:val="lowerRoman"/>
      <w:lvlText w:val="%9"/>
      <w:lvlJc w:val="left"/>
      <w:pPr>
        <w:ind w:left="64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abstractNum>
  <w:abstractNum w:abstractNumId="3" w15:restartNumberingAfterBreak="0">
    <w:nsid w:val="45423B68"/>
    <w:multiLevelType w:val="hybridMultilevel"/>
    <w:tmpl w:val="94B8DB4E"/>
    <w:lvl w:ilvl="0" w:tplc="C7104A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F447D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22B1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426F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B853C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4ED7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E803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54B75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4987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6033E2"/>
    <w:multiLevelType w:val="hybridMultilevel"/>
    <w:tmpl w:val="6726B9E4"/>
    <w:lvl w:ilvl="0" w:tplc="240A0001">
      <w:start w:val="1"/>
      <w:numFmt w:val="bullet"/>
      <w:lvlText w:val=""/>
      <w:lvlJc w:val="left"/>
      <w:pPr>
        <w:ind w:left="720" w:hanging="360"/>
      </w:pPr>
      <w:rPr>
        <w:rFonts w:ascii="Symbol" w:hAnsi="Symbol" w:hint="default"/>
      </w:rPr>
    </w:lvl>
    <w:lvl w:ilvl="1" w:tplc="0A6E7E02">
      <w:numFmt w:val="bullet"/>
      <w:lvlText w:val="•"/>
      <w:lvlJc w:val="left"/>
      <w:pPr>
        <w:ind w:left="1440" w:hanging="360"/>
      </w:pPr>
      <w:rPr>
        <w:rFonts w:ascii="Segoe UI" w:eastAsia="Times New Roman" w:hAnsi="Segoe UI" w:cs="Segoe U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D4E0041"/>
    <w:multiLevelType w:val="hybridMultilevel"/>
    <w:tmpl w:val="E6280B26"/>
    <w:lvl w:ilvl="0" w:tplc="EAD484B0">
      <w:start w:val="1"/>
      <w:numFmt w:val="bullet"/>
      <w:lvlText w:val="o"/>
      <w:lvlJc w:val="left"/>
      <w:pPr>
        <w:ind w:left="145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1" w:tplc="DF74F12C">
      <w:start w:val="1"/>
      <w:numFmt w:val="bullet"/>
      <w:lvlText w:val="o"/>
      <w:lvlJc w:val="left"/>
      <w:pPr>
        <w:ind w:left="217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EAC4F9C8">
      <w:start w:val="1"/>
      <w:numFmt w:val="bullet"/>
      <w:lvlText w:val="▪"/>
      <w:lvlJc w:val="left"/>
      <w:pPr>
        <w:ind w:left="289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1FE262B4">
      <w:start w:val="1"/>
      <w:numFmt w:val="bullet"/>
      <w:lvlText w:val="•"/>
      <w:lvlJc w:val="left"/>
      <w:pPr>
        <w:ind w:left="361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02549398">
      <w:start w:val="1"/>
      <w:numFmt w:val="bullet"/>
      <w:lvlText w:val="o"/>
      <w:lvlJc w:val="left"/>
      <w:pPr>
        <w:ind w:left="433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A3FCA7BE">
      <w:start w:val="1"/>
      <w:numFmt w:val="bullet"/>
      <w:lvlText w:val="▪"/>
      <w:lvlJc w:val="left"/>
      <w:pPr>
        <w:ind w:left="505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912E2216">
      <w:start w:val="1"/>
      <w:numFmt w:val="bullet"/>
      <w:lvlText w:val="•"/>
      <w:lvlJc w:val="left"/>
      <w:pPr>
        <w:ind w:left="577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01EC180A">
      <w:start w:val="1"/>
      <w:numFmt w:val="bullet"/>
      <w:lvlText w:val="o"/>
      <w:lvlJc w:val="left"/>
      <w:pPr>
        <w:ind w:left="649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7DF8F58A">
      <w:start w:val="1"/>
      <w:numFmt w:val="bullet"/>
      <w:lvlText w:val="▪"/>
      <w:lvlJc w:val="left"/>
      <w:pPr>
        <w:ind w:left="721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abstractNum w:abstractNumId="6" w15:restartNumberingAfterBreak="0">
    <w:nsid w:val="62CF750A"/>
    <w:multiLevelType w:val="hybridMultilevel"/>
    <w:tmpl w:val="AD66D322"/>
    <w:lvl w:ilvl="0" w:tplc="69402194">
      <w:start w:val="1"/>
      <w:numFmt w:val="bullet"/>
      <w:lvlText w:val="•"/>
      <w:lvlJc w:val="left"/>
      <w:pPr>
        <w:ind w:left="73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AB7EAD32">
      <w:start w:val="1"/>
      <w:numFmt w:val="bullet"/>
      <w:lvlText w:val="o"/>
      <w:lvlJc w:val="left"/>
      <w:pPr>
        <w:ind w:left="145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E318B796">
      <w:start w:val="1"/>
      <w:numFmt w:val="bullet"/>
      <w:lvlText w:val="▪"/>
      <w:lvlJc w:val="left"/>
      <w:pPr>
        <w:ind w:left="217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702E0E0C">
      <w:start w:val="1"/>
      <w:numFmt w:val="bullet"/>
      <w:lvlText w:val="•"/>
      <w:lvlJc w:val="left"/>
      <w:pPr>
        <w:ind w:left="289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58B47DF2">
      <w:start w:val="1"/>
      <w:numFmt w:val="bullet"/>
      <w:lvlText w:val="o"/>
      <w:lvlJc w:val="left"/>
      <w:pPr>
        <w:ind w:left="361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210AFDCA">
      <w:start w:val="1"/>
      <w:numFmt w:val="bullet"/>
      <w:lvlText w:val="▪"/>
      <w:lvlJc w:val="left"/>
      <w:pPr>
        <w:ind w:left="433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B1024CD2">
      <w:start w:val="1"/>
      <w:numFmt w:val="bullet"/>
      <w:lvlText w:val="•"/>
      <w:lvlJc w:val="left"/>
      <w:pPr>
        <w:ind w:left="505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A4B2E0CE">
      <w:start w:val="1"/>
      <w:numFmt w:val="bullet"/>
      <w:lvlText w:val="o"/>
      <w:lvlJc w:val="left"/>
      <w:pPr>
        <w:ind w:left="577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C73611BE">
      <w:start w:val="1"/>
      <w:numFmt w:val="bullet"/>
      <w:lvlText w:val="▪"/>
      <w:lvlJc w:val="left"/>
      <w:pPr>
        <w:ind w:left="6495"/>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num w:numId="1" w16cid:durableId="1371878703">
    <w:abstractNumId w:val="3"/>
  </w:num>
  <w:num w:numId="2" w16cid:durableId="700476579">
    <w:abstractNumId w:val="6"/>
  </w:num>
  <w:num w:numId="3" w16cid:durableId="2137871253">
    <w:abstractNumId w:val="2"/>
  </w:num>
  <w:num w:numId="4" w16cid:durableId="322438587">
    <w:abstractNumId w:val="1"/>
  </w:num>
  <w:num w:numId="5" w16cid:durableId="1615794944">
    <w:abstractNumId w:val="5"/>
  </w:num>
  <w:num w:numId="6" w16cid:durableId="1962151194">
    <w:abstractNumId w:val="4"/>
  </w:num>
  <w:num w:numId="7" w16cid:durableId="695079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F25"/>
    <w:rsid w:val="00093F25"/>
    <w:rsid w:val="00457179"/>
    <w:rsid w:val="009065E7"/>
    <w:rsid w:val="00961DC9"/>
    <w:rsid w:val="00C54732"/>
    <w:rsid w:val="00FD46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49DA"/>
  <w15:docId w15:val="{5CDEFD03-5187-4C29-8A43-9EA24855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6" w:line="360" w:lineRule="auto"/>
      <w:ind w:left="10" w:right="7" w:hanging="10"/>
      <w:jc w:val="both"/>
    </w:pPr>
    <w:rPr>
      <w:rFonts w:ascii="Times New Roman" w:eastAsia="Times New Roman" w:hAnsi="Times New Roman" w:cs="Times New Roman"/>
      <w:color w:val="0F1115"/>
    </w:rPr>
  </w:style>
  <w:style w:type="paragraph" w:styleId="Ttulo1">
    <w:name w:val="heading 1"/>
    <w:next w:val="Normal"/>
    <w:link w:val="Ttulo1Car"/>
    <w:uiPriority w:val="9"/>
    <w:qFormat/>
    <w:pPr>
      <w:keepNext/>
      <w:keepLines/>
      <w:spacing w:after="273" w:line="259" w:lineRule="auto"/>
      <w:ind w:right="10"/>
      <w:jc w:val="center"/>
      <w:outlineLvl w:val="0"/>
    </w:pPr>
    <w:rPr>
      <w:rFonts w:ascii="Times New Roman" w:eastAsia="Times New Roman" w:hAnsi="Times New Roman" w:cs="Times New Roman"/>
      <w:b/>
      <w:color w:val="0F1115"/>
      <w:sz w:val="28"/>
    </w:rPr>
  </w:style>
  <w:style w:type="paragraph" w:styleId="Ttulo2">
    <w:name w:val="heading 2"/>
    <w:next w:val="Normal"/>
    <w:link w:val="Ttulo2Car"/>
    <w:uiPriority w:val="9"/>
    <w:unhideWhenUsed/>
    <w:qFormat/>
    <w:pPr>
      <w:keepNext/>
      <w:keepLines/>
      <w:spacing w:after="345" w:line="273" w:lineRule="auto"/>
      <w:ind w:left="10" w:hanging="10"/>
      <w:outlineLvl w:val="1"/>
    </w:pPr>
    <w:rPr>
      <w:rFonts w:ascii="Times New Roman" w:eastAsia="Times New Roman" w:hAnsi="Times New Roman" w:cs="Times New Roman"/>
      <w:b/>
      <w:color w:val="0F111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F1115"/>
      <w:sz w:val="24"/>
    </w:rPr>
  </w:style>
  <w:style w:type="character" w:customStyle="1" w:styleId="Ttulo1Car">
    <w:name w:val="Título 1 Car"/>
    <w:link w:val="Ttulo1"/>
    <w:rPr>
      <w:rFonts w:ascii="Times New Roman" w:eastAsia="Times New Roman" w:hAnsi="Times New Roman" w:cs="Times New Roman"/>
      <w:b/>
      <w:color w:val="0F1115"/>
      <w:sz w:val="28"/>
    </w:rPr>
  </w:style>
  <w:style w:type="paragraph" w:customStyle="1" w:styleId="ds-markdown-paragraph">
    <w:name w:val="ds-markdown-paragraph"/>
    <w:basedOn w:val="Normal"/>
    <w:rsid w:val="00FD4679"/>
    <w:pPr>
      <w:spacing w:before="100" w:beforeAutospacing="1" w:after="100" w:afterAutospacing="1" w:line="240" w:lineRule="auto"/>
      <w:ind w:left="0" w:right="0" w:firstLine="0"/>
      <w:jc w:val="left"/>
    </w:pPr>
    <w:rPr>
      <w:color w:val="auto"/>
      <w:kern w:val="0"/>
      <w14:ligatures w14:val="none"/>
    </w:rPr>
  </w:style>
  <w:style w:type="character" w:styleId="Fuerte">
    <w:name w:val="Strong"/>
    <w:basedOn w:val="Fuentedeprrafopredeter"/>
    <w:uiPriority w:val="22"/>
    <w:qFormat/>
    <w:rsid w:val="00961D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916A6-963A-4D07-842A-4D8FED48E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1142</Words>
  <Characters>6284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 Jhoanny Martinez Murillo</dc:creator>
  <cp:keywords/>
  <cp:lastModifiedBy>Adri Jhoanny Martinez Murillo</cp:lastModifiedBy>
  <cp:revision>3</cp:revision>
  <cp:lastPrinted>2026-04-30T20:20:00Z</cp:lastPrinted>
  <dcterms:created xsi:type="dcterms:W3CDTF">2026-04-30T20:20:00Z</dcterms:created>
  <dcterms:modified xsi:type="dcterms:W3CDTF">2026-04-30T20:21:00Z</dcterms:modified>
</cp:coreProperties>
</file>