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214313</wp:posOffset>
            </wp:positionH>
            <wp:positionV relativeFrom="page">
              <wp:posOffset>184150</wp:posOffset>
            </wp:positionV>
            <wp:extent cx="7343775" cy="1924050"/>
            <wp:effectExtent b="0" l="0" r="0" t="0"/>
            <wp:wrapNone/>
            <wp:docPr id="1" name="image1.png"/>
            <a:graphic>
              <a:graphicData uri="http://schemas.openxmlformats.org/drawingml/2006/picture">
                <pic:pic>
                  <pic:nvPicPr>
                    <pic:cNvPr id="0" name="image1.png"/>
                    <pic:cNvPicPr preferRelativeResize="0"/>
                  </pic:nvPicPr>
                  <pic:blipFill>
                    <a:blip r:embed="rId6"/>
                    <a:srcRect b="24324" l="0" r="0" t="15015"/>
                    <a:stretch>
                      <a:fillRect/>
                    </a:stretch>
                  </pic:blipFill>
                  <pic:spPr>
                    <a:xfrm>
                      <a:off x="0" y="0"/>
                      <a:ext cx="7343775" cy="19240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4852988</wp:posOffset>
            </wp:positionH>
            <wp:positionV relativeFrom="paragraph">
              <wp:posOffset>161925</wp:posOffset>
            </wp:positionV>
            <wp:extent cx="1785938" cy="870532"/>
            <wp:effectExtent b="0" l="0" r="0" t="0"/>
            <wp:wrapNone/>
            <wp:docPr id="2" name="image2.jpg"/>
            <a:graphic>
              <a:graphicData uri="http://schemas.openxmlformats.org/drawingml/2006/picture">
                <pic:pic>
                  <pic:nvPicPr>
                    <pic:cNvPr id="0" name="image2.jpg"/>
                    <pic:cNvPicPr preferRelativeResize="0"/>
                  </pic:nvPicPr>
                  <pic:blipFill>
                    <a:blip r:embed="rId7">
                      <a:alphaModFix amt="64000"/>
                    </a:blip>
                    <a:srcRect b="26556" l="0" r="0" t="24476"/>
                    <a:stretch>
                      <a:fillRect/>
                    </a:stretch>
                  </pic:blipFill>
                  <pic:spPr>
                    <a:xfrm>
                      <a:off x="0" y="0"/>
                      <a:ext cx="1785938" cy="870532"/>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rPr>
          <w:rFonts w:ascii="Times New Roman" w:cs="Times New Roman" w:eastAsia="Times New Roman" w:hAnsi="Times New Roman"/>
          <w:b w:val="1"/>
          <w:bCs w:val="1"/>
        </w:rPr>
      </w:pPr>
      <w:bookmarkStart w:colFirst="0" w:colLast="0" w:name="_9ckq84ep3je9" w:id="0"/>
      <w:bookmarkEnd w:id="0"/>
      <w:r w:rsidDel="00000000" w:rsidR="00000000" w:rsidRPr="00000000">
        <w:rPr>
          <w:rFonts w:ascii="Times New Roman" w:cs="Times New Roman" w:eastAsia="Times New Roman" w:hAnsi="Times New Roman"/>
          <w:b w:val="1"/>
          <w:bCs w:val="1"/>
          <w:rtl w:val="0"/>
        </w:rPr>
        <w:t xml:space="preserve">2025F Managerial Accounting: </w:t>
      </w:r>
    </w:p>
    <w:p w:rsidR="00000000" w:rsidDel="00000000" w:rsidP="00000000" w:rsidRDefault="00000000" w:rsidRPr="00000000" w14:paraId="00000011">
      <w:pPr>
        <w:pStyle w:val="Title"/>
        <w:rPr>
          <w:rFonts w:ascii="Times New Roman" w:cs="Times New Roman" w:eastAsia="Times New Roman" w:hAnsi="Times New Roman"/>
        </w:rPr>
      </w:pPr>
      <w:bookmarkStart w:colFirst="0" w:colLast="0" w:name="_f5ni074w3kdx" w:id="1"/>
      <w:bookmarkEnd w:id="1"/>
      <w:r w:rsidDel="00000000" w:rsidR="00000000" w:rsidRPr="00000000">
        <w:rPr>
          <w:rFonts w:ascii="Times New Roman" w:cs="Times New Roman" w:eastAsia="Times New Roman" w:hAnsi="Times New Roman"/>
          <w:rtl w:val="0"/>
        </w:rPr>
        <w:t xml:space="preserve">Forecasted Financial Statements and Comparative Analysis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Project Company:</w:t>
      </w:r>
      <w:r w:rsidDel="00000000" w:rsidR="00000000" w:rsidRPr="00000000">
        <w:rPr>
          <w:rFonts w:ascii="Times New Roman" w:cs="Times New Roman" w:eastAsia="Times New Roman" w:hAnsi="Times New Roman"/>
          <w:sz w:val="34"/>
          <w:szCs w:val="34"/>
          <w:rtl w:val="0"/>
        </w:rPr>
        <w:t xml:space="preserve"> Ulta Beauty, Inc.</w:t>
      </w:r>
    </w:p>
    <w:p w:rsidR="00000000" w:rsidDel="00000000" w:rsidP="00000000" w:rsidRDefault="00000000" w:rsidRPr="00000000" w14:paraId="00000016">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Financial Analyst: </w:t>
      </w:r>
      <w:r w:rsidDel="00000000" w:rsidR="00000000" w:rsidRPr="00000000">
        <w:rPr>
          <w:rFonts w:ascii="Times New Roman" w:cs="Times New Roman" w:eastAsia="Times New Roman" w:hAnsi="Times New Roman"/>
          <w:sz w:val="34"/>
          <w:szCs w:val="34"/>
          <w:rtl w:val="0"/>
        </w:rPr>
        <w:t xml:space="preserve">Carolina Galindo Mendoza</w:t>
      </w:r>
    </w:p>
    <w:p w:rsidR="00000000" w:rsidDel="00000000" w:rsidP="00000000" w:rsidRDefault="00000000" w:rsidRPr="00000000" w14:paraId="00000018">
      <w:pPr>
        <w:pStyle w:val="Subtitle"/>
        <w:rPr>
          <w:rFonts w:ascii="Times New Roman" w:cs="Times New Roman" w:eastAsia="Times New Roman" w:hAnsi="Times New Roman"/>
          <w:b w:val="1"/>
          <w:bCs w:val="1"/>
          <w:color w:val="000000"/>
          <w:sz w:val="32"/>
          <w:szCs w:val="32"/>
        </w:rPr>
      </w:pPr>
      <w:bookmarkStart w:colFirst="0" w:colLast="0" w:name="_l71ijjpno2og" w:id="2"/>
      <w:bookmarkEnd w:id="2"/>
      <w:r w:rsidDel="00000000" w:rsidR="00000000" w:rsidRPr="00000000">
        <w:rPr>
          <w:rtl w:val="0"/>
        </w:rPr>
      </w:r>
    </w:p>
    <w:p w:rsidR="00000000" w:rsidDel="00000000" w:rsidP="00000000" w:rsidRDefault="00000000" w:rsidRPr="00000000" w14:paraId="00000019">
      <w:pPr>
        <w:pStyle w:val="Subtitle"/>
        <w:rPr>
          <w:rFonts w:ascii="Times New Roman" w:cs="Times New Roman" w:eastAsia="Times New Roman" w:hAnsi="Times New Roman"/>
          <w:b w:val="1"/>
          <w:bCs w:val="1"/>
          <w:color w:val="000000"/>
          <w:sz w:val="32"/>
          <w:szCs w:val="32"/>
        </w:rPr>
      </w:pPr>
      <w:bookmarkStart w:colFirst="0" w:colLast="0" w:name="_kkunkuu6y87y" w:id="3"/>
      <w:bookmarkEnd w:id="3"/>
      <w:r w:rsidDel="00000000" w:rsidR="00000000" w:rsidRPr="00000000">
        <w:rPr>
          <w:rtl w:val="0"/>
        </w:rPr>
      </w:r>
    </w:p>
    <w:p w:rsidR="00000000" w:rsidDel="00000000" w:rsidP="00000000" w:rsidRDefault="00000000" w:rsidRPr="00000000" w14:paraId="0000001A">
      <w:pPr>
        <w:pStyle w:val="Subtitle"/>
        <w:rPr>
          <w:rFonts w:ascii="Times New Roman" w:cs="Times New Roman" w:eastAsia="Times New Roman" w:hAnsi="Times New Roman"/>
          <w:b w:val="1"/>
          <w:bCs w:val="1"/>
          <w:color w:val="000000"/>
          <w:sz w:val="32"/>
          <w:szCs w:val="32"/>
        </w:rPr>
      </w:pPr>
      <w:bookmarkStart w:colFirst="0" w:colLast="0" w:name="_q3tggrko44qi" w:id="4"/>
      <w:bookmarkEnd w:id="4"/>
      <w:r w:rsidDel="00000000" w:rsidR="00000000" w:rsidRPr="00000000">
        <w:rPr>
          <w:rtl w:val="0"/>
        </w:rPr>
      </w:r>
    </w:p>
    <w:p w:rsidR="00000000" w:rsidDel="00000000" w:rsidP="00000000" w:rsidRDefault="00000000" w:rsidRPr="00000000" w14:paraId="0000001B">
      <w:pPr>
        <w:pStyle w:val="Subtitle"/>
        <w:rPr>
          <w:rFonts w:ascii="Times New Roman" w:cs="Times New Roman" w:eastAsia="Times New Roman" w:hAnsi="Times New Roman"/>
          <w:b w:val="1"/>
          <w:bCs w:val="1"/>
          <w:color w:val="000000"/>
          <w:sz w:val="32"/>
          <w:szCs w:val="32"/>
        </w:rPr>
      </w:pPr>
      <w:bookmarkStart w:colFirst="0" w:colLast="0" w:name="_eyg137hu2d4u" w:id="5"/>
      <w:bookmarkEnd w:id="5"/>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Subtitle"/>
        <w:rPr>
          <w:rFonts w:ascii="Times New Roman" w:cs="Times New Roman" w:eastAsia="Times New Roman" w:hAnsi="Times New Roman"/>
          <w:b w:val="1"/>
          <w:bCs w:val="1"/>
          <w:color w:val="000000"/>
          <w:sz w:val="32"/>
          <w:szCs w:val="32"/>
        </w:rPr>
      </w:pPr>
      <w:bookmarkStart w:colFirst="0" w:colLast="0" w:name="_79iyhjpcvhow" w:id="6"/>
      <w:bookmarkEnd w:id="6"/>
      <w:r w:rsidDel="00000000" w:rsidR="00000000" w:rsidRPr="00000000">
        <w:rPr>
          <w:rFonts w:ascii="Times New Roman" w:cs="Times New Roman" w:eastAsia="Times New Roman" w:hAnsi="Times New Roman"/>
          <w:b w:val="1"/>
          <w:bCs w:val="1"/>
          <w:color w:val="000000"/>
          <w:sz w:val="32"/>
          <w:szCs w:val="32"/>
          <w:rtl w:val="0"/>
        </w:rPr>
        <w:t xml:space="preserve">Part I. Company Analysis</w:t>
      </w:r>
    </w:p>
    <w:p w:rsidR="00000000" w:rsidDel="00000000" w:rsidP="00000000" w:rsidRDefault="00000000" w:rsidRPr="00000000" w14:paraId="0000001E">
      <w:pPr>
        <w:numPr>
          <w:ilvl w:val="0"/>
          <w:numId w:val="17"/>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Business Description</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chain of specialist beauty stores in the United States that offers both retail and salon services is Ulta Beauty. With 44.6 million active members of its rewards programs and 1,445 stores in the United States at the end of the fiscal year 2024, the company was increasing consumer engagement and retention. E-commerce, in-store pickup, and same-day delivery are among Ultas' offerings. The business has used data analytics to enhance overall customer experience and engagement and invested in their digital supply chain to increase operational efficiencies. In 2024, the company made net sales worth 11.296 billion dollars, with a total gross profit of $4.387 billion and 1.565 operating revenue (Ulta Beauty, Inc. 2024)</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factor that has contributed to the company’s growth is the Ulta’s Ultimate Rewards program, which has about 44.6 million active members as of fiscal year 2024. The club incentivizes members to make purchases more frequently, impacting digital in-store and synergizing market efforts. In the fiscal year, the company opened 60 stores and 100 shop-in-shops in Targets. The company is also iterating their stores in the Middle East and Mexico (Ulta Beauty Inc. 2024).</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Ulta’s strategic initiatives include exclusive brand partnerships, rebranding of its private-label offerings, and a major supply-chain upgrade via a new enterprise resource planning (ERP) system to support scalable omnichannel fulfillment (Ulta Beauty, Inc., 2024).</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7"/>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Industry &amp; Market Analysis</w:t>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cosmetics market was valued at approximately $109 billion in 2024 and is projected to grow to around $125 billion by 2027, illustrating consistent expansion in consumer demand. The U.S. beauty and personal care market was estimated at $103.7 billion in 2023, targeting over $102.7 billion by 2024, with a projected compound annual growth rate (CAGR) of about 7.1% through 2030 (Statista, 2025) (Grand View Research, 2024).</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growth is normalizing, industry analysts forecast beauty sector expansion at 5% annually through 2030, and consumers are increasingly value-conscious, focusing on efficacy and sustainability. Sector leaders anticipate ongoing consumer scrutiny on product performance, with 54% identifying uncertain spending as the main risk (McKinsey &amp; Company, 2023).</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cosmetics remains a major market, growing 9–10% YOY across North America alongside digital transformation driven by e-commerce. Online channels already account for over 30% of sales worldwide, with the U.S. leading at 41% online penetration in early 2024. Skincare and fragrance are among the fastest-growing segments, reflecting consumer preferences for health-conscious and premium products (McKinsey &amp; Company, 2023), (Statista, 2025).</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pressures are significant: specialty retailers such as Sephora, mass merchants (e.g., Target, Walmart), department stores, and emerging direct-to-consumer (DTC) brands vie for market share. Inflation, supply chain disruptions, and promotional intensity, particularly during holiday quarters, affect industry margins and net pricing power (Ulta Beauty, Inc., 2024) (McKinsey &amp; Company, 2023).</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Ulta is well-positioned due to its integrated channel strategy, loyalty scale, and assortment breadth. However, brand loyalty competition from Sephora’s premium positioning, digitally native brands, and evolving consumer preferences necessitates continued focus on innovation, personalization, and digital integration (Ulta Beauty, Inc., 2024), (McKinsey &amp; Company, 2023). </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Subtitle"/>
        <w:rPr>
          <w:rFonts w:ascii="Times New Roman" w:cs="Times New Roman" w:eastAsia="Times New Roman" w:hAnsi="Times New Roman"/>
          <w:b w:val="1"/>
          <w:bCs w:val="1"/>
          <w:color w:val="000000"/>
          <w:sz w:val="32"/>
          <w:szCs w:val="32"/>
        </w:rPr>
      </w:pPr>
      <w:bookmarkStart w:colFirst="0" w:colLast="0" w:name="_3xyo0fbrj967" w:id="7"/>
      <w:bookmarkEnd w:id="7"/>
      <w:r w:rsidDel="00000000" w:rsidR="00000000" w:rsidRPr="00000000">
        <w:rPr>
          <w:rFonts w:ascii="Times New Roman" w:cs="Times New Roman" w:eastAsia="Times New Roman" w:hAnsi="Times New Roman"/>
          <w:b w:val="1"/>
          <w:bCs w:val="1"/>
          <w:color w:val="000000"/>
          <w:sz w:val="32"/>
          <w:szCs w:val="32"/>
          <w:rtl w:val="0"/>
        </w:rPr>
        <w:t xml:space="preserve">Part II. Forecasting Financial Statements</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 variables and hard-coded assumptions used in the Excel forecast are justified below. Forecasts are based on historical 10Q data from PitchBook, external research, and statistical modeling to ensure realism and alignment with Ulta Beauty’s operational patterns.</w:t>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FQ3 2026 actual values are sourced from ULta’s latest 10-Q report via PitchBook.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0"/>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Forecasted 5 Quarters’ Income Statement</w:t>
      </w:r>
    </w:p>
    <w:p w:rsidR="00000000" w:rsidDel="00000000" w:rsidP="00000000" w:rsidRDefault="00000000" w:rsidRPr="00000000" w14:paraId="00000035">
      <w:pPr>
        <w:numPr>
          <w:ilvl w:val="0"/>
          <w:numId w:val="11"/>
        </w:numPr>
        <w:ind w:left="1440" w:hanging="36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Sales </w:t>
      </w:r>
    </w:p>
    <w:p w:rsidR="00000000" w:rsidDel="00000000" w:rsidP="00000000" w:rsidRDefault="00000000" w:rsidRPr="00000000" w14:paraId="0000003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Forecasts were generated using the Holt-Winters Additive Seasonal (HWAS) Model, trained on Ulta’s quarterly sales history from FQ 1Q06 to FQ 3Q26. The model parameters (alpha = 0.6059, beta = 0.0507, gamma = 1.0) yielded a MAPE of 6.42%, indicating strong seasonal alignment with Ulta’s historical pattern of Q4 holiday spikes, Q1 reset, Q2 rebuild, and Q3 pre-holiday buildup.</w:t>
      </w:r>
    </w:p>
    <w:p w:rsidR="00000000" w:rsidDel="00000000" w:rsidP="00000000" w:rsidRDefault="00000000" w:rsidRPr="00000000" w14:paraId="0000003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Internal forecasting model based on PitchBook historical sales data.</w:t>
      </w:r>
    </w:p>
    <w:p w:rsidR="00000000" w:rsidDel="00000000" w:rsidP="00000000" w:rsidRDefault="00000000" w:rsidRPr="00000000" w14:paraId="00000038">
      <w:pPr>
        <w:numPr>
          <w:ilvl w:val="0"/>
          <w:numId w:val="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of Goods Sold (COGS)</w:t>
      </w:r>
    </w:p>
    <w:p w:rsidR="00000000" w:rsidDel="00000000" w:rsidP="00000000" w:rsidRDefault="00000000" w:rsidRPr="00000000" w14:paraId="0000003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using the linear trend method (Excel TREND function), applied to historical COGS data. The formula used was: </w:t>
      </w:r>
    </w:p>
    <w:p w:rsidR="00000000" w:rsidDel="00000000" w:rsidP="00000000" w:rsidRDefault="00000000" w:rsidRPr="00000000" w14:paraId="0000003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TREND(historical_COGS_range, quarter_index_range, future_quarter_indices, TRUE).</w:t>
      </w:r>
    </w:p>
    <w:p w:rsidR="00000000" w:rsidDel="00000000" w:rsidP="00000000" w:rsidRDefault="00000000" w:rsidRPr="00000000" w14:paraId="0000003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captures the stable underlying growth in product costs and inventory procurement aligned with Ulta’s expanding operations.</w:t>
      </w:r>
    </w:p>
    <w:p w:rsidR="00000000" w:rsidDel="00000000" w:rsidP="00000000" w:rsidRDefault="00000000" w:rsidRPr="00000000" w14:paraId="0000003C">
      <w:pPr>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Historical COGS data from PitchBook 10-Q reports.</w:t>
      </w:r>
      <w:r w:rsidDel="00000000" w:rsidR="00000000" w:rsidRPr="00000000">
        <w:rPr>
          <w:rtl w:val="0"/>
        </w:rPr>
      </w:r>
    </w:p>
    <w:p w:rsidR="00000000" w:rsidDel="00000000" w:rsidP="00000000" w:rsidRDefault="00000000" w:rsidRPr="00000000" w14:paraId="0000003D">
      <w:pPr>
        <w:numPr>
          <w:ilvl w:val="0"/>
          <w:numId w:val="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Operating Expenses</w:t>
      </w:r>
    </w:p>
    <w:p w:rsidR="00000000" w:rsidDel="00000000" w:rsidP="00000000" w:rsidRDefault="00000000" w:rsidRPr="00000000" w14:paraId="0000003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using the linear trend method (Excel TREND function) based on historical quarterly operating expense data. The trend reflects Ulta’s consistent investments in store expansion, digital marketing, and labor.</w:t>
      </w:r>
    </w:p>
    <w:p w:rsidR="00000000" w:rsidDel="00000000" w:rsidP="00000000" w:rsidRDefault="00000000" w:rsidRPr="00000000" w14:paraId="0000003F">
      <w:pPr>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Historical total operating expenses from PitchBook 10-Q reports.</w:t>
      </w:r>
      <w:r w:rsidDel="00000000" w:rsidR="00000000" w:rsidRPr="00000000">
        <w:rPr>
          <w:rtl w:val="0"/>
        </w:rPr>
      </w:r>
    </w:p>
    <w:p w:rsidR="00000000" w:rsidDel="00000000" w:rsidP="00000000" w:rsidRDefault="00000000" w:rsidRPr="00000000" w14:paraId="00000040">
      <w:pPr>
        <w:numPr>
          <w:ilvl w:val="0"/>
          <w:numId w:val="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(Non-Operating) Expenses</w:t>
      </w:r>
    </w:p>
    <w:p w:rsidR="00000000" w:rsidDel="00000000" w:rsidP="00000000" w:rsidRDefault="00000000" w:rsidRPr="00000000" w14:paraId="0000004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using the linear trend method (Excel TREND function), reflecting gradual increases in non-core expenses such as interest and miscellaneous costs.</w:t>
      </w:r>
    </w:p>
    <w:p w:rsidR="00000000" w:rsidDel="00000000" w:rsidP="00000000" w:rsidRDefault="00000000" w:rsidRPr="00000000" w14:paraId="00000042">
      <w:pPr>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Historical non-operating expense data from PitchBook.</w:t>
      </w:r>
      <w:r w:rsidDel="00000000" w:rsidR="00000000" w:rsidRPr="00000000">
        <w:rPr>
          <w:rtl w:val="0"/>
        </w:rPr>
      </w:r>
    </w:p>
    <w:p w:rsidR="00000000" w:rsidDel="00000000" w:rsidP="00000000" w:rsidRDefault="00000000" w:rsidRPr="00000000" w14:paraId="00000043">
      <w:pPr>
        <w:numPr>
          <w:ilvl w:val="0"/>
          <w:numId w:val="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Income Tax Expense</w:t>
      </w:r>
    </w:p>
    <w:p w:rsidR="00000000" w:rsidDel="00000000" w:rsidP="00000000" w:rsidRDefault="00000000" w:rsidRPr="00000000" w14:paraId="0000004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using the linear trend method (Excel TREND function) applied to historical quarterly tax expense, capturing the progressive rise in taxable income and effective tax rate consistency. </w:t>
      </w:r>
    </w:p>
    <w:p w:rsidR="00000000" w:rsidDel="00000000" w:rsidP="00000000" w:rsidRDefault="00000000" w:rsidRPr="00000000" w14:paraId="00000045">
      <w:pPr>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Historical income tax data from Ulta’s 10-Q filings.</w:t>
      </w:r>
      <w:r w:rsidDel="00000000" w:rsidR="00000000" w:rsidRPr="00000000">
        <w:rPr>
          <w:rtl w:val="0"/>
        </w:rPr>
      </w:r>
    </w:p>
    <w:p w:rsidR="00000000" w:rsidDel="00000000" w:rsidP="00000000" w:rsidRDefault="00000000" w:rsidRPr="00000000" w14:paraId="00000046">
      <w:pPr>
        <w:numPr>
          <w:ilvl w:val="0"/>
          <w:numId w:val="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Equity Net Loss Affiliate</w:t>
      </w:r>
    </w:p>
    <w:p w:rsidR="00000000" w:rsidDel="00000000" w:rsidP="00000000" w:rsidRDefault="00000000" w:rsidRPr="00000000" w14:paraId="0000004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by averaging the last 3 quarters (FQ1 2026, FQ2 2026, FQ3 2026). This conservative approach assumes continued similar performance from equity investments in affiliated entities.</w:t>
      </w:r>
    </w:p>
    <w:p w:rsidR="00000000" w:rsidDel="00000000" w:rsidP="00000000" w:rsidRDefault="00000000" w:rsidRPr="00000000" w14:paraId="0000004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Historical equity net loss data from PitchBook 10-Qs.</w:t>
      </w:r>
    </w:p>
    <w:p w:rsidR="00000000" w:rsidDel="00000000" w:rsidP="00000000" w:rsidRDefault="00000000" w:rsidRPr="00000000" w14:paraId="0000004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0"/>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Forecasted 5 Quarters’ Balance Sheet</w:t>
      </w:r>
    </w:p>
    <w:p w:rsidR="00000000" w:rsidDel="00000000" w:rsidP="00000000" w:rsidRDefault="00000000" w:rsidRPr="00000000" w14:paraId="0000004B">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Property, Plant &amp; Equipment Net</w:t>
      </w:r>
    </w:p>
    <w:p w:rsidR="00000000" w:rsidDel="00000000" w:rsidP="00000000" w:rsidRDefault="00000000" w:rsidRPr="00000000" w14:paraId="0000004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Forecasted using the linear trend method (Excel TREND function) applied to historical Net PPE balances. This reflects Ulta’s ongoing capital investments in new stores, salon upgrades, and distribution centers.</w:t>
      </w:r>
    </w:p>
    <w:p w:rsidR="00000000" w:rsidDel="00000000" w:rsidP="00000000" w:rsidRDefault="00000000" w:rsidRPr="00000000" w14:paraId="0000004D">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PP&amp;E data and Ulta’s capital expenditure guidance.</w:t>
      </w:r>
      <w:r w:rsidDel="00000000" w:rsidR="00000000" w:rsidRPr="00000000">
        <w:rPr>
          <w:rtl w:val="0"/>
        </w:rPr>
      </w:r>
    </w:p>
    <w:p w:rsidR="00000000" w:rsidDel="00000000" w:rsidP="00000000" w:rsidRDefault="00000000" w:rsidRPr="00000000" w14:paraId="0000004E">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Depreciation</w:t>
      </w:r>
    </w:p>
    <w:p w:rsidR="00000000" w:rsidDel="00000000" w:rsidP="00000000" w:rsidRDefault="00000000" w:rsidRPr="00000000" w14:paraId="0000004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Depreciation is only reported in Q4 of each fiscal year in Ulta’s financial statements. The most recent reported depreciation was $(2,153,831) in FQ4 2025. Historical annual depreciation increases over the past 10 years were analyzed, and the average annual increase was calculated as 171,068.5.</w:t>
      </w:r>
    </w:p>
    <w:p w:rsidR="00000000" w:rsidDel="00000000" w:rsidP="00000000" w:rsidRDefault="00000000" w:rsidRPr="00000000" w14:paraId="00000050">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51">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FQ4 2026: Most recent depreciation + average annual increase → $(2,324,900)</w:t>
      </w:r>
    </w:p>
    <w:p w:rsidR="00000000" w:rsidDel="00000000" w:rsidP="00000000" w:rsidRDefault="00000000" w:rsidRPr="00000000" w14:paraId="00000052">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FQ1-Q3 2027: Following historical trend → $0 (no quarterly depreciation reported)</w:t>
      </w:r>
    </w:p>
    <w:p w:rsidR="00000000" w:rsidDel="00000000" w:rsidP="00000000" w:rsidRDefault="00000000" w:rsidRPr="00000000" w14:paraId="00000053">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FQ4 2027: Prior year’s Q4 depreciation + average annual increase → $(2,495,968)</w:t>
      </w:r>
    </w:p>
    <w:p w:rsidR="00000000" w:rsidDel="00000000" w:rsidP="00000000" w:rsidRDefault="00000000" w:rsidRPr="00000000" w14:paraId="00000054">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10-K/10-Q historical depreciation data (FQ4 2026 - FQ4 2025).</w:t>
      </w:r>
      <w:r w:rsidDel="00000000" w:rsidR="00000000" w:rsidRPr="00000000">
        <w:rPr>
          <w:rtl w:val="0"/>
        </w:rPr>
      </w:r>
    </w:p>
    <w:p w:rsidR="00000000" w:rsidDel="00000000" w:rsidP="00000000" w:rsidRDefault="00000000" w:rsidRPr="00000000" w14:paraId="00000055">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Depreciation (% of fixed assets)</w:t>
      </w:r>
    </w:p>
    <w:p w:rsidR="00000000" w:rsidDel="00000000" w:rsidP="00000000" w:rsidRDefault="00000000" w:rsidRPr="00000000" w14:paraId="0000005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The relationship between depreciation and the net property, plant, and equipment (PPE) balance is used to estimate the proportion of fixed assets being expensed each quarter. This ratio is derived from forecasted values using the formula:</w:t>
      </w:r>
    </w:p>
    <w:p w:rsidR="00000000" w:rsidDel="00000000" w:rsidP="00000000" w:rsidRDefault="00000000" w:rsidRPr="00000000" w14:paraId="0000005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Depreciation / (Net PPE – Depreciation)</w:t>
      </w:r>
    </w:p>
    <w:p w:rsidR="00000000" w:rsidDel="00000000" w:rsidP="00000000" w:rsidRDefault="00000000" w:rsidRPr="00000000" w14:paraId="00000058">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59">
      <w:pPr>
        <w:numPr>
          <w:ilvl w:val="0"/>
          <w:numId w:val="1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is applied to forecasted Net PPE balances to estimate quarterly depreciation expense where reported.</w:t>
      </w:r>
    </w:p>
    <w:p w:rsidR="00000000" w:rsidDel="00000000" w:rsidP="00000000" w:rsidRDefault="00000000" w:rsidRPr="00000000" w14:paraId="0000005A">
      <w:pPr>
        <w:numPr>
          <w:ilvl w:val="0"/>
          <w:numId w:val="1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depreciation is only reported in Q4 of each fiscal year, this ratio is primarily relevant for year‑end calculations, with other quarters showing $0 depreciation per Ulta’s reporting practice.</w:t>
      </w:r>
    </w:p>
    <w:p w:rsidR="00000000" w:rsidDel="00000000" w:rsidP="00000000" w:rsidRDefault="00000000" w:rsidRPr="00000000" w14:paraId="0000005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this percentage‑of‑assets approach aligns depreciation with the scale of Ulta’s fixed‑asset base, ensuring consistency between the income statement (depreciation expense) and balance sheet (PPE net of depreciation).</w:t>
      </w:r>
    </w:p>
    <w:p w:rsidR="00000000" w:rsidDel="00000000" w:rsidP="00000000" w:rsidRDefault="00000000" w:rsidRPr="00000000" w14:paraId="0000005C">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Forecasted depreciation and Net PPE values derived from historical PitchBook data and trend analysis.</w:t>
      </w:r>
      <w:r w:rsidDel="00000000" w:rsidR="00000000" w:rsidRPr="00000000">
        <w:rPr>
          <w:rtl w:val="0"/>
        </w:rPr>
      </w:r>
    </w:p>
    <w:p w:rsidR="00000000" w:rsidDel="00000000" w:rsidP="00000000" w:rsidRDefault="00000000" w:rsidRPr="00000000" w14:paraId="0000005D">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Cash (% avg. YoY rate)</w:t>
      </w:r>
    </w:p>
    <w:p w:rsidR="00000000" w:rsidDel="00000000" w:rsidP="00000000" w:rsidRDefault="00000000" w:rsidRPr="00000000" w14:paraId="0000005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Because Ulta’s cash balance follows a strong seasonal pattern (high in Q4, low in Q3), a single growth rate is inappropriate. Instead, quarter‑specific year‑over‑year (YoY) average growth rates are calculated based on historical same‑quarter comparisons.</w:t>
      </w:r>
    </w:p>
    <w:p w:rsidR="00000000" w:rsidDel="00000000" w:rsidP="00000000" w:rsidRDefault="00000000" w:rsidRPr="00000000" w14:paraId="0000005F">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Calculation Method:</w:t>
      </w:r>
    </w:p>
    <w:p w:rsidR="00000000" w:rsidDel="00000000" w:rsidP="00000000" w:rsidRDefault="00000000" w:rsidRPr="00000000" w14:paraId="00000060">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fiscal quarter, the YoY percentage change was computed across available years.</w:t>
      </w:r>
    </w:p>
    <w:p w:rsidR="00000000" w:rsidDel="00000000" w:rsidP="00000000" w:rsidRDefault="00000000" w:rsidRPr="00000000" w14:paraId="00000061">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changes were then averaged to produce a stable quarterly growth rate.</w:t>
      </w:r>
    </w:p>
    <w:p w:rsidR="00000000" w:rsidDel="00000000" w:rsidP="00000000" w:rsidRDefault="00000000" w:rsidRPr="00000000" w14:paraId="00000062">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for FQ1:</w:t>
      </w:r>
    </w:p>
    <w:p w:rsidR="00000000" w:rsidDel="00000000" w:rsidP="00000000" w:rsidRDefault="00000000" w:rsidRPr="00000000" w14:paraId="00000063">
      <w:pPr>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(FQ1 2023 → FQ1 2024: -2.76%)</w:t>
      </w:r>
    </w:p>
    <w:p w:rsidR="00000000" w:rsidDel="00000000" w:rsidP="00000000" w:rsidRDefault="00000000" w:rsidRPr="00000000" w14:paraId="00000064">
      <w:pPr>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(FQ1 2024 → FQ1 2025: -17.57%)</w:t>
      </w:r>
    </w:p>
    <w:p w:rsidR="00000000" w:rsidDel="00000000" w:rsidP="00000000" w:rsidRDefault="00000000" w:rsidRPr="00000000" w14:paraId="00000065">
      <w:pPr>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(FQ1 2025 → FQ1 2026: -13.34%)</w:t>
      </w:r>
    </w:p>
    <w:p w:rsidR="00000000" w:rsidDel="00000000" w:rsidP="00000000" w:rsidRDefault="00000000" w:rsidRPr="00000000" w14:paraId="00000066">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FQ1 YoY rate = -11.22%</w:t>
      </w:r>
    </w:p>
    <w:p w:rsidR="00000000" w:rsidDel="00000000" w:rsidP="00000000" w:rsidRDefault="00000000" w:rsidRPr="00000000" w14:paraId="00000067">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averages were derived for FQ2, FQ3, and FQ4.</w:t>
      </w:r>
    </w:p>
    <w:p w:rsidR="00000000" w:rsidDel="00000000" w:rsidP="00000000" w:rsidRDefault="00000000" w:rsidRPr="00000000" w14:paraId="0000006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approach captures the recurring seasonal cash cycle and avoids the distortion that a linear trend would introduce.</w:t>
      </w:r>
    </w:p>
    <w:p w:rsidR="00000000" w:rsidDel="00000000" w:rsidP="00000000" w:rsidRDefault="00000000" w:rsidRPr="00000000" w14:paraId="00000069">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cash data (FQ1 2023 - FQ3 2026).</w:t>
      </w:r>
      <w:r w:rsidDel="00000000" w:rsidR="00000000" w:rsidRPr="00000000">
        <w:rPr>
          <w:rtl w:val="0"/>
        </w:rPr>
      </w:r>
    </w:p>
    <w:p w:rsidR="00000000" w:rsidDel="00000000" w:rsidP="00000000" w:rsidRDefault="00000000" w:rsidRPr="00000000" w14:paraId="0000006A">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Cash (in thousands)</w:t>
      </w:r>
    </w:p>
    <w:p w:rsidR="00000000" w:rsidDel="00000000" w:rsidP="00000000" w:rsidRDefault="00000000" w:rsidRPr="00000000" w14:paraId="0000006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Forecasts are built by applying the quarter‑specific YoY rates (above) to the most recent actual balance for that same quarter.</w:t>
      </w:r>
    </w:p>
    <w:p w:rsidR="00000000" w:rsidDel="00000000" w:rsidP="00000000" w:rsidRDefault="00000000" w:rsidRPr="00000000" w14:paraId="0000006C">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Anchor Balances (latest actuals):</w:t>
      </w:r>
    </w:p>
    <w:p w:rsidR="00000000" w:rsidDel="00000000" w:rsidP="00000000" w:rsidRDefault="00000000" w:rsidRPr="00000000" w14:paraId="0000006D">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2025: 703,201</w:t>
      </w:r>
    </w:p>
    <w:p w:rsidR="00000000" w:rsidDel="00000000" w:rsidP="00000000" w:rsidRDefault="00000000" w:rsidRPr="00000000" w14:paraId="0000006E">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2026: 454,629</w:t>
      </w:r>
    </w:p>
    <w:p w:rsidR="00000000" w:rsidDel="00000000" w:rsidP="00000000" w:rsidRDefault="00000000" w:rsidRPr="00000000" w14:paraId="0000006F">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2026: 242,745</w:t>
      </w:r>
    </w:p>
    <w:p w:rsidR="00000000" w:rsidDel="00000000" w:rsidP="00000000" w:rsidRDefault="00000000" w:rsidRPr="00000000" w14:paraId="00000070">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2026: 204,921</w:t>
      </w:r>
    </w:p>
    <w:p w:rsidR="00000000" w:rsidDel="00000000" w:rsidP="00000000" w:rsidRDefault="00000000" w:rsidRPr="00000000" w14:paraId="00000071">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Formula:</w:t>
      </w:r>
    </w:p>
    <w:p w:rsidR="00000000" w:rsidDel="00000000" w:rsidP="00000000" w:rsidRDefault="00000000" w:rsidRPr="00000000" w14:paraId="0000007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 Anchor balance × (1 + Quarter‑specific YoY rate)</w:t>
      </w:r>
    </w:p>
    <w:p w:rsidR="00000000" w:rsidDel="00000000" w:rsidP="00000000" w:rsidRDefault="00000000" w:rsidRPr="00000000" w14:paraId="00000073">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p>
    <w:p w:rsidR="00000000" w:rsidDel="00000000" w:rsidP="00000000" w:rsidRDefault="00000000" w:rsidRPr="00000000" w14:paraId="0000007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forecast = 454,629 × (1 – 0.1122) = 403,620</w:t>
      </w:r>
    </w:p>
    <w:p w:rsidR="00000000" w:rsidDel="00000000" w:rsidP="00000000" w:rsidRDefault="00000000" w:rsidRPr="00000000" w14:paraId="00000075">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Full Forecast Set (illustrative - pending YoY rates for Q2–Q4):</w:t>
      </w:r>
    </w:p>
    <w:p w:rsidR="00000000" w:rsidDel="00000000" w:rsidP="00000000" w:rsidRDefault="00000000" w:rsidRPr="00000000" w14:paraId="00000076">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703,201 × (1 + FQ4 YoY rate)</w:t>
      </w:r>
    </w:p>
    <w:p w:rsidR="00000000" w:rsidDel="00000000" w:rsidP="00000000" w:rsidRDefault="00000000" w:rsidRPr="00000000" w14:paraId="00000077">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454,629 × (1 – 0.1122) = 403,620</w:t>
      </w:r>
    </w:p>
    <w:p w:rsidR="00000000" w:rsidDel="00000000" w:rsidP="00000000" w:rsidRDefault="00000000" w:rsidRPr="00000000" w14:paraId="00000078">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242,745 × (1 + FQ2 YoY rate)</w:t>
      </w:r>
    </w:p>
    <w:p w:rsidR="00000000" w:rsidDel="00000000" w:rsidP="00000000" w:rsidRDefault="00000000" w:rsidRPr="00000000" w14:paraId="00000079">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204,921 × (1 + FQ3 YoY rate)</w:t>
      </w:r>
    </w:p>
    <w:p w:rsidR="00000000" w:rsidDel="00000000" w:rsidP="00000000" w:rsidRDefault="00000000" w:rsidRPr="00000000" w14:paraId="0000007A">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[FQ4 2026 forecast] × (1 + FQ4 YoY rate)</w:t>
      </w:r>
    </w:p>
    <w:p w:rsidR="00000000" w:rsidDel="00000000" w:rsidP="00000000" w:rsidRDefault="00000000" w:rsidRPr="00000000" w14:paraId="0000007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the prior‑year same‑quarter balance as the anchor ensures the seasonal pattern is preserved, while the quarter‑specific growth rates reflect historical YoY trends.</w:t>
      </w:r>
    </w:p>
    <w:p w:rsidR="00000000" w:rsidDel="00000000" w:rsidP="00000000" w:rsidRDefault="00000000" w:rsidRPr="00000000" w14:paraId="0000007C">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cash data and calculated YoY averages.</w:t>
      </w:r>
      <w:r w:rsidDel="00000000" w:rsidR="00000000" w:rsidRPr="00000000">
        <w:rPr>
          <w:rtl w:val="0"/>
        </w:rPr>
      </w:r>
    </w:p>
    <w:p w:rsidR="00000000" w:rsidDel="00000000" w:rsidP="00000000" w:rsidRDefault="00000000" w:rsidRPr="00000000" w14:paraId="0000007D">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Inventories (% of Growth)</w:t>
      </w:r>
    </w:p>
    <w:p w:rsidR="00000000" w:rsidDel="00000000" w:rsidP="00000000" w:rsidRDefault="00000000" w:rsidRPr="00000000" w14:paraId="0000007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Inventory balances exhibit strong seasonal volatility, with Q3 typically showing peak buildups for holiday inventory and Q4 showing dips post-holiday. Historical quarterly growth rates range from -24.99% to +18.35%, with recent quarters (FY26) averaging +11.75% growth.</w:t>
      </w:r>
    </w:p>
    <w:p w:rsidR="00000000" w:rsidDel="00000000" w:rsidP="00000000" w:rsidRDefault="00000000" w:rsidRPr="00000000" w14:paraId="0000007F">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80">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+8% - Conservative dip from Q3 spike, aligning with historical Q4 reductions.</w:t>
      </w:r>
    </w:p>
    <w:p w:rsidR="00000000" w:rsidDel="00000000" w:rsidP="00000000" w:rsidRDefault="00000000" w:rsidRPr="00000000" w14:paraId="00000081">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+10% - Rebound consistent with Q1 historical growth patterns.</w:t>
      </w:r>
    </w:p>
    <w:p w:rsidR="00000000" w:rsidDel="00000000" w:rsidP="00000000" w:rsidRDefault="00000000" w:rsidRPr="00000000" w14:paraId="00000082">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+12% - Slight acceleration, matching Q2 historical inventory rebuild.</w:t>
      </w:r>
    </w:p>
    <w:p w:rsidR="00000000" w:rsidDel="00000000" w:rsidP="00000000" w:rsidRDefault="00000000" w:rsidRPr="00000000" w14:paraId="00000083">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+13.5% - Peak seasonal buildup, aligned with past Q3 trends.</w:t>
      </w:r>
    </w:p>
    <w:p w:rsidR="00000000" w:rsidDel="00000000" w:rsidP="00000000" w:rsidRDefault="00000000" w:rsidRPr="00000000" w14:paraId="00000084">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+8% - Repeat of Q4 dip pattern, reflecting conservative post-holiday reset.</w:t>
      </w:r>
    </w:p>
    <w:p w:rsidR="00000000" w:rsidDel="00000000" w:rsidP="00000000" w:rsidRDefault="00000000" w:rsidRPr="00000000" w14:paraId="0000008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seasonal growth pattern reflects Ulta’s inventory strategy for holiday readiness and post-season sell-through, ensuring forecast realism.</w:t>
      </w:r>
    </w:p>
    <w:p w:rsidR="00000000" w:rsidDel="00000000" w:rsidP="00000000" w:rsidRDefault="00000000" w:rsidRPr="00000000" w14:paraId="00000086">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inventory data and quarterly growth analysis (FQ3 2024 – FQ3 2026).</w:t>
      </w:r>
      <w:r w:rsidDel="00000000" w:rsidR="00000000" w:rsidRPr="00000000">
        <w:rPr>
          <w:rtl w:val="0"/>
        </w:rPr>
      </w:r>
    </w:p>
    <w:p w:rsidR="00000000" w:rsidDel="00000000" w:rsidP="00000000" w:rsidRDefault="00000000" w:rsidRPr="00000000" w14:paraId="00000087">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Debt-to-Equity ratio (D/E)</w:t>
      </w:r>
    </w:p>
    <w:p w:rsidR="00000000" w:rsidDel="00000000" w:rsidP="00000000" w:rsidRDefault="00000000" w:rsidRPr="00000000" w14:paraId="0000008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The debt‑to‑equity ratio measures Ulta’s financial leverage and has shown a slight downward trend in recent quarters, declining from 0.70 in FQ1 2026 to 0.66 in FQ2 2026 and stabilizing at 0.66 in FQ3 2026. This suggests conservative debt management and/or equity growth outpacing debt.</w:t>
      </w:r>
    </w:p>
    <w:p w:rsidR="00000000" w:rsidDel="00000000" w:rsidP="00000000" w:rsidRDefault="00000000" w:rsidRPr="00000000" w14:paraId="00000089">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8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gradual, conservative improvement is assumed, reflecting continued balance‑sheet discipline:</w:t>
      </w:r>
    </w:p>
    <w:p w:rsidR="00000000" w:rsidDel="00000000" w:rsidP="00000000" w:rsidRDefault="00000000" w:rsidRPr="00000000" w14:paraId="0000008B">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0.65 - Slight continuation of stabilization.</w:t>
      </w:r>
    </w:p>
    <w:p w:rsidR="00000000" w:rsidDel="00000000" w:rsidP="00000000" w:rsidRDefault="00000000" w:rsidRPr="00000000" w14:paraId="0000008C">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0.65 - Holding steady.</w:t>
      </w:r>
    </w:p>
    <w:p w:rsidR="00000000" w:rsidDel="00000000" w:rsidP="00000000" w:rsidRDefault="00000000" w:rsidRPr="00000000" w14:paraId="0000008D">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0.64 - Minor improvement.</w:t>
      </w:r>
    </w:p>
    <w:p w:rsidR="00000000" w:rsidDel="00000000" w:rsidP="00000000" w:rsidRDefault="00000000" w:rsidRPr="00000000" w14:paraId="0000008E">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0.64 - Stable again.</w:t>
      </w:r>
    </w:p>
    <w:p w:rsidR="00000000" w:rsidDel="00000000" w:rsidP="00000000" w:rsidRDefault="00000000" w:rsidRPr="00000000" w14:paraId="0000008F">
      <w:pPr>
        <w:numPr>
          <w:ilvl w:val="0"/>
          <w:numId w:val="1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0.63 - Conservative further improvement.</w:t>
      </w:r>
    </w:p>
    <w:p w:rsidR="00000000" w:rsidDel="00000000" w:rsidP="00000000" w:rsidRDefault="00000000" w:rsidRPr="00000000" w14:paraId="0000009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assumed gradual decline aligns with Ulta’s recent trend toward lower leverage and supports a sustainable capital‑structure outlook.</w:t>
      </w:r>
    </w:p>
    <w:p w:rsidR="00000000" w:rsidDel="00000000" w:rsidP="00000000" w:rsidRDefault="00000000" w:rsidRPr="00000000" w14:paraId="00000091">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balance‑sheet data (FQ1 2026 - FQ3 2026).</w:t>
      </w:r>
      <w:r w:rsidDel="00000000" w:rsidR="00000000" w:rsidRPr="00000000">
        <w:rPr>
          <w:rtl w:val="0"/>
        </w:rPr>
      </w:r>
    </w:p>
    <w:p w:rsidR="00000000" w:rsidDel="00000000" w:rsidP="00000000" w:rsidRDefault="00000000" w:rsidRPr="00000000" w14:paraId="00000092">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Prepaid income taxes (% of EBIT)</w:t>
      </w:r>
    </w:p>
    <w:p w:rsidR="00000000" w:rsidDel="00000000" w:rsidP="00000000" w:rsidRDefault="00000000" w:rsidRPr="00000000" w14:paraId="0000009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Prepaid income taxes are forecasted as a percentage of Operating Profit (EBIT), based on historical seasonal patterns. The ratio is derived from historical data showing that Q1 consistently has 0% prepaid taxes, while Q2-Q4 show moderate prepayments, with a declining trend in FY26.</w:t>
      </w:r>
    </w:p>
    <w:p w:rsidR="00000000" w:rsidDel="00000000" w:rsidP="00000000" w:rsidRDefault="00000000" w:rsidRPr="00000000" w14:paraId="00000094">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 </w:t>
      </w:r>
    </w:p>
    <w:p w:rsidR="00000000" w:rsidDel="00000000" w:rsidP="00000000" w:rsidRDefault="00000000" w:rsidRPr="00000000" w14:paraId="00000095">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FQ4 2026: 10% - Slight rebound from FQ3 2026 (8.3%), aligning with Q4 seasonal prepayments.</w:t>
      </w:r>
    </w:p>
    <w:p w:rsidR="00000000" w:rsidDel="00000000" w:rsidP="00000000" w:rsidRDefault="00000000" w:rsidRPr="00000000" w14:paraId="00000096">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FQ1 2027: 0% - consistent with historical Q1 behavior (no prepaid taxes reported).</w:t>
      </w:r>
    </w:p>
    <w:p w:rsidR="00000000" w:rsidDel="00000000" w:rsidP="00000000" w:rsidRDefault="00000000" w:rsidRPr="00000000" w14:paraId="00000097">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FQ2 2027: 8.50% - stable continuation of recent Q2 trend.</w:t>
      </w:r>
    </w:p>
    <w:p w:rsidR="00000000" w:rsidDel="00000000" w:rsidP="00000000" w:rsidRDefault="00000000" w:rsidRPr="00000000" w14:paraId="00000098">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FQ3 2027: 9% - Slight seasonal increase, matching Q3 historical prepays.</w:t>
      </w:r>
    </w:p>
    <w:p w:rsidR="00000000" w:rsidDel="00000000" w:rsidP="00000000" w:rsidRDefault="00000000" w:rsidRPr="00000000" w14:paraId="00000099">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FQ4 2027: 11% - Conservative rise, aligned with Q4 historical prepayments.</w:t>
      </w:r>
    </w:p>
    <w:p w:rsidR="00000000" w:rsidDel="00000000" w:rsidP="00000000" w:rsidRDefault="00000000" w:rsidRPr="00000000" w14:paraId="0000009A">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prepaid income tax and operating profit data (FQ4 2024 - FQ3 2026)</w:t>
      </w:r>
      <w:r w:rsidDel="00000000" w:rsidR="00000000" w:rsidRPr="00000000">
        <w:rPr>
          <w:rtl w:val="0"/>
        </w:rPr>
      </w:r>
    </w:p>
    <w:p w:rsidR="00000000" w:rsidDel="00000000" w:rsidP="00000000" w:rsidRDefault="00000000" w:rsidRPr="00000000" w14:paraId="0000009B">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Goodwill (in thousands)</w:t>
      </w:r>
    </w:p>
    <w:p w:rsidR="00000000" w:rsidDel="00000000" w:rsidP="00000000" w:rsidRDefault="00000000" w:rsidRPr="00000000" w14:paraId="0000009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Goodwill is an event-driven balance sheet item that does not change through regular operations but only through acquisitions, revaluations, or impairments. Historical data shows a significant jump from $10,870 to $392,606 in FQ2 2026, indicating a major acquisition.</w:t>
      </w:r>
    </w:p>
    <w:p w:rsidR="00000000" w:rsidDel="00000000" w:rsidP="00000000" w:rsidRDefault="00000000" w:rsidRPr="00000000" w14:paraId="0000009D">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9E">
      <w:pPr>
        <w:numPr>
          <w:ilvl w:val="0"/>
          <w:numId w:val="4"/>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Flat assumption is applied for all forecasted quarters (FQ4 2026 - FQ4 2027), holding goodwill constant at $392,606.</w:t>
      </w:r>
    </w:p>
    <w:p w:rsidR="00000000" w:rsidDel="00000000" w:rsidP="00000000" w:rsidRDefault="00000000" w:rsidRPr="00000000" w14:paraId="0000009F">
      <w:pPr>
        <w:numPr>
          <w:ilvl w:val="0"/>
          <w:numId w:val="4"/>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approach is conservative, defensible, and consistent with forecasting standards unless a new M&amp;A event is announced.</w:t>
      </w:r>
    </w:p>
    <w:p w:rsidR="00000000" w:rsidDel="00000000" w:rsidP="00000000" w:rsidRDefault="00000000" w:rsidRPr="00000000" w14:paraId="000000A0">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goodwill data (FQ3 2019 - FQ3 2026).</w:t>
      </w:r>
      <w:r w:rsidDel="00000000" w:rsidR="00000000" w:rsidRPr="00000000">
        <w:rPr>
          <w:rtl w:val="0"/>
        </w:rPr>
      </w:r>
    </w:p>
    <w:p w:rsidR="00000000" w:rsidDel="00000000" w:rsidP="00000000" w:rsidRDefault="00000000" w:rsidRPr="00000000" w14:paraId="000000A1">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Accounts Payable (as % of inventory)</w:t>
      </w:r>
    </w:p>
    <w:p w:rsidR="00000000" w:rsidDel="00000000" w:rsidP="00000000" w:rsidRDefault="00000000" w:rsidRPr="00000000" w14:paraId="000000A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Accounts payable is forecasted as a percentage of inventory, reflecting Ulta’s historical relationship between trade payables and inventory levels. Historical ratios range from 24.3% to 31.2%, with most quarters falling between 25% and 29%, showing stability without strong seasonality.</w:t>
      </w:r>
    </w:p>
    <w:p w:rsidR="00000000" w:rsidDel="00000000" w:rsidP="00000000" w:rsidRDefault="00000000" w:rsidRPr="00000000" w14:paraId="000000A3">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A4">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flat ratio of 27% is applied to forecasted inventory balances for all quarters (FQ4 2026 - FQ4 2027).</w:t>
      </w:r>
    </w:p>
    <w:p w:rsidR="00000000" w:rsidDel="00000000" w:rsidP="00000000" w:rsidRDefault="00000000" w:rsidRPr="00000000" w14:paraId="000000A5">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percentage is grounded in the historical average, simple to apply, and defensible for client presentations.</w:t>
      </w:r>
    </w:p>
    <w:p w:rsidR="00000000" w:rsidDel="00000000" w:rsidP="00000000" w:rsidRDefault="00000000" w:rsidRPr="00000000" w14:paraId="000000A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stable percentage aligns with Ulta’s consistent vendor payment terms and inventory financing practices, avoiding unnecessary complexity.</w:t>
      </w:r>
    </w:p>
    <w:p w:rsidR="00000000" w:rsidDel="00000000" w:rsidP="00000000" w:rsidRDefault="00000000" w:rsidRPr="00000000" w14:paraId="000000A7">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accounts payable and inventory data (FQ3 2024 - FQ3 2026).</w:t>
      </w:r>
      <w:r w:rsidDel="00000000" w:rsidR="00000000" w:rsidRPr="00000000">
        <w:rPr>
          <w:rtl w:val="0"/>
        </w:rPr>
      </w:r>
    </w:p>
    <w:p w:rsidR="00000000" w:rsidDel="00000000" w:rsidP="00000000" w:rsidRDefault="00000000" w:rsidRPr="00000000" w14:paraId="000000A8">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Short-Term Debt (in thousands)</w:t>
      </w:r>
    </w:p>
    <w:p w:rsidR="00000000" w:rsidDel="00000000" w:rsidP="00000000" w:rsidRDefault="00000000" w:rsidRPr="00000000" w14:paraId="000000A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Short‑term debt is a working‑capital financing tool that follows a clear seasonal pattern: it is drawn in Q2 and Q3 to fund inventory buildup and repaid to zero in Q4 and Q1. Historical data shows debt balances are mostly zero except in Q3 each year and in Q2 of FY26. The relationship between Q2 and Q3 in FY26 indicates that Q2 debt averaged 52.4% of the Q3 peak.</w:t>
      </w:r>
    </w:p>
    <w:p w:rsidR="00000000" w:rsidDel="00000000" w:rsidP="00000000" w:rsidRDefault="00000000" w:rsidRPr="00000000" w14:paraId="000000AA">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AB">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and FQ1: $0 - consistent with historical repayment cycles.</w:t>
      </w:r>
    </w:p>
    <w:p w:rsidR="00000000" w:rsidDel="00000000" w:rsidP="00000000" w:rsidRDefault="00000000" w:rsidRPr="00000000" w14:paraId="000000AC">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Held flat at the last observed peak of $551,721 (FQ3 2026).</w:t>
      </w:r>
    </w:p>
    <w:p w:rsidR="00000000" w:rsidDel="00000000" w:rsidP="00000000" w:rsidRDefault="00000000" w:rsidRPr="00000000" w14:paraId="000000AD">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Set to 52.4% of the corresponding Q3 balance (i.e., 0.524 × $551,721 = $289,101 for FQ2 2027).</w:t>
      </w:r>
    </w:p>
    <w:p w:rsidR="00000000" w:rsidDel="00000000" w:rsidP="00000000" w:rsidRDefault="00000000" w:rsidRPr="00000000" w14:paraId="000000A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seasonal rule respects Ulta’s historical borrowing cadence, avoids the unrealistic steady increase implied by a linear trend, and provides a conservative, transparent forecast that can be adjusted if borrowing policies change.</w:t>
      </w:r>
    </w:p>
    <w:p w:rsidR="00000000" w:rsidDel="00000000" w:rsidP="00000000" w:rsidRDefault="00000000" w:rsidRPr="00000000" w14:paraId="000000AF">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short‑term debt data (FQ2 2024 - FQ3 2026).</w:t>
      </w:r>
      <w:r w:rsidDel="00000000" w:rsidR="00000000" w:rsidRPr="00000000">
        <w:rPr>
          <w:rtl w:val="0"/>
        </w:rPr>
      </w:r>
    </w:p>
    <w:p w:rsidR="00000000" w:rsidDel="00000000" w:rsidP="00000000" w:rsidRDefault="00000000" w:rsidRPr="00000000" w14:paraId="000000B0">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Other Long-Term Liabilities (% of Growth)</w:t>
      </w:r>
    </w:p>
    <w:p w:rsidR="00000000" w:rsidDel="00000000" w:rsidP="00000000" w:rsidRDefault="00000000" w:rsidRPr="00000000" w14:paraId="000000B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Other long‑term liabilities have shown volatile quarterly growth, with a sharp dip (–13.65% in FQ4 2025) followed by a recovery in 2026 (+1.67%, +6.39%, +4.39%). The mean quarterly growth is +1.45%, but recent momentum suggests a stronger upward trend. Seasonality is not yet reliable due to limited data.</w:t>
      </w:r>
    </w:p>
    <w:p w:rsidR="00000000" w:rsidDel="00000000" w:rsidP="00000000" w:rsidRDefault="00000000" w:rsidRPr="00000000" w14:paraId="000000B2">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B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are based on the average of the last three quarters (4.15%), with a tapering approach to avoid unrealistic compounding:</w:t>
      </w:r>
    </w:p>
    <w:p w:rsidR="00000000" w:rsidDel="00000000" w:rsidP="00000000" w:rsidRDefault="00000000" w:rsidRPr="00000000" w14:paraId="000000B4">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4% - Close to recent average, recovery intact.</w:t>
      </w:r>
    </w:p>
    <w:p w:rsidR="00000000" w:rsidDel="00000000" w:rsidP="00000000" w:rsidRDefault="00000000" w:rsidRPr="00000000" w14:paraId="000000B5">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3.75% -  Slight moderation after rebound.</w:t>
      </w:r>
    </w:p>
    <w:p w:rsidR="00000000" w:rsidDel="00000000" w:rsidP="00000000" w:rsidRDefault="00000000" w:rsidRPr="00000000" w14:paraId="000000B6">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3.5% - Continued normalization.</w:t>
      </w:r>
    </w:p>
    <w:p w:rsidR="00000000" w:rsidDel="00000000" w:rsidP="00000000" w:rsidRDefault="00000000" w:rsidRPr="00000000" w14:paraId="000000B7">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3.25% -  Further tapering as liabilities stabilize.</w:t>
      </w:r>
    </w:p>
    <w:p w:rsidR="00000000" w:rsidDel="00000000" w:rsidP="00000000" w:rsidRDefault="00000000" w:rsidRPr="00000000" w14:paraId="000000B8">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3% -  Conservative year‑end assumption.</w:t>
      </w:r>
    </w:p>
    <w:p w:rsidR="00000000" w:rsidDel="00000000" w:rsidP="00000000" w:rsidRDefault="00000000" w:rsidRPr="00000000" w14:paraId="000000B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tapering strategy anchors the forecast in recent positive momentum while gradually returning toward the historical mean, ensuring a realistic and defensible growth path.</w:t>
      </w:r>
    </w:p>
    <w:p w:rsidR="00000000" w:rsidDel="00000000" w:rsidP="00000000" w:rsidRDefault="00000000" w:rsidRPr="00000000" w14:paraId="000000BA">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other long‑term liability data (FQ2 2024 - FQ3 2026).</w:t>
      </w:r>
      <w:r w:rsidDel="00000000" w:rsidR="00000000" w:rsidRPr="00000000">
        <w:rPr>
          <w:rtl w:val="0"/>
        </w:rPr>
      </w:r>
    </w:p>
    <w:p w:rsidR="00000000" w:rsidDel="00000000" w:rsidP="00000000" w:rsidRDefault="00000000" w:rsidRPr="00000000" w14:paraId="000000BB">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Common Stock (QoQ value change)</w:t>
      </w:r>
    </w:p>
    <w:p w:rsidR="00000000" w:rsidDel="00000000" w:rsidP="00000000" w:rsidRDefault="00000000" w:rsidRPr="00000000" w14:paraId="000000B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Common stock has shown a steady linear decline from 501 in FQ2 2024 to 454 in FQ3 2026, reflecting consistent share retirements or par value adjustments. A linear regression yields a slope of -5.49 units per quarter with an exceptionally high R² of 0.989, indicating that a fixed quarterly reduction explains nearly all historical variation.</w:t>
      </w:r>
    </w:p>
    <w:p w:rsidR="00000000" w:rsidDel="00000000" w:rsidP="00000000" w:rsidRDefault="00000000" w:rsidRPr="00000000" w14:paraId="000000BD">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B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constant quarterly decrease of 5.49 units is applied to the balance starting from FQ3 2026 (454). Forecasted balances (rounded):</w:t>
      </w:r>
    </w:p>
    <w:p w:rsidR="00000000" w:rsidDel="00000000" w:rsidP="00000000" w:rsidRDefault="00000000" w:rsidRPr="00000000" w14:paraId="000000BF">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447</w:t>
      </w:r>
    </w:p>
    <w:p w:rsidR="00000000" w:rsidDel="00000000" w:rsidP="00000000" w:rsidRDefault="00000000" w:rsidRPr="00000000" w14:paraId="000000C0">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441</w:t>
      </w:r>
    </w:p>
    <w:p w:rsidR="00000000" w:rsidDel="00000000" w:rsidP="00000000" w:rsidRDefault="00000000" w:rsidRPr="00000000" w14:paraId="000000C1">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436</w:t>
      </w:r>
    </w:p>
    <w:p w:rsidR="00000000" w:rsidDel="00000000" w:rsidP="00000000" w:rsidRDefault="00000000" w:rsidRPr="00000000" w14:paraId="000000C2">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430</w:t>
      </w:r>
    </w:p>
    <w:p w:rsidR="00000000" w:rsidDel="00000000" w:rsidP="00000000" w:rsidRDefault="00000000" w:rsidRPr="00000000" w14:paraId="000000C3">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425</w:t>
      </w:r>
    </w:p>
    <w:p w:rsidR="00000000" w:rsidDel="00000000" w:rsidP="00000000" w:rsidRDefault="00000000" w:rsidRPr="00000000" w14:paraId="000000C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strong linear fit supports the use of a unit‑based decline rather than a percentage change, providing a statistically sound and transparent forecasting method.</w:t>
      </w:r>
    </w:p>
    <w:p w:rsidR="00000000" w:rsidDel="00000000" w:rsidP="00000000" w:rsidRDefault="00000000" w:rsidRPr="00000000" w14:paraId="000000C5">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common stock data (FQ2 2024 - FQ3 2026).</w:t>
      </w:r>
      <w:r w:rsidDel="00000000" w:rsidR="00000000" w:rsidRPr="00000000">
        <w:rPr>
          <w:rtl w:val="0"/>
        </w:rPr>
      </w:r>
    </w:p>
    <w:p w:rsidR="00000000" w:rsidDel="00000000" w:rsidP="00000000" w:rsidRDefault="00000000" w:rsidRPr="00000000" w14:paraId="000000C6">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Treasury Stock-Common, at Cost (QoQ Value Change)</w:t>
      </w:r>
    </w:p>
    <w:p w:rsidR="00000000" w:rsidDel="00000000" w:rsidP="00000000" w:rsidRDefault="00000000" w:rsidRPr="00000000" w14:paraId="000000C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Treasury stock (a contra‑equity account) has shown a strong linear downward drift, becoming more negative each quarter as Ulta repurchases shares. Two significant step-downs occurred in FQ1 2025 and FQ1 2026, likely reflecting discrete buyback programs. Excluding those events, a linear regression across all 10 quarters yields a slope of -4,776.68 units per quarter with an R² of 0.873, indicating a consistent underlying trend.</w:t>
      </w:r>
    </w:p>
    <w:p w:rsidR="00000000" w:rsidDel="00000000" w:rsidP="00000000" w:rsidRDefault="00000000" w:rsidRPr="00000000" w14:paraId="000000C8">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C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constant quarterly decrease of 4,777 units is applied to the balance starting from FQ3 2026 (-120,298). Forecasted balances:</w:t>
      </w:r>
    </w:p>
    <w:p w:rsidR="00000000" w:rsidDel="00000000" w:rsidP="00000000" w:rsidRDefault="00000000" w:rsidRPr="00000000" w14:paraId="000000CA">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-125,075</w:t>
      </w:r>
    </w:p>
    <w:p w:rsidR="00000000" w:rsidDel="00000000" w:rsidP="00000000" w:rsidRDefault="00000000" w:rsidRPr="00000000" w14:paraId="000000CB">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-129,852</w:t>
      </w:r>
    </w:p>
    <w:p w:rsidR="00000000" w:rsidDel="00000000" w:rsidP="00000000" w:rsidRDefault="00000000" w:rsidRPr="00000000" w14:paraId="000000CC">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-134,629</w:t>
      </w:r>
    </w:p>
    <w:p w:rsidR="00000000" w:rsidDel="00000000" w:rsidP="00000000" w:rsidRDefault="00000000" w:rsidRPr="00000000" w14:paraId="000000CD">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-139,406</w:t>
      </w:r>
    </w:p>
    <w:p w:rsidR="00000000" w:rsidDel="00000000" w:rsidP="00000000" w:rsidRDefault="00000000" w:rsidRPr="00000000" w14:paraId="000000CE">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-144,183</w:t>
      </w:r>
    </w:p>
    <w:p w:rsidR="00000000" w:rsidDel="00000000" w:rsidP="00000000" w:rsidRDefault="00000000" w:rsidRPr="00000000" w14:paraId="000000C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unit‑based linear decline ensures consistency with the forecasting approach for other equity accounts and captures the ongoing share‑repurchase activity, while acknowledging that future discrete buybacks would require separate adjustments.</w:t>
      </w:r>
    </w:p>
    <w:p w:rsidR="00000000" w:rsidDel="00000000" w:rsidP="00000000" w:rsidRDefault="00000000" w:rsidRPr="00000000" w14:paraId="000000D0">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treasury stock data (FQ2 2024 - FQ3 2026).</w:t>
      </w:r>
      <w:r w:rsidDel="00000000" w:rsidR="00000000" w:rsidRPr="00000000">
        <w:rPr>
          <w:rtl w:val="0"/>
        </w:rPr>
      </w:r>
    </w:p>
    <w:p w:rsidR="00000000" w:rsidDel="00000000" w:rsidP="00000000" w:rsidRDefault="00000000" w:rsidRPr="00000000" w14:paraId="000000D1">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Non-Current Operating Lease Liabilities (% of Growth)</w:t>
      </w:r>
    </w:p>
    <w:p w:rsidR="00000000" w:rsidDel="00000000" w:rsidP="00000000" w:rsidRDefault="00000000" w:rsidRPr="00000000" w14:paraId="000000D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Non‑current operating lease liabilities exhibit steady, low‑volatility growth, with historical quarterly changes mostly falling between 0% and +2%. Occasional dips (-1%) reflect lease amortization or payments, while larger increases (e.g., +2.47%, +3.32%) correspond to lease modifications or new store openings.</w:t>
      </w:r>
    </w:p>
    <w:p w:rsidR="00000000" w:rsidDel="00000000" w:rsidP="00000000" w:rsidRDefault="00000000" w:rsidRPr="00000000" w14:paraId="000000D3">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D4">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flat quarterly growth rate of +1.5% is applied to all forecasted quarters (FQ4 2026 – FQ4 2027).</w:t>
      </w:r>
    </w:p>
    <w:p w:rsidR="00000000" w:rsidDel="00000000" w:rsidP="00000000" w:rsidRDefault="00000000" w:rsidRPr="00000000" w14:paraId="000000D5">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rate matches the historical median, is smooth and stable, and reflects gradual lease growth without assuming new major lease events.</w:t>
      </w:r>
    </w:p>
    <w:p w:rsidR="00000000" w:rsidDel="00000000" w:rsidP="00000000" w:rsidRDefault="00000000" w:rsidRPr="00000000" w14:paraId="000000D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consistent moderate growth rate aligns with the liability’s stable historical pattern and supports a realistic, defensible forecast.</w:t>
      </w:r>
    </w:p>
    <w:p w:rsidR="00000000" w:rsidDel="00000000" w:rsidP="00000000" w:rsidRDefault="00000000" w:rsidRPr="00000000" w14:paraId="000000D7">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non‑current operating lease liability data (FQ2 2024 - FQ3 2026).</w:t>
      </w:r>
      <w:r w:rsidDel="00000000" w:rsidR="00000000" w:rsidRPr="00000000">
        <w:rPr>
          <w:rtl w:val="0"/>
        </w:rPr>
      </w:r>
    </w:p>
    <w:p w:rsidR="00000000" w:rsidDel="00000000" w:rsidP="00000000" w:rsidRDefault="00000000" w:rsidRPr="00000000" w14:paraId="000000D8">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Additional Paid-in-Capital (QoQ Value Change)</w:t>
      </w:r>
    </w:p>
    <w:p w:rsidR="00000000" w:rsidDel="00000000" w:rsidP="00000000" w:rsidRDefault="00000000" w:rsidRPr="00000000" w14:paraId="000000D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Additional paid‑in capital (APIC) has exhibited a strong, consistent upward linear trend, increasing each quarter due to regular equity‑related activities such as stock‑based compensation, option exercises, and occasional equity issuances. A linear regression across the 10 observed quarters yields a slope of +12,986.85 units per quarter with an R² of 0.978, indicating that a fixed unit increase per quarter explains nearly all historical variation.</w:t>
      </w:r>
    </w:p>
    <w:p w:rsidR="00000000" w:rsidDel="00000000" w:rsidP="00000000" w:rsidRDefault="00000000" w:rsidRPr="00000000" w14:paraId="000000DA">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D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constant quarterly increase of 12,987 units is applied to the balance starting from FQ3 2026 (1,175,122). Forecasted balances:</w:t>
      </w:r>
      <w:r w:rsidDel="00000000" w:rsidR="00000000" w:rsidRPr="00000000">
        <w:rPr>
          <w:rtl w:val="0"/>
        </w:rPr>
      </w:r>
    </w:p>
    <w:p w:rsidR="00000000" w:rsidDel="00000000" w:rsidP="00000000" w:rsidRDefault="00000000" w:rsidRPr="00000000" w14:paraId="000000DC">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1,188,109</w:t>
      </w:r>
    </w:p>
    <w:p w:rsidR="00000000" w:rsidDel="00000000" w:rsidP="00000000" w:rsidRDefault="00000000" w:rsidRPr="00000000" w14:paraId="000000DD">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1,201,096</w:t>
      </w:r>
    </w:p>
    <w:p w:rsidR="00000000" w:rsidDel="00000000" w:rsidP="00000000" w:rsidRDefault="00000000" w:rsidRPr="00000000" w14:paraId="000000DE">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1,214,083</w:t>
      </w:r>
    </w:p>
    <w:p w:rsidR="00000000" w:rsidDel="00000000" w:rsidP="00000000" w:rsidRDefault="00000000" w:rsidRPr="00000000" w14:paraId="000000DF">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1,227,070</w:t>
      </w:r>
    </w:p>
    <w:p w:rsidR="00000000" w:rsidDel="00000000" w:rsidP="00000000" w:rsidRDefault="00000000" w:rsidRPr="00000000" w14:paraId="000000E0">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1,240,057</w:t>
      </w:r>
    </w:p>
    <w:p w:rsidR="00000000" w:rsidDel="00000000" w:rsidP="00000000" w:rsidRDefault="00000000" w:rsidRPr="00000000" w14:paraId="000000E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unit‑based linear growth aligns with the historical pattern and ensures consistency with the forecasting approach for other equity accounts. This method transparently captures the ongoing infusion of capital from equity‑based compensation and issuances.</w:t>
      </w:r>
      <w:r w:rsidDel="00000000" w:rsidR="00000000" w:rsidRPr="00000000">
        <w:rPr>
          <w:rtl w:val="0"/>
        </w:rPr>
      </w:r>
    </w:p>
    <w:p w:rsidR="00000000" w:rsidDel="00000000" w:rsidP="00000000" w:rsidRDefault="00000000" w:rsidRPr="00000000" w14:paraId="000000E2">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additional paid-in capital data (FQ2 2024 - FQ3 2026).</w:t>
      </w:r>
      <w:r w:rsidDel="00000000" w:rsidR="00000000" w:rsidRPr="00000000">
        <w:rPr>
          <w:rtl w:val="0"/>
        </w:rPr>
      </w:r>
    </w:p>
    <w:p w:rsidR="00000000" w:rsidDel="00000000" w:rsidP="00000000" w:rsidRDefault="00000000" w:rsidRPr="00000000" w14:paraId="000000E3">
      <w:pPr>
        <w:numPr>
          <w:ilvl w:val="0"/>
          <w:numId w:val="14"/>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Deferred Revenue (in thousands)</w:t>
      </w:r>
    </w:p>
    <w:p w:rsidR="00000000" w:rsidDel="00000000" w:rsidP="00000000" w:rsidRDefault="00000000" w:rsidRPr="00000000" w14:paraId="000000E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Deferred revenue exhibits strong annual cycles with large positive spikes (+8-10% in Q1) due to advance billings from annual renewals, followed by significant drops (-19% in Q2) as revenue is recognized. However, the underlying baseline trend is relatively flat, with most “normal” quarters showing growth between 0% and +1%.</w:t>
      </w:r>
    </w:p>
    <w:p w:rsidR="00000000" w:rsidDel="00000000" w:rsidP="00000000" w:rsidRDefault="00000000" w:rsidRPr="00000000" w14:paraId="000000E5">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E6">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conservative flat quarterly growth rate of +0.5% is applied to all forecasted quarters (FQ4 2026 – FQ4 2027).</w:t>
      </w:r>
    </w:p>
    <w:p w:rsidR="00000000" w:rsidDel="00000000" w:rsidP="00000000" w:rsidRDefault="00000000" w:rsidRPr="00000000" w14:paraId="000000E7">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rate aligns with stable historical periods, avoids artificially inflating the balance, and reflects gradual growth from customer additions, prepayments, and price increases.</w:t>
      </w:r>
      <w:r w:rsidDel="00000000" w:rsidR="00000000" w:rsidRPr="00000000">
        <w:rPr>
          <w:rtl w:val="0"/>
        </w:rPr>
      </w:r>
    </w:p>
    <w:p w:rsidR="00000000" w:rsidDel="00000000" w:rsidP="00000000" w:rsidRDefault="00000000" w:rsidRPr="00000000" w14:paraId="000000E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modest, consistent growth rate acknowledges the recurring nature of deferred revenue without requiring specific renewal schedules, ensuring a balanced and professional forecast.</w:t>
      </w:r>
      <w:r w:rsidDel="00000000" w:rsidR="00000000" w:rsidRPr="00000000">
        <w:rPr>
          <w:rtl w:val="0"/>
        </w:rPr>
      </w:r>
    </w:p>
    <w:p w:rsidR="00000000" w:rsidDel="00000000" w:rsidP="00000000" w:rsidRDefault="00000000" w:rsidRPr="00000000" w14:paraId="000000E9">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deferred revenue data (FQ2 2024 - FQ3 2026).</w:t>
      </w:r>
      <w:r w:rsidDel="00000000" w:rsidR="00000000" w:rsidRPr="00000000">
        <w:rPr>
          <w:rtl w:val="0"/>
        </w:rPr>
      </w:r>
    </w:p>
    <w:p w:rsidR="00000000" w:rsidDel="00000000" w:rsidP="00000000" w:rsidRDefault="00000000" w:rsidRPr="00000000" w14:paraId="000000EA">
      <w:pPr>
        <w:numPr>
          <w:ilvl w:val="0"/>
          <w:numId w:val="14"/>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Retained earnings (% of Growth)</w:t>
      </w:r>
    </w:p>
    <w:p w:rsidR="00000000" w:rsidDel="00000000" w:rsidP="00000000" w:rsidRDefault="00000000" w:rsidRPr="00000000" w14:paraId="000000E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Retained earnings growth has shown significant quarterly volatility, ranging from -3.6% to +22.3%, with no consistent seasonal pattern. To provide a stable and realistic forecast, a flat quarterly growth rate of 5% is applied.</w:t>
      </w:r>
    </w:p>
    <w:p w:rsidR="00000000" w:rsidDel="00000000" w:rsidP="00000000" w:rsidRDefault="00000000" w:rsidRPr="00000000" w14:paraId="000000EC">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0ED">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forecasted quarters (FQ4 2026 - FQ4 2027) assume a +5% quarter‑over‑quarter growth in retained earnings.</w:t>
      </w:r>
    </w:p>
    <w:p w:rsidR="00000000" w:rsidDel="00000000" w:rsidP="00000000" w:rsidRDefault="00000000" w:rsidRPr="00000000" w14:paraId="000000EE">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rate reflects the historical median and average trend, smooths out volatility, and avoids overstating performance.</w:t>
      </w:r>
    </w:p>
    <w:p w:rsidR="00000000" w:rsidDel="00000000" w:rsidP="00000000" w:rsidRDefault="00000000" w:rsidRPr="00000000" w14:paraId="000000E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A flat growth rate simplifies forecasting while maintaining defensibility, aligning with Ulta’s overall earnings retention pattern without introducing unnecessary complexity.</w:t>
      </w:r>
    </w:p>
    <w:p w:rsidR="00000000" w:rsidDel="00000000" w:rsidP="00000000" w:rsidRDefault="00000000" w:rsidRPr="00000000" w14:paraId="000000F0">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retained earnings data (FQ2 2024 - FQ3 2026).</w:t>
      </w:r>
      <w:r w:rsidDel="00000000" w:rsidR="00000000" w:rsidRPr="00000000">
        <w:rPr>
          <w:rtl w:val="0"/>
        </w:rPr>
      </w:r>
    </w:p>
    <w:p w:rsidR="00000000" w:rsidDel="00000000" w:rsidP="00000000" w:rsidRDefault="00000000" w:rsidRPr="00000000" w14:paraId="000000F1">
      <w:pPr>
        <w:numPr>
          <w:ilvl w:val="0"/>
          <w:numId w:val="14"/>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Accrued income taxes (% of Income Tax Exp.)</w:t>
      </w:r>
    </w:p>
    <w:p w:rsidR="00000000" w:rsidDel="00000000" w:rsidP="00000000" w:rsidRDefault="00000000" w:rsidRPr="00000000" w14:paraId="000000F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Accrued income taxes are forecasted as a percentage of the quarterly income tax expense, reflecting Ulta’s historical tax payment and accrual timing. The ratio is highly volatile, ranging from 0% to 131%, with clear seasonal patterns:</w:t>
      </w:r>
    </w:p>
    <w:p w:rsidR="00000000" w:rsidDel="00000000" w:rsidP="00000000" w:rsidRDefault="00000000" w:rsidRPr="00000000" w14:paraId="000000F3">
      <w:pPr>
        <w:numPr>
          <w:ilvl w:val="0"/>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consistently shows high accruals (often 98-131%) due to prior-period catch-ups or deferred payments.</w:t>
      </w:r>
    </w:p>
    <w:p w:rsidR="00000000" w:rsidDel="00000000" w:rsidP="00000000" w:rsidRDefault="00000000" w:rsidRPr="00000000" w14:paraId="000000F4">
      <w:pPr>
        <w:numPr>
          <w:ilvl w:val="0"/>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and Q3 historically show 0% accruals, indicating immediate tax payments.</w:t>
      </w:r>
    </w:p>
    <w:p w:rsidR="00000000" w:rsidDel="00000000" w:rsidP="00000000" w:rsidRDefault="00000000" w:rsidRPr="00000000" w14:paraId="000000F5">
      <w:pPr>
        <w:numPr>
          <w:ilvl w:val="0"/>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shows modest accruals (9-37%) as year-end tax provisions are set.</w:t>
      </w:r>
    </w:p>
    <w:p w:rsidR="00000000" w:rsidDel="00000000" w:rsidP="00000000" w:rsidRDefault="00000000" w:rsidRPr="00000000" w14:paraId="000000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Method:</w:t>
      </w:r>
    </w:p>
    <w:p w:rsidR="00000000" w:rsidDel="00000000" w:rsidP="00000000" w:rsidRDefault="00000000" w:rsidRPr="00000000" w14:paraId="000000F7">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2026: 25% - Midpoint of historical Q4 accruals (9-37%).</w:t>
      </w:r>
    </w:p>
    <w:p w:rsidR="00000000" w:rsidDel="00000000" w:rsidP="00000000" w:rsidRDefault="00000000" w:rsidRPr="00000000" w14:paraId="000000F8">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100% -  Consistent with Q1’s historical pattern of high accruals.</w:t>
      </w:r>
    </w:p>
    <w:p w:rsidR="00000000" w:rsidDel="00000000" w:rsidP="00000000" w:rsidRDefault="00000000" w:rsidRPr="00000000" w14:paraId="000000F9">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0% -  Aligns with historical Q2 behavior (no accruals).</w:t>
      </w:r>
    </w:p>
    <w:p w:rsidR="00000000" w:rsidDel="00000000" w:rsidP="00000000" w:rsidRDefault="00000000" w:rsidRPr="00000000" w14:paraId="000000FA">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0% -  Matches historical Q3 trend (no accruals).</w:t>
      </w:r>
    </w:p>
    <w:p w:rsidR="00000000" w:rsidDel="00000000" w:rsidP="00000000" w:rsidRDefault="00000000" w:rsidRPr="00000000" w14:paraId="000000FB">
      <w:pPr>
        <w:numPr>
          <w:ilvl w:val="0"/>
          <w:numId w:val="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25% - Same conservative Q4 assumption as in FQ4 2026.</w:t>
      </w:r>
    </w:p>
    <w:p w:rsidR="00000000" w:rsidDel="00000000" w:rsidP="00000000" w:rsidRDefault="00000000" w:rsidRPr="00000000" w14:paraId="000000F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approach respects Ulta’s tax payment cycle, avoids overcomplication, and aligns with observed quarterly behaviors.</w:t>
      </w:r>
      <w:r w:rsidDel="00000000" w:rsidR="00000000" w:rsidRPr="00000000">
        <w:rPr>
          <w:rtl w:val="0"/>
        </w:rPr>
      </w:r>
    </w:p>
    <w:p w:rsidR="00000000" w:rsidDel="00000000" w:rsidP="00000000" w:rsidRDefault="00000000" w:rsidRPr="00000000" w14:paraId="000000FD">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accrued income tax and income tax expense data (FQ4 2024 - FQ3 2026).</w:t>
      </w:r>
      <w:r w:rsidDel="00000000" w:rsidR="00000000" w:rsidRPr="00000000">
        <w:rPr>
          <w:rtl w:val="0"/>
        </w:rPr>
      </w:r>
    </w:p>
    <w:p w:rsidR="00000000" w:rsidDel="00000000" w:rsidP="00000000" w:rsidRDefault="00000000" w:rsidRPr="00000000" w14:paraId="000000FE">
      <w:pPr>
        <w:numPr>
          <w:ilvl w:val="0"/>
          <w:numId w:val="14"/>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Accrued Liabilities (as % of Operating Expenses)</w:t>
      </w:r>
    </w:p>
    <w:p w:rsidR="00000000" w:rsidDel="00000000" w:rsidP="00000000" w:rsidRDefault="00000000" w:rsidRPr="00000000" w14:paraId="000000F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Accrued liabilities are forecasted as a percentage of total operating expenses, reflecting the historical relationship between accrued obligations (such as wages, benefits, and other operational accruals) and quarterly operating costs. Historical ratios range from 39.2% to 62.1%, with most periods clustering between 48% and 56%.</w:t>
      </w:r>
    </w:p>
    <w:p w:rsidR="00000000" w:rsidDel="00000000" w:rsidP="00000000" w:rsidRDefault="00000000" w:rsidRPr="00000000" w14:paraId="00000100">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Forecasting Method:</w:t>
      </w:r>
    </w:p>
    <w:p w:rsidR="00000000" w:rsidDel="00000000" w:rsidP="00000000" w:rsidRDefault="00000000" w:rsidRPr="00000000" w14:paraId="00000101">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flat ratio of 52% is applied to forecasted operating expenses for all quarters (FQ4 2026 – FQ4 2027).</w:t>
      </w:r>
    </w:p>
    <w:p w:rsidR="00000000" w:rsidDel="00000000" w:rsidP="00000000" w:rsidRDefault="00000000" w:rsidRPr="00000000" w14:paraId="00000102">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rate represents a balanced midpoint within the historical range and aligns with the absence of strong seasonal patterns, aside from slight dips in Q4.</w:t>
      </w:r>
    </w:p>
    <w:p w:rsidR="00000000" w:rsidDel="00000000" w:rsidP="00000000" w:rsidRDefault="00000000" w:rsidRPr="00000000" w14:paraId="0000010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Using a stable percentage simplifies forecasting while maintaining realism, given the consistent linkage between operating expenses and related accruals.</w:t>
      </w:r>
      <w:r w:rsidDel="00000000" w:rsidR="00000000" w:rsidRPr="00000000">
        <w:rPr>
          <w:rtl w:val="0"/>
        </w:rPr>
      </w:r>
    </w:p>
    <w:p w:rsidR="00000000" w:rsidDel="00000000" w:rsidP="00000000" w:rsidRDefault="00000000" w:rsidRPr="00000000" w14:paraId="00000104">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accrued liabilities and operating expense data (FQ3 2024 – FQ3 2026).</w:t>
      </w:r>
      <w:r w:rsidDel="00000000" w:rsidR="00000000" w:rsidRPr="00000000">
        <w:rPr>
          <w:rtl w:val="0"/>
        </w:rPr>
      </w:r>
    </w:p>
    <w:p w:rsidR="00000000" w:rsidDel="00000000" w:rsidP="00000000" w:rsidRDefault="00000000" w:rsidRPr="00000000" w14:paraId="00000105">
      <w:pPr>
        <w:numPr>
          <w:ilvl w:val="0"/>
          <w:numId w:val="14"/>
        </w:numPr>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Other Intangible Assets Net (in thousands)</w:t>
      </w:r>
    </w:p>
    <w:p w:rsidR="00000000" w:rsidDel="00000000" w:rsidP="00000000" w:rsidRDefault="00000000" w:rsidRPr="00000000" w14:paraId="0000010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Other intangible assets do not follow a consistent linear growth pattern but rather reflect periodic recognition from acquisitions, IP additions, or amortization schedules. Historical data shows spikes in Q4 and Q3 (around $5,500–6,000) and occasional zero balances in Q1.</w:t>
      </w:r>
    </w:p>
    <w:p w:rsidR="00000000" w:rsidDel="00000000" w:rsidP="00000000" w:rsidRDefault="00000000" w:rsidRPr="00000000" w14:paraId="0000010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Method:</w:t>
      </w:r>
    </w:p>
    <w:p w:rsidR="00000000" w:rsidDel="00000000" w:rsidP="00000000" w:rsidRDefault="00000000" w:rsidRPr="00000000" w14:paraId="00000108">
      <w:pPr>
        <w:numPr>
          <w:ilvl w:val="0"/>
          <w:numId w:val="9"/>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FQ4 2026: $6,180 - +1.5% growth from FQ3 2026, aligning with Q4 spikes.</w:t>
      </w:r>
    </w:p>
    <w:p w:rsidR="00000000" w:rsidDel="00000000" w:rsidP="00000000" w:rsidRDefault="00000000" w:rsidRPr="00000000" w14:paraId="00000109">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FQ1 2027: $0 - Consistent with historical Q1 behavior (no new intangibles recognized).</w:t>
      </w:r>
    </w:p>
    <w:p w:rsidR="00000000" w:rsidDel="00000000" w:rsidP="00000000" w:rsidRDefault="00000000" w:rsidRPr="00000000" w14:paraId="0000010A">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FQ2 2027: $5,500 -  Reset to prior Q2 levels, reflecting conservative recognition.</w:t>
      </w:r>
    </w:p>
    <w:p w:rsidR="00000000" w:rsidDel="00000000" w:rsidP="00000000" w:rsidRDefault="00000000" w:rsidRPr="00000000" w14:paraId="0000010B">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FQ3 2027: $6,050 - Slight increase, matching the FQ3 2026 trend.</w:t>
      </w:r>
    </w:p>
    <w:p w:rsidR="00000000" w:rsidDel="00000000" w:rsidP="00000000" w:rsidRDefault="00000000" w:rsidRPr="00000000" w14:paraId="0000010C">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FQ4 2027: $6,150 - Continued modest growth, in line with Q4 historical spikes.</w:t>
      </w:r>
    </w:p>
    <w:p w:rsidR="00000000" w:rsidDel="00000000" w:rsidP="00000000" w:rsidRDefault="00000000" w:rsidRPr="00000000" w14:paraId="0000010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This approach balances flat periods with modest growth, avoiding overfitting while reflecting Ulta’s historical pattern of sporadic intangible asset recognition.</w:t>
      </w:r>
    </w:p>
    <w:p w:rsidR="00000000" w:rsidDel="00000000" w:rsidP="00000000" w:rsidRDefault="00000000" w:rsidRPr="00000000" w14:paraId="0000010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PitchBook historical intangible asset data (FQ1 2023 – FQ3 2026).</w:t>
      </w:r>
    </w:p>
    <w:p w:rsidR="00000000" w:rsidDel="00000000" w:rsidP="00000000" w:rsidRDefault="00000000" w:rsidRPr="00000000" w14:paraId="0000010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numPr>
          <w:ilvl w:val="0"/>
          <w:numId w:val="20"/>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Forecasted Statement of Cash Flows</w:t>
      </w:r>
    </w:p>
    <w:p w:rsidR="00000000" w:rsidDel="00000000" w:rsidP="00000000" w:rsidRDefault="00000000" w:rsidRPr="00000000" w14:paraId="00000111">
      <w:pPr>
        <w:numPr>
          <w:ilvl w:val="0"/>
          <w:numId w:val="2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Cash Flows from Operating Activities</w:t>
      </w:r>
    </w:p>
    <w:p w:rsidR="00000000" w:rsidDel="00000000" w:rsidP="00000000" w:rsidRDefault="00000000" w:rsidRPr="00000000" w14:paraId="0000011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Interpretation</w:t>
      </w:r>
      <w:r w:rsidDel="00000000" w:rsidR="00000000" w:rsidRPr="00000000">
        <w:rPr>
          <w:rFonts w:ascii="Times New Roman" w:cs="Times New Roman" w:eastAsia="Times New Roman" w:hAnsi="Times New Roman"/>
          <w:sz w:val="26"/>
          <w:szCs w:val="26"/>
          <w:rtl w:val="0"/>
        </w:rPr>
        <w:t xml:space="preserve">: Operating cash flow is strong and highly seasonal, peaking in FQ4 2026 ($3,538,412) and FQ1 2027 ($7,211,136) due to significant non‑cash adjustments, including depreciation of $2,324,800 in FQ4 2026 and large changes in operating lease liabilities. The buildup in merchandise inventories (especially in FQ2‑Q3) temporarily reduces cash, but this is offset by increases in accounts payable and accrued liabilities, reflecting Ulta’s efficient working‑capital management. The positive deferred tax adjustments further bolster operating cash flow, consistent with Ulta’s tax‑accrual patterns.</w:t>
      </w:r>
    </w:p>
    <w:p w:rsidR="00000000" w:rsidDel="00000000" w:rsidP="00000000" w:rsidRDefault="00000000" w:rsidRPr="00000000" w14:paraId="00000113">
      <w:pPr>
        <w:numPr>
          <w:ilvl w:val="0"/>
          <w:numId w:val="2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Cash Flows from Investing Activities</w:t>
      </w:r>
    </w:p>
    <w:p w:rsidR="00000000" w:rsidDel="00000000" w:rsidP="00000000" w:rsidRDefault="00000000" w:rsidRPr="00000000" w14:paraId="00000114">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Interpretation</w:t>
      </w:r>
      <w:r w:rsidDel="00000000" w:rsidR="00000000" w:rsidRPr="00000000">
        <w:rPr>
          <w:rFonts w:ascii="Times New Roman" w:cs="Times New Roman" w:eastAsia="Times New Roman" w:hAnsi="Times New Roman"/>
          <w:sz w:val="26"/>
          <w:szCs w:val="26"/>
          <w:rtl w:val="0"/>
        </w:rPr>
        <w:t xml:space="preserve">: Investing activities are dominated by capital expenditures in property, plant, and equipment, with the largest outflow in FQ4 2026 ($1,676,097) aligning with Ulta’s year‑end investments in new stores, salon upgrades, and distribution centers. Operating lease assets show significant volatility, with large inflows and outflows reflecting lease modifications and renewals. Other intangible assets and long‑term assets exhibit minor movements, indicating limited acquisition activity beyond the major goodwill event in FQ2 2026. Overall, investing outflows are concentrated in Q4, consistent with Ulta’s historical capital‑expenditure cycle.</w:t>
      </w:r>
      <w:r w:rsidDel="00000000" w:rsidR="00000000" w:rsidRPr="00000000">
        <w:rPr>
          <w:rtl w:val="0"/>
        </w:rPr>
      </w:r>
    </w:p>
    <w:p w:rsidR="00000000" w:rsidDel="00000000" w:rsidP="00000000" w:rsidRDefault="00000000" w:rsidRPr="00000000" w14:paraId="00000115">
      <w:pPr>
        <w:numPr>
          <w:ilvl w:val="0"/>
          <w:numId w:val="21"/>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Cash Flows from Financing Activities</w:t>
      </w:r>
    </w:p>
    <w:p w:rsidR="00000000" w:rsidDel="00000000" w:rsidP="00000000" w:rsidRDefault="00000000" w:rsidRPr="00000000" w14:paraId="0000011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Interpretation</w:t>
      </w:r>
      <w:r w:rsidDel="00000000" w:rsidR="00000000" w:rsidRPr="00000000">
        <w:rPr>
          <w:rFonts w:ascii="Times New Roman" w:cs="Times New Roman" w:eastAsia="Times New Roman" w:hAnsi="Times New Roman"/>
          <w:sz w:val="26"/>
          <w:szCs w:val="26"/>
          <w:rtl w:val="0"/>
        </w:rPr>
        <w:t xml:space="preserve">: Financing cash flows are modest and stable, primarily driven by retained earnings accumulation (approx. $80,000–$95,000 per quarter) and minor changes in other long‑term liabilities. No share repurchases or debt issuances are reflected in these forecasts, as short‑term debt is assumed to follow a seasonal pattern (zero in Q4/Q1), and treasury stock changes are captured in the equity section of the balance sheet. The stability in financing activities suggests Ulta is funding growth largely through internally generated cash rather than external financing.</w:t>
      </w:r>
    </w:p>
    <w:p w:rsidR="00000000" w:rsidDel="00000000" w:rsidP="00000000" w:rsidRDefault="00000000" w:rsidRPr="00000000" w14:paraId="00000117">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 Cash Change &amp; Ending Cash Balance</w:t>
      </w:r>
    </w:p>
    <w:p w:rsidR="00000000" w:rsidDel="00000000" w:rsidP="00000000" w:rsidRDefault="00000000" w:rsidRPr="00000000" w14:paraId="00000119">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net quarterly cash flow is strongly positive throughout the forecast period, ranging from $2,850,314 in FQ2 2027 to $7,305,255 in FQ1 2027. This results in a rising ending cash balance, from $5,508,079 in FQ4 2026 to $4,891,360 in FQ4 2027. The seasonal pattern, with cash peaking in Q4 and Q1, aligns with Ulta’s historical cash‑flow cycle, where holiday sales generate substantial liquidity that is then deployed for inventory and capital investments in subsequent quarters.</w:t>
      </w:r>
    </w:p>
    <w:p w:rsidR="00000000" w:rsidDel="00000000" w:rsidP="00000000" w:rsidRDefault="00000000" w:rsidRPr="00000000" w14:paraId="000001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Subtitle"/>
        <w:rPr>
          <w:rFonts w:ascii="Times New Roman" w:cs="Times New Roman" w:eastAsia="Times New Roman" w:hAnsi="Times New Roman"/>
          <w:b w:val="1"/>
          <w:bCs w:val="1"/>
          <w:color w:val="000000"/>
          <w:sz w:val="32"/>
          <w:szCs w:val="32"/>
        </w:rPr>
      </w:pPr>
      <w:bookmarkStart w:colFirst="0" w:colLast="0" w:name="_i18wrj4paqai" w:id="8"/>
      <w:bookmarkEnd w:id="8"/>
      <w:r w:rsidDel="00000000" w:rsidR="00000000" w:rsidRPr="00000000">
        <w:rPr>
          <w:rFonts w:ascii="Times New Roman" w:cs="Times New Roman" w:eastAsia="Times New Roman" w:hAnsi="Times New Roman"/>
          <w:b w:val="1"/>
          <w:bCs w:val="1"/>
          <w:color w:val="000000"/>
          <w:sz w:val="32"/>
          <w:szCs w:val="32"/>
          <w:rtl w:val="0"/>
        </w:rPr>
        <w:t xml:space="preserve">Part III. Financial Ratio Analysis</w:t>
      </w:r>
    </w:p>
    <w:p w:rsidR="00000000" w:rsidDel="00000000" w:rsidP="00000000" w:rsidRDefault="00000000" w:rsidRPr="00000000" w14:paraId="0000011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ratio analysis interprets Ulta’s forecasted financial performance and position across five quarters (FQ4 2026 - FQ4 2027). Ratios are derived from the forecasted income statement, balance sheet, and cash flow statement and are analyzed to assess liquidity, efficiency, profitability, leverage, and overall financial health.</w:t>
      </w:r>
    </w:p>
    <w:p w:rsidR="00000000" w:rsidDel="00000000" w:rsidP="00000000" w:rsidRDefault="00000000" w:rsidRPr="00000000" w14:paraId="0000011D">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Liquidity (Safety)</w:t>
      </w:r>
    </w:p>
    <w:p w:rsidR="00000000" w:rsidDel="00000000" w:rsidP="00000000" w:rsidRDefault="00000000" w:rsidRPr="00000000" w14:paraId="0000011F">
      <w:pPr>
        <w:numPr>
          <w:ilvl w:val="0"/>
          <w:numId w:val="1"/>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Current Ratio</w:t>
      </w:r>
    </w:p>
    <w:p w:rsidR="00000000" w:rsidDel="00000000" w:rsidP="00000000" w:rsidRDefault="00000000" w:rsidRPr="00000000" w14:paraId="00000120">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ratio fluctuates between 0.42 (FQ1 2027) and 1.11 (FQ4 2027), indicating varying short‑term liquidity. The low point in Q1 2027 reflects seasonal inventory builds and higher current liabilities, while the strong Q4 2027 ratio suggests improved liquidity from holiday cash inflows.</w:t>
      </w:r>
    </w:p>
    <w:p w:rsidR="00000000" w:rsidDel="00000000" w:rsidP="00000000" w:rsidRDefault="00000000" w:rsidRPr="00000000" w14:paraId="00000121">
      <w:pPr>
        <w:numPr>
          <w:ilvl w:val="0"/>
          <w:numId w:val="1"/>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Quick Ratio</w:t>
      </w:r>
    </w:p>
    <w:p w:rsidR="00000000" w:rsidDel="00000000" w:rsidP="00000000" w:rsidRDefault="00000000" w:rsidRPr="00000000" w14:paraId="00000122">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quick ratio remains very low throughout the forecast (range: 0.04 - 0.18), underscoring Ulta’s heavy reliance on inventory for current assets. This is typical for a retailer but indicates limited immediate liquidity excluding inventory.</w:t>
      </w:r>
      <w:r w:rsidDel="00000000" w:rsidR="00000000" w:rsidRPr="00000000">
        <w:rPr>
          <w:rtl w:val="0"/>
        </w:rPr>
      </w:r>
    </w:p>
    <w:p w:rsidR="00000000" w:rsidDel="00000000" w:rsidP="00000000" w:rsidRDefault="00000000" w:rsidRPr="00000000" w14:paraId="00000123">
      <w:pPr>
        <w:numPr>
          <w:ilvl w:val="0"/>
          <w:numId w:val="1"/>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Accounts Receivable Turnover</w:t>
      </w:r>
    </w:p>
    <w:p w:rsidR="00000000" w:rsidDel="00000000" w:rsidP="00000000" w:rsidRDefault="00000000" w:rsidRPr="00000000" w14:paraId="00000124">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Constant at 12.04 across all quarters, reflecting stable credit‑sales collection efficiency. This consistency suggests Ulta maintains tight receivables management.</w:t>
      </w:r>
    </w:p>
    <w:p w:rsidR="00000000" w:rsidDel="00000000" w:rsidP="00000000" w:rsidRDefault="00000000" w:rsidRPr="00000000" w14:paraId="00000125">
      <w:pPr>
        <w:numPr>
          <w:ilvl w:val="0"/>
          <w:numId w:val="1"/>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Days in Receivable</w:t>
      </w:r>
    </w:p>
    <w:p w:rsidR="00000000" w:rsidDel="00000000" w:rsidP="00000000" w:rsidRDefault="00000000" w:rsidRPr="00000000" w14:paraId="00000126">
      <w:pPr>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Steady at 7.56 days, confirming that Ulta collects receivables quickly, aligning with its predominantly cash- and card-based sales model.</w:t>
      </w:r>
      <w:r w:rsidDel="00000000" w:rsidR="00000000" w:rsidRPr="00000000">
        <w:rPr>
          <w:rtl w:val="0"/>
        </w:rPr>
      </w:r>
    </w:p>
    <w:p w:rsidR="00000000" w:rsidDel="00000000" w:rsidP="00000000" w:rsidRDefault="00000000" w:rsidRPr="00000000" w14:paraId="00000127">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Productivity (Efficiency)</w:t>
      </w:r>
    </w:p>
    <w:p w:rsidR="00000000" w:rsidDel="00000000" w:rsidP="00000000" w:rsidRDefault="00000000" w:rsidRPr="00000000" w14:paraId="00000128">
      <w:pPr>
        <w:numPr>
          <w:ilvl w:val="0"/>
          <w:numId w:val="8"/>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Inventory Turnover</w:t>
      </w:r>
    </w:p>
    <w:p w:rsidR="00000000" w:rsidDel="00000000" w:rsidP="00000000" w:rsidRDefault="00000000" w:rsidRPr="00000000" w14:paraId="00000129">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Declines gradually from 0.60 (FQ4 2026) to 0.42 (FQ4 2027), indicating slower inventory turns. This may result from larger seasonal inventory buildups ahead of peak sales periods.</w:t>
      </w:r>
    </w:p>
    <w:p w:rsidR="00000000" w:rsidDel="00000000" w:rsidP="00000000" w:rsidRDefault="00000000" w:rsidRPr="00000000" w14:paraId="0000012A">
      <w:pPr>
        <w:numPr>
          <w:ilvl w:val="0"/>
          <w:numId w:val="8"/>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Days in Inventory</w:t>
      </w:r>
    </w:p>
    <w:p w:rsidR="00000000" w:rsidDel="00000000" w:rsidP="00000000" w:rsidRDefault="00000000" w:rsidRPr="00000000" w14:paraId="0000012B">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Rises from 151.35 days (FQ4 2026) to 216.57 days (FQ4 2027), corroborating the slower turnover and reflecting longer holding periods for merchandise.</w:t>
      </w:r>
    </w:p>
    <w:p w:rsidR="00000000" w:rsidDel="00000000" w:rsidP="00000000" w:rsidRDefault="00000000" w:rsidRPr="00000000" w14:paraId="0000012C">
      <w:pPr>
        <w:numPr>
          <w:ilvl w:val="0"/>
          <w:numId w:val="8"/>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Total Asset Turnover</w:t>
      </w:r>
    </w:p>
    <w:p w:rsidR="00000000" w:rsidDel="00000000" w:rsidP="00000000" w:rsidRDefault="00000000" w:rsidRPr="00000000" w14:paraId="0000012D">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Remains relatively stable between 0.52 and 0.62, with a peak in FQ3 2027 (0.62) driven by strong seasonal sales. This shows consistent asset utilization efficiency.</w:t>
      </w:r>
    </w:p>
    <w:p w:rsidR="00000000" w:rsidDel="00000000" w:rsidP="00000000" w:rsidRDefault="00000000" w:rsidRPr="00000000" w14:paraId="0000012E">
      <w:pPr>
        <w:numPr>
          <w:ilvl w:val="0"/>
          <w:numId w:val="8"/>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Fixed Asset Turnover</w:t>
      </w:r>
    </w:p>
    <w:p w:rsidR="00000000" w:rsidDel="00000000" w:rsidP="00000000" w:rsidRDefault="00000000" w:rsidRPr="00000000" w14:paraId="0000012F">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Mirrors total asset turnover, peaking in FQ3 2027 (1.19) due to high sales relative to fixed assets, then moderating in Q4.</w:t>
      </w:r>
    </w:p>
    <w:p w:rsidR="00000000" w:rsidDel="00000000" w:rsidP="00000000" w:rsidRDefault="00000000" w:rsidRPr="00000000" w14:paraId="00000130">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Profitability (Performance)</w:t>
      </w:r>
    </w:p>
    <w:p w:rsidR="00000000" w:rsidDel="00000000" w:rsidP="00000000" w:rsidRDefault="00000000" w:rsidRPr="00000000" w14:paraId="00000131">
      <w:pPr>
        <w:numPr>
          <w:ilvl w:val="0"/>
          <w:numId w:val="1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Operating Profit Margin (%)</w:t>
      </w:r>
    </w:p>
    <w:p w:rsidR="00000000" w:rsidDel="00000000" w:rsidP="00000000" w:rsidRDefault="00000000" w:rsidRPr="00000000" w14:paraId="00000132">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Varies significantly, from 5.94% (FQ1 2027) to 28.83% (FQ3 2027). The Q3 2027 spike reflects high holiday‑season sales leverage, while Q1 shows typical post‑holiday compression.</w:t>
      </w:r>
    </w:p>
    <w:p w:rsidR="00000000" w:rsidDel="00000000" w:rsidP="00000000" w:rsidRDefault="00000000" w:rsidRPr="00000000" w14:paraId="00000133">
      <w:pPr>
        <w:numPr>
          <w:ilvl w:val="0"/>
          <w:numId w:val="1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Return on Assets (%)</w:t>
      </w:r>
    </w:p>
    <w:p w:rsidR="00000000" w:rsidDel="00000000" w:rsidP="00000000" w:rsidRDefault="00000000" w:rsidRPr="00000000" w14:paraId="00000134">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Ranges from 0.50% (FQ1 2027) to 6.03% (FQ3 2027), tracking operating‑margin movements. ROA peaks in Q3 2027 when asset efficiency and profitability align.</w:t>
      </w:r>
    </w:p>
    <w:p w:rsidR="00000000" w:rsidDel="00000000" w:rsidP="00000000" w:rsidRDefault="00000000" w:rsidRPr="00000000" w14:paraId="00000135">
      <w:pPr>
        <w:numPr>
          <w:ilvl w:val="0"/>
          <w:numId w:val="1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Net Profit Margin (%)</w:t>
      </w:r>
    </w:p>
    <w:p w:rsidR="00000000" w:rsidDel="00000000" w:rsidP="00000000" w:rsidRDefault="00000000" w:rsidRPr="00000000" w14:paraId="00000136">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Follows a similar pattern, from 2.22% (FQ1 2027) to 26.02% (FQ3 2027), highlighting strong bottom-line performance during peak quarters.</w:t>
      </w:r>
    </w:p>
    <w:p w:rsidR="00000000" w:rsidDel="00000000" w:rsidP="00000000" w:rsidRDefault="00000000" w:rsidRPr="00000000" w14:paraId="00000137">
      <w:pPr>
        <w:numPr>
          <w:ilvl w:val="0"/>
          <w:numId w:val="1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Return on Equity (%)</w:t>
      </w:r>
    </w:p>
    <w:p w:rsidR="00000000" w:rsidDel="00000000" w:rsidP="00000000" w:rsidRDefault="00000000" w:rsidRPr="00000000" w14:paraId="00000138">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Ranges from 2.20% (FQ1 2027) to 32.53% (FQ3 2027), amplified by financial leverage. The high Q3 2027 ROE demonstrates effective use of equity to generate profits.</w:t>
      </w:r>
    </w:p>
    <w:p w:rsidR="00000000" w:rsidDel="00000000" w:rsidP="00000000" w:rsidRDefault="00000000" w:rsidRPr="00000000" w14:paraId="00000139">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Insolvency (Leverage)</w:t>
      </w:r>
    </w:p>
    <w:p w:rsidR="00000000" w:rsidDel="00000000" w:rsidP="00000000" w:rsidRDefault="00000000" w:rsidRPr="00000000" w14:paraId="0000013A">
      <w:pPr>
        <w:numPr>
          <w:ilvl w:val="0"/>
          <w:numId w:val="13"/>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Debt Ratio</w:t>
      </w:r>
    </w:p>
    <w:p w:rsidR="00000000" w:rsidDel="00000000" w:rsidP="00000000" w:rsidRDefault="00000000" w:rsidRPr="00000000" w14:paraId="0000013B">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Remains high (between 0.80 and 0.93), indicating a leveraged capital structure. The ratio peaks in FQ1 2027 (0.93) when equity is seasonally lower.</w:t>
      </w:r>
    </w:p>
    <w:p w:rsidR="00000000" w:rsidDel="00000000" w:rsidP="00000000" w:rsidRDefault="00000000" w:rsidRPr="00000000" w14:paraId="0000013C">
      <w:pPr>
        <w:numPr>
          <w:ilvl w:val="0"/>
          <w:numId w:val="13"/>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Asset to Equity (Equity Multiple)</w:t>
      </w:r>
    </w:p>
    <w:p w:rsidR="00000000" w:rsidDel="00000000" w:rsidP="00000000" w:rsidRDefault="00000000" w:rsidRPr="00000000" w14:paraId="0000013D">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Increases from 2.87 (FQ4 2026) to 5.10–5.38 (FQ2 2027 – FQ4 2027), signaling rising financial leverage as assets grow faster than equity.</w:t>
      </w:r>
    </w:p>
    <w:p w:rsidR="00000000" w:rsidDel="00000000" w:rsidP="00000000" w:rsidRDefault="00000000" w:rsidRPr="00000000" w14:paraId="0000013E">
      <w:pPr>
        <w:numPr>
          <w:ilvl w:val="0"/>
          <w:numId w:val="13"/>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Current Liabilities to Total Debt Ratio</w:t>
      </w:r>
    </w:p>
    <w:p w:rsidR="00000000" w:rsidDel="00000000" w:rsidP="00000000" w:rsidRDefault="00000000" w:rsidRPr="00000000" w14:paraId="0000013F">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Stable around 0.73–0.85, showing that a significant portion of debt is short‑term, consistent with Ulta’s seasonal working‑capital financing.</w:t>
      </w:r>
    </w:p>
    <w:p w:rsidR="00000000" w:rsidDel="00000000" w:rsidP="00000000" w:rsidRDefault="00000000" w:rsidRPr="00000000" w14:paraId="00000140">
      <w:pPr>
        <w:numPr>
          <w:ilvl w:val="0"/>
          <w:numId w:val="13"/>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Interest Coverage</w:t>
      </w:r>
    </w:p>
    <w:p w:rsidR="00000000" w:rsidDel="00000000" w:rsidP="00000000" w:rsidRDefault="00000000" w:rsidRPr="00000000" w14:paraId="00000141">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Volatile, from 1.66 (FQ1 2027) to 10.08 (FQ3 2027). The low Q1 coverage reflects lower EBIT, while strong Q3 coverage indicates ample earnings to service interest.</w:t>
      </w:r>
    </w:p>
    <w:p w:rsidR="00000000" w:rsidDel="00000000" w:rsidP="00000000" w:rsidRDefault="00000000" w:rsidRPr="00000000" w14:paraId="00000142">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DuPont Ratio Analysis (ROE Break-Down)</w:t>
      </w:r>
    </w:p>
    <w:p w:rsidR="00000000" w:rsidDel="00000000" w:rsidP="00000000" w:rsidRDefault="00000000" w:rsidRPr="00000000" w14:paraId="00000143">
      <w:pPr>
        <w:numPr>
          <w:ilvl w:val="0"/>
          <w:numId w:val="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Net Profit margin: </w:t>
      </w:r>
      <w:r w:rsidDel="00000000" w:rsidR="00000000" w:rsidRPr="00000000">
        <w:rPr>
          <w:rFonts w:ascii="Times New Roman" w:cs="Times New Roman" w:eastAsia="Times New Roman" w:hAnsi="Times New Roman"/>
          <w:sz w:val="26"/>
          <w:szCs w:val="26"/>
          <w:rtl w:val="0"/>
        </w:rPr>
        <w:t xml:space="preserve">Peaks in Q3 2027 (26.02%), driving ROE.</w:t>
      </w:r>
      <w:r w:rsidDel="00000000" w:rsidR="00000000" w:rsidRPr="00000000">
        <w:rPr>
          <w:rtl w:val="0"/>
        </w:rPr>
      </w:r>
    </w:p>
    <w:p w:rsidR="00000000" w:rsidDel="00000000" w:rsidP="00000000" w:rsidRDefault="00000000" w:rsidRPr="00000000" w14:paraId="00000144">
      <w:pPr>
        <w:numPr>
          <w:ilvl w:val="0"/>
          <w:numId w:val="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Asset Turnover: </w:t>
      </w:r>
      <w:r w:rsidDel="00000000" w:rsidR="00000000" w:rsidRPr="00000000">
        <w:rPr>
          <w:rFonts w:ascii="Times New Roman" w:cs="Times New Roman" w:eastAsia="Times New Roman" w:hAnsi="Times New Roman"/>
          <w:sz w:val="26"/>
          <w:szCs w:val="26"/>
          <w:rtl w:val="0"/>
        </w:rPr>
        <w:t xml:space="preserve">Highest in Q3 2027 (0.62), enhancing ROE.</w:t>
      </w:r>
      <w:r w:rsidDel="00000000" w:rsidR="00000000" w:rsidRPr="00000000">
        <w:rPr>
          <w:rtl w:val="0"/>
        </w:rPr>
      </w:r>
    </w:p>
    <w:p w:rsidR="00000000" w:rsidDel="00000000" w:rsidP="00000000" w:rsidRDefault="00000000" w:rsidRPr="00000000" w14:paraId="00000145">
      <w:pPr>
        <w:numPr>
          <w:ilvl w:val="0"/>
          <w:numId w:val="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Equity Multiplier: </w:t>
      </w:r>
      <w:r w:rsidDel="00000000" w:rsidR="00000000" w:rsidRPr="00000000">
        <w:rPr>
          <w:rFonts w:ascii="Times New Roman" w:cs="Times New Roman" w:eastAsia="Times New Roman" w:hAnsi="Times New Roman"/>
          <w:sz w:val="26"/>
          <w:szCs w:val="26"/>
          <w:rtl w:val="0"/>
        </w:rPr>
        <w:t xml:space="preserve">Rises steadily, amplifying ROE through leverage.</w:t>
      </w:r>
      <w:r w:rsidDel="00000000" w:rsidR="00000000" w:rsidRPr="00000000">
        <w:rPr>
          <w:rtl w:val="0"/>
        </w:rPr>
      </w:r>
    </w:p>
    <w:p w:rsidR="00000000" w:rsidDel="00000000" w:rsidP="00000000" w:rsidRDefault="00000000" w:rsidRPr="00000000" w14:paraId="00000146">
      <w:pPr>
        <w:numPr>
          <w:ilvl w:val="0"/>
          <w:numId w:val="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ROE (DuPont): </w:t>
      </w:r>
      <w:r w:rsidDel="00000000" w:rsidR="00000000" w:rsidRPr="00000000">
        <w:rPr>
          <w:rFonts w:ascii="Times New Roman" w:cs="Times New Roman" w:eastAsia="Times New Roman" w:hAnsi="Times New Roman"/>
          <w:sz w:val="26"/>
          <w:szCs w:val="26"/>
          <w:rtl w:val="0"/>
        </w:rPr>
        <w:t xml:space="preserve">Reaches 87.18% in Q3 2027, a product of high margins, solid asset turnover, and increased leverage.</w:t>
      </w:r>
    </w:p>
    <w:p w:rsidR="00000000" w:rsidDel="00000000" w:rsidP="00000000" w:rsidRDefault="00000000" w:rsidRPr="00000000" w14:paraId="00000147">
      <w:pPr>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8">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Interpretation</w:t>
      </w:r>
      <w:r w:rsidDel="00000000" w:rsidR="00000000" w:rsidRPr="00000000">
        <w:rPr>
          <w:rFonts w:ascii="Times New Roman" w:cs="Times New Roman" w:eastAsia="Times New Roman" w:hAnsi="Times New Roman"/>
          <w:sz w:val="26"/>
          <w:szCs w:val="26"/>
          <w:rtl w:val="0"/>
        </w:rPr>
        <w:t xml:space="preserve">: Ulta’s ROE is highly seasonal and leverage-sensitive. The Q3 2027 surge results from exceptional profitability and efficient asset use, magnified by a higher equity multiplier.</w:t>
      </w:r>
    </w:p>
    <w:p w:rsidR="00000000" w:rsidDel="00000000" w:rsidP="00000000" w:rsidRDefault="00000000" w:rsidRPr="00000000" w14:paraId="00000149">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Additional Ratio Analysis</w:t>
      </w:r>
    </w:p>
    <w:p w:rsidR="00000000" w:rsidDel="00000000" w:rsidP="00000000" w:rsidRDefault="00000000" w:rsidRPr="00000000" w14:paraId="0000014A">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Revenue Growth (%)</w:t>
      </w:r>
    </w:p>
    <w:p w:rsidR="00000000" w:rsidDel="00000000" w:rsidP="00000000" w:rsidRDefault="00000000" w:rsidRPr="00000000" w14:paraId="0000014B">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Volatile, with a sharp spike in Q3 2027 (32.44%) due to holiday sales, followed by a decline in Q4.</w:t>
      </w:r>
    </w:p>
    <w:p w:rsidR="00000000" w:rsidDel="00000000" w:rsidP="00000000" w:rsidRDefault="00000000" w:rsidRPr="00000000" w14:paraId="0000014C">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Net Income Growth (%)</w:t>
      </w:r>
    </w:p>
    <w:p w:rsidR="00000000" w:rsidDel="00000000" w:rsidP="00000000" w:rsidRDefault="00000000" w:rsidRPr="00000000" w14:paraId="0000014D">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Extremely volatile, from ‑68.92% (Q1 2027) to +875.43% (Q3 2027), reflecting the high fixed-cost structure and operating leverage.</w:t>
      </w:r>
    </w:p>
    <w:p w:rsidR="00000000" w:rsidDel="00000000" w:rsidP="00000000" w:rsidRDefault="00000000" w:rsidRPr="00000000" w14:paraId="0000014E">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Gross Margin</w:t>
      </w:r>
    </w:p>
    <w:p w:rsidR="00000000" w:rsidDel="00000000" w:rsidP="00000000" w:rsidRDefault="00000000" w:rsidRPr="00000000" w14:paraId="0000014F">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Ranges from 35% to 51%, peaking in Q3 2027 (51%) as higher‑margin holiday sales mix improves profitability.</w:t>
      </w:r>
    </w:p>
    <w:p w:rsidR="00000000" w:rsidDel="00000000" w:rsidP="00000000" w:rsidRDefault="00000000" w:rsidRPr="00000000" w14:paraId="00000150">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Operating Expenses Margin</w:t>
      </w:r>
    </w:p>
    <w:p w:rsidR="00000000" w:rsidDel="00000000" w:rsidP="00000000" w:rsidRDefault="00000000" w:rsidRPr="00000000" w14:paraId="00000151">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Remains relatively stable (-21% to -29%), indicating consistent cost control relative to sales.</w:t>
      </w:r>
    </w:p>
    <w:p w:rsidR="00000000" w:rsidDel="00000000" w:rsidP="00000000" w:rsidRDefault="00000000" w:rsidRPr="00000000" w14:paraId="00000152">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Operating Margin</w:t>
      </w:r>
    </w:p>
    <w:p w:rsidR="00000000" w:rsidDel="00000000" w:rsidP="00000000" w:rsidRDefault="00000000" w:rsidRPr="00000000" w14:paraId="00000153">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Matches operating profit margin, peaking in Q3 2027 (28.83%).</w:t>
      </w:r>
    </w:p>
    <w:p w:rsidR="00000000" w:rsidDel="00000000" w:rsidP="00000000" w:rsidRDefault="00000000" w:rsidRPr="00000000" w14:paraId="00000154">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EBIT Margin</w:t>
      </w:r>
    </w:p>
    <w:p w:rsidR="00000000" w:rsidDel="00000000" w:rsidP="00000000" w:rsidRDefault="00000000" w:rsidRPr="00000000" w14:paraId="0000015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 to operating margin, showing strong operational profitability in peak quarters.</w:t>
      </w:r>
    </w:p>
    <w:p w:rsidR="00000000" w:rsidDel="00000000" w:rsidP="00000000" w:rsidRDefault="00000000" w:rsidRPr="00000000" w14:paraId="00000156">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Debt to Equity</w:t>
      </w:r>
    </w:p>
    <w:p w:rsidR="00000000" w:rsidDel="00000000" w:rsidP="00000000" w:rsidRDefault="00000000" w:rsidRPr="00000000" w14:paraId="00000157">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Ranges from 0.63 to 0.70, confirming moderate leverage with a slight improving trend.</w:t>
      </w:r>
    </w:p>
    <w:p w:rsidR="00000000" w:rsidDel="00000000" w:rsidP="00000000" w:rsidRDefault="00000000" w:rsidRPr="00000000" w14:paraId="00000158">
      <w:pPr>
        <w:numPr>
          <w:ilvl w:val="0"/>
          <w:numId w:val="16"/>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EBIT Growth (%)</w:t>
      </w:r>
    </w:p>
    <w:p w:rsidR="00000000" w:rsidDel="00000000" w:rsidP="00000000" w:rsidRDefault="00000000" w:rsidRPr="00000000" w14:paraId="00000159">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Highly variable, with Q3 2027 (191.90%) showing exceptional earnings expansion from seasonal sales leverage.</w:t>
      </w:r>
    </w:p>
    <w:p w:rsidR="00000000" w:rsidDel="00000000" w:rsidP="00000000" w:rsidRDefault="00000000" w:rsidRPr="00000000" w14:paraId="0000015A">
      <w:pPr>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179">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Ulta Beauty, Inc. (2024). </w:t>
      </w:r>
      <w:r w:rsidDel="00000000" w:rsidR="00000000" w:rsidRPr="00000000">
        <w:rPr>
          <w:rFonts w:ascii="Times New Roman" w:cs="Times New Roman" w:eastAsia="Times New Roman" w:hAnsi="Times New Roman"/>
          <w:i w:val="1"/>
          <w:iCs w:val="1"/>
          <w:sz w:val="24"/>
          <w:szCs w:val="24"/>
          <w:rtl w:val="0"/>
        </w:rPr>
        <w:t xml:space="preserve">Annual report 2024</w:t>
      </w:r>
      <w:r w:rsidDel="00000000" w:rsidR="00000000" w:rsidRPr="00000000">
        <w:rPr>
          <w:rFonts w:ascii="Times New Roman" w:cs="Times New Roman" w:eastAsia="Times New Roman" w:hAnsi="Times New Roman"/>
          <w:sz w:val="24"/>
          <w:szCs w:val="24"/>
          <w:rtl w:val="0"/>
        </w:rPr>
        <w:t xml:space="preserve">. U.S. Securities and Exchange Commission.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https://www.sec.gov/Archives/edgar/data/1403568/000110465925038002/tm2512916d1_ars.pdf</w:t>
        </w:r>
      </w:hyperlink>
      <w:r w:rsidDel="00000000" w:rsidR="00000000" w:rsidRPr="00000000">
        <w:rPr>
          <w:rtl w:val="0"/>
        </w:rPr>
      </w:r>
    </w:p>
    <w:p w:rsidR="00000000" w:rsidDel="00000000" w:rsidP="00000000" w:rsidRDefault="00000000" w:rsidRPr="00000000" w14:paraId="0000017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(2025). </w:t>
      </w:r>
      <w:r w:rsidDel="00000000" w:rsidR="00000000" w:rsidRPr="00000000">
        <w:rPr>
          <w:rFonts w:ascii="Times New Roman" w:cs="Times New Roman" w:eastAsia="Times New Roman" w:hAnsi="Times New Roman"/>
          <w:i w:val="1"/>
          <w:iCs w:val="1"/>
          <w:sz w:val="24"/>
          <w:szCs w:val="24"/>
          <w:rtl w:val="0"/>
        </w:rPr>
        <w:t xml:space="preserve">Personal care, beauty and cosmetics industry</w:t>
      </w:r>
      <w:r w:rsidDel="00000000" w:rsidR="00000000" w:rsidRPr="00000000">
        <w:rPr>
          <w:rFonts w:ascii="Times New Roman" w:cs="Times New Roman" w:eastAsia="Times New Roman" w:hAnsi="Times New Roman"/>
          <w:sz w:val="24"/>
          <w:szCs w:val="24"/>
          <w:rtl w:val="0"/>
        </w:rPr>
        <w:t xml:space="preserve">. Statista.</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u w:val="single"/>
            <w:rtl w:val="0"/>
          </w:rPr>
          <w:t xml:space="preserve">https://www.statista.com/topics/3137/personal-care-beauty-and-cosmetics-industry/</w:t>
        </w:r>
      </w:hyperlink>
      <w:r w:rsidDel="00000000" w:rsidR="00000000" w:rsidRPr="00000000">
        <w:rPr>
          <w:rtl w:val="0"/>
        </w:rPr>
      </w:r>
    </w:p>
    <w:p w:rsidR="00000000" w:rsidDel="00000000" w:rsidP="00000000" w:rsidRDefault="00000000" w:rsidRPr="00000000" w14:paraId="0000017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View Research. (2024). </w:t>
      </w:r>
      <w:r w:rsidDel="00000000" w:rsidR="00000000" w:rsidRPr="00000000">
        <w:rPr>
          <w:rFonts w:ascii="Times New Roman" w:cs="Times New Roman" w:eastAsia="Times New Roman" w:hAnsi="Times New Roman"/>
          <w:i w:val="1"/>
          <w:iCs w:val="1"/>
          <w:sz w:val="24"/>
          <w:szCs w:val="24"/>
          <w:rtl w:val="0"/>
        </w:rPr>
        <w:t xml:space="preserve">U.S. beauty &amp; personal care products market report</w:t>
      </w:r>
      <w:r w:rsidDel="00000000" w:rsidR="00000000" w:rsidRPr="00000000">
        <w:rPr>
          <w:rFonts w:ascii="Times New Roman" w:cs="Times New Roman" w:eastAsia="Times New Roman" w:hAnsi="Times New Roman"/>
          <w:sz w:val="24"/>
          <w:szCs w:val="24"/>
          <w:rtl w:val="0"/>
        </w:rPr>
        <w:t xml:space="preserve">. Grand View Research.</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u w:val="single"/>
            <w:rtl w:val="0"/>
          </w:rPr>
          <w:t xml:space="preserve">https://www.grandviewresearch.com/industry-analysis/us-beauty-personal-care-products-market-report</w:t>
        </w:r>
      </w:hyperlink>
      <w:r w:rsidDel="00000000" w:rsidR="00000000" w:rsidRPr="00000000">
        <w:rPr>
          <w:rtl w:val="0"/>
        </w:rPr>
      </w:r>
    </w:p>
    <w:p w:rsidR="00000000" w:rsidDel="00000000" w:rsidP="00000000" w:rsidRDefault="00000000" w:rsidRPr="00000000" w14:paraId="0000017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(2023). </w:t>
      </w:r>
      <w:r w:rsidDel="00000000" w:rsidR="00000000" w:rsidRPr="00000000">
        <w:rPr>
          <w:rFonts w:ascii="Times New Roman" w:cs="Times New Roman" w:eastAsia="Times New Roman" w:hAnsi="Times New Roman"/>
          <w:i w:val="1"/>
          <w:iCs w:val="1"/>
          <w:sz w:val="24"/>
          <w:szCs w:val="24"/>
          <w:rtl w:val="0"/>
        </w:rPr>
        <w:t xml:space="preserve">The state of beauty</w:t>
      </w:r>
      <w:r w:rsidDel="00000000" w:rsidR="00000000" w:rsidRPr="00000000">
        <w:rPr>
          <w:rFonts w:ascii="Times New Roman" w:cs="Times New Roman" w:eastAsia="Times New Roman" w:hAnsi="Times New Roman"/>
          <w:sz w:val="24"/>
          <w:szCs w:val="24"/>
          <w:rtl w:val="0"/>
        </w:rPr>
        <w:t xml:space="preserve">. McKinsey &amp; Company.</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u w:val="single"/>
            <w:rtl w:val="0"/>
          </w:rPr>
          <w:t xml:space="preserve">https://www.mckinsey.com/industries/consumer-packaged-goods/our-insights/state-of-beauty</w:t>
        </w:r>
      </w:hyperlink>
      <w:r w:rsidDel="00000000" w:rsidR="00000000" w:rsidRPr="00000000">
        <w:rPr>
          <w:rtl w:val="0"/>
        </w:rPr>
      </w:r>
    </w:p>
    <w:p w:rsidR="00000000" w:rsidDel="00000000" w:rsidP="00000000" w:rsidRDefault="00000000" w:rsidRPr="00000000" w14:paraId="0000017D">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PitchBook Data, Inc. (2025). Ulta Beauty, Inc.: Balance sheet. </w:t>
      </w:r>
      <w:r w:rsidDel="00000000" w:rsidR="00000000" w:rsidRPr="00000000">
        <w:rPr>
          <w:rFonts w:ascii="Times New Roman" w:cs="Times New Roman" w:eastAsia="Times New Roman" w:hAnsi="Times New Roman"/>
          <w:sz w:val="24"/>
          <w:szCs w:val="24"/>
          <w:u w:val="single"/>
          <w:rtl w:val="0"/>
        </w:rPr>
        <w:t xml:space="preserve">https://my.pitchbook.com/profile/10825-66/company/financials/BALANCE_SHEET</w:t>
      </w:r>
    </w:p>
    <w:p w:rsidR="00000000" w:rsidDel="00000000" w:rsidP="00000000" w:rsidRDefault="00000000" w:rsidRPr="00000000" w14:paraId="000001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Subtitle"/>
        <w:rPr>
          <w:color w:val="000000"/>
        </w:rPr>
      </w:pPr>
      <w:bookmarkStart w:colFirst="0" w:colLast="0" w:name="_anzq6bxus1oi" w:id="9"/>
      <w:bookmarkEnd w:id="9"/>
      <w:r w:rsidDel="00000000" w:rsidR="00000000" w:rsidRPr="00000000">
        <w:rPr>
          <w:rtl w:val="0"/>
        </w:rPr>
      </w:r>
    </w:p>
    <w:p w:rsidR="00000000" w:rsidDel="00000000" w:rsidP="00000000" w:rsidRDefault="00000000" w:rsidRPr="00000000" w14:paraId="00000181">
      <w:pPr>
        <w:pStyle w:val="Subtitle"/>
        <w:rPr>
          <w:color w:val="000000"/>
        </w:rPr>
      </w:pPr>
      <w:bookmarkStart w:colFirst="0" w:colLast="0" w:name="_xwbeatdsm7hy" w:id="10"/>
      <w:bookmarkEnd w:id="10"/>
      <w:r w:rsidDel="00000000" w:rsidR="00000000" w:rsidRPr="00000000">
        <w:rPr>
          <w:rtl w:val="0"/>
        </w:rPr>
      </w:r>
    </w:p>
    <w:p w:rsidR="00000000" w:rsidDel="00000000" w:rsidP="00000000" w:rsidRDefault="00000000" w:rsidRPr="00000000" w14:paraId="00000182">
      <w:pPr>
        <w:pStyle w:val="Subtitle"/>
        <w:rPr>
          <w:color w:val="000000"/>
        </w:rPr>
      </w:pPr>
      <w:bookmarkStart w:colFirst="0" w:colLast="0" w:name="_1k0auti5nw0q" w:id="11"/>
      <w:bookmarkEnd w:id="11"/>
      <w:r w:rsidDel="00000000" w:rsidR="00000000" w:rsidRPr="00000000">
        <w:rPr>
          <w:rtl w:val="0"/>
        </w:rPr>
      </w:r>
    </w:p>
    <w:p w:rsidR="00000000" w:rsidDel="00000000" w:rsidP="00000000" w:rsidRDefault="00000000" w:rsidRPr="00000000" w14:paraId="00000183">
      <w:pPr>
        <w:pStyle w:val="Subtitle"/>
        <w:rPr>
          <w:color w:val="000000"/>
        </w:rPr>
      </w:pPr>
      <w:bookmarkStart w:colFirst="0" w:colLast="0" w:name="_jhmp2ka5suuc" w:id="12"/>
      <w:bookmarkEnd w:id="12"/>
      <w:r w:rsidDel="00000000" w:rsidR="00000000" w:rsidRPr="00000000">
        <w:rPr>
          <w:rtl w:val="0"/>
        </w:rPr>
      </w:r>
    </w:p>
    <w:p w:rsidR="00000000" w:rsidDel="00000000" w:rsidP="00000000" w:rsidRDefault="00000000" w:rsidRPr="00000000" w14:paraId="00000184">
      <w:pPr>
        <w:pStyle w:val="Subtitle"/>
        <w:rPr>
          <w:color w:val="000000"/>
        </w:rPr>
      </w:pPr>
      <w:bookmarkStart w:colFirst="0" w:colLast="0" w:name="_fdspfmv3b5zv" w:id="13"/>
      <w:bookmarkEnd w:id="13"/>
      <w:r w:rsidDel="00000000" w:rsidR="00000000" w:rsidRPr="00000000">
        <w:rPr>
          <w:rtl w:val="0"/>
        </w:rPr>
      </w:r>
    </w:p>
    <w:p w:rsidR="00000000" w:rsidDel="00000000" w:rsidP="00000000" w:rsidRDefault="00000000" w:rsidRPr="00000000" w14:paraId="00000185">
      <w:pPr>
        <w:pStyle w:val="Subtitle"/>
        <w:rPr>
          <w:color w:val="000000"/>
        </w:rPr>
      </w:pPr>
      <w:bookmarkStart w:colFirst="0" w:colLast="0" w:name="_67e2ffsmzof2" w:id="14"/>
      <w:bookmarkEnd w:id="14"/>
      <w:r w:rsidDel="00000000" w:rsidR="00000000" w:rsidRPr="00000000">
        <w:rPr>
          <w:rtl w:val="0"/>
        </w:rPr>
      </w:r>
    </w:p>
    <w:p w:rsidR="00000000" w:rsidDel="00000000" w:rsidP="00000000" w:rsidRDefault="00000000" w:rsidRPr="00000000" w14:paraId="00000186">
      <w:pPr>
        <w:pStyle w:val="Subtitle"/>
        <w:rPr>
          <w:color w:val="000000"/>
        </w:rPr>
      </w:pPr>
      <w:bookmarkStart w:colFirst="0" w:colLast="0" w:name="_62vr8gtocntm" w:id="15"/>
      <w:bookmarkEnd w:id="15"/>
      <w:r w:rsidDel="00000000" w:rsidR="00000000" w:rsidRPr="00000000">
        <w:rPr>
          <w:rtl w:val="0"/>
        </w:rPr>
      </w:r>
    </w:p>
    <w:p w:rsidR="00000000" w:rsidDel="00000000" w:rsidP="00000000" w:rsidRDefault="00000000" w:rsidRPr="00000000" w14:paraId="00000187">
      <w:pPr>
        <w:pStyle w:val="Subtitle"/>
        <w:rPr>
          <w:color w:val="000000"/>
        </w:rPr>
      </w:pPr>
      <w:bookmarkStart w:colFirst="0" w:colLast="0" w:name="_jwce82wedopn" w:id="16"/>
      <w:bookmarkEnd w:id="16"/>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ista.com/topics/3137/personal-care-beauty-and-cosmetics-industry/" TargetMode="External"/><Relationship Id="rId10" Type="http://schemas.openxmlformats.org/officeDocument/2006/relationships/hyperlink" Target="https://www.statista.com/topics/3137/personal-care-beauty-and-cosmetics-industry/" TargetMode="External"/><Relationship Id="rId13" Type="http://schemas.openxmlformats.org/officeDocument/2006/relationships/hyperlink" Target="https://www.grandviewresearch.com/industry-analysis/us-beauty-personal-care-products-market-report" TargetMode="External"/><Relationship Id="rId12" Type="http://schemas.openxmlformats.org/officeDocument/2006/relationships/hyperlink" Target="https://www.grandviewresearch.com/industry-analysis/us-beauty-personal-care-products-market-re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gov/Archives/edgar/data/1403568/000110465925038002/tm2512916d1_ars.pdf" TargetMode="External"/><Relationship Id="rId15" Type="http://schemas.openxmlformats.org/officeDocument/2006/relationships/hyperlink" Target="https://www.mckinsey.com/industries/consumer-packaged-goods/our-insights/state-of-beauty" TargetMode="External"/><Relationship Id="rId14" Type="http://schemas.openxmlformats.org/officeDocument/2006/relationships/hyperlink" Target="https://www.mckinsey.com/industries/consumer-packaged-goods/our-insights/state-of-beauty"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www.sec.gov/Archives/edgar/data/1403568/000110465925038002/tm2512916d1_ar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