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5e91ca44ea5000721df75e2efe365cbb195cdd"/>
    <w:p>
      <w:pPr>
        <w:pStyle w:val="Heading2"/>
      </w:pPr>
      <w:r>
        <w:t xml:space="preserve">Traccia 1 – Incentivi per autoveicoli ecosostenibili</w:t>
      </w:r>
    </w:p>
    <w:p>
      <w:pPr>
        <w:pStyle w:val="FirstParagraph"/>
      </w:pPr>
      <w:r>
        <w:rPr>
          <w:bCs/>
          <w:b/>
        </w:rPr>
        <w:t xml:space="preserve">Domanda.</w:t>
      </w:r>
      <w:r>
        <w:t xml:space="preserve"> </w:t>
      </w:r>
      <w:r>
        <w:rPr>
          <w:iCs/>
          <w:i/>
        </w:rPr>
        <w:t xml:space="preserve">Il Governo ha introdotto degli incentivi per l’acquisto di autoveicoli maggiormente ecosostenibili per uso privato. Si ipotizzi quali caratteristiche questo tipo di politica dovrebbe avere, anche ispirandosi alla realtà, evidenziandone le finalità e gli obiettivi strategici, le modalità di funzionamento, i beneficiari e gli strumenti scelti. Sulla base della struttura ipotizzata della misura, si delinei uno schema per la valutazione dei suoi effetti distinguendo tra gli output, gli outcome e l’impatto che si intendono misurare. Per ognuna di queste tipologie di effetti si individui un indicatore sulla base del quale effettuare la valutazione.</w:t>
      </w:r>
    </w:p>
    <w:p>
      <w:pPr>
        <w:pStyle w:val="BodyText"/>
      </w:pPr>
      <w:r>
        <w:rPr>
          <w:bCs/>
          <w:b/>
        </w:rPr>
        <w:t xml:space="preserve">Risposta.</w:t>
      </w:r>
    </w:p>
    <w:p>
      <w:pPr>
        <w:pStyle w:val="BodyText"/>
      </w:pPr>
      <w:r>
        <w:t xml:space="preserve">La progettazione di una politica pubblica parte dall’analisi del problema. L’albero dei problemi ne individua le cause e gli effetti; l’albero degli obiettivi li riformula in positivo e indica le azioni da intraprendere. Nel caso degli incentivi per le auto ecosostenibili, il problema è l’inquinamento atmosferico e climatico prodotto da un parco auto privato vecchio e alimentato da combustibili fossili, in un Paese, come l’Italia, fortemente dipendente dal trasporto su strada. Alla base della misura c’è una precisa teoria del cambiamento. Un contributo pubblico riduce il prezzo relativo dei veicoli a basse emissioni; più famiglie sostituiscono l’auto inquinante; le emissioni del parco circolante diminuiscono; migliorano la qualità dell’aria e la salute dei cittadini. Rendere esplicita questa catena causale è indispensabile sia per progettare sia per valutare.</w:t>
      </w:r>
    </w:p>
    <w:p>
      <w:pPr>
        <w:pStyle w:val="BodyText"/>
      </w:pPr>
      <w:r>
        <w:t xml:space="preserve">La finalità generale della politica è ridurre le emissioni del trasporto privato, in coerenza con gli obiettivi europei di decarbonizzazione. Gli obiettivi strategici sono tre: rinnovare il parco circolante sostituendo i veicoli più vecchi, accelerare la diffusione dei veicoli elettrici e a bassissime emissioni, rendere la transizione socialmente sostenibile sostenendo le famiglie a reddito medio-basso, che altrimenti non potrebbero permettersela.</w:t>
      </w:r>
    </w:p>
    <w:p>
      <w:pPr>
        <w:pStyle w:val="BodyText"/>
      </w:pPr>
      <w:r>
        <w:t xml:space="preserve">Ispirandosi agli ecobonus degli ultimi anni, la misura potrebbe consistere in un contributo in conto prezzo, applicato come sconto direttamente dal concessionario, che lo recupera come credito d’imposta. È uno strumento di tipo economico e, nella classificazione di Lowi, una politica distributiva, perché assegna un vantaggio a una categoria di beneficiari a carico della fiscalità generale. I beneficiari sarebbero le persone fisiche che acquistano un veicolo nuovo per uso privato. L’importo andrebbe modulato su tre criteri: le emissioni di anidride carbonica del veicolo, con il contributo più alto per gli elettrici; la rottamazione di un veicolo vecchio, per esempio fino alla classe Euro 4; l’ISEE del nucleo familiare, con importi maggiori sotto una certa soglia. Andrebbe fissato un tetto al prezzo del veicolo agevolabile, per non finanziare auto di lusso. La dotazione finanziaria dovrebbe essere limitata, con prenotazione su una piattaforma telematica fino a esaurimento dei fondi: i crediti d’imposta automatici e senza tetto hanno un costo per la finanza pubblica difficile da prevedere e controllare. La misura dovrebbe infine essere accompagnata dallo sviluppo delle infrastrutture di ricarica e da campagne informative, perché senza punti di ricarica diffusi l’incentivo rischia di restare inutilizzato.</w:t>
      </w:r>
    </w:p>
    <w:p>
      <w:pPr>
        <w:pStyle w:val="BodyText"/>
      </w:pPr>
      <w:r>
        <w:t xml:space="preserve">L’attuazione andrebbe programmata con gli strumenti del project management: una scomposizione delle attività (decreto attuativo, piattaforma, apertura delle prenotazioni, controlli, rendicontazione), un cronoprogramma e un budget. Andrebbero inoltre coinvolti fin dall’inizio gli stakeholder, cioè case automobilistiche, concessionari, associazioni ambientaliste e dei consumatori, Comuni.</w:t>
      </w:r>
    </w:p>
    <w:p>
      <w:pPr>
        <w:pStyle w:val="BodyText"/>
      </w:pPr>
      <w:r>
        <w:t xml:space="preserve">Lo schema di valutazione si costruisce con il quadro logico, che collega input, attività, output, outcome e impatto e per ciascun livello fissa indicatori, valori obiettivo e fonti dei dati. Gli output sono il risultato immediato e più osservabile dell’attuazione e misurano soprattutto l’efficienza. Un indicatore adeguato è il numero di contributi erogati e la quota delle risorse effettivamente utilizzata, distinti per classe di emissioni del veicolo e per fascia ISEE, ricavabili dalla piattaforma della misura. Gli outcome sono gli effetti sui comportamenti dei destinatari e misurano l’efficacia. Qui l’indicatore più significativo è la quota di auto elettriche e a basse emissioni sul totale delle nuove immatricolazioni dei privati, confrontata con ciò che sarebbe accaduto senza incentivo, insieme al numero di veicoli vecchi effettivamente rottamati, ricavabili dagli archivi della Motorizzazione e dell’ACI. L’impatto, infine, riguarda gli effetti di lungo periodo sulla collettività. Lo si può misurare con la riduzione delle emissioni di anidride carbonica del parco circolante, espressa in tonnellate evitate all’anno, e con l’andamento delle concentrazioni di polveri sottili e biossido di azoto nelle aree urbane, sulla base dei dati delle agenzie ambientali. Un indicatore sintetico molto utile è il costo pubblico per tonnellata di anidride carbonica evitata. Consente un’analisi costi-efficacia e il confronto con strumenti alternativi, come il potenziamento del trasporto pubblico.</w:t>
      </w:r>
    </w:p>
    <w:p>
      <w:pPr>
        <w:pStyle w:val="BodyText"/>
      </w:pPr>
      <w:r>
        <w:t xml:space="preserve">L’aspetto più delicato è la stima degli effetti. L’effetto di una politica non è il numero di auto incentivate, ma la differenza tra ciò che è accaduto e ciò che sarebbe accaduto senza la politica, il cosiddetto controfattuale, che per definizione non si osserva. Il rischio principale è la perdita secca: molte famiglie, soprattutto a reddito alto, avrebbero acquistato comunque un’auto elettrica, e per loro l’incentivo è solo un trasferimento. Ci sono poi effetti di anticipo, perché gli acquisti vengono spostati nel tempo e calano dopo la fine della misura. Per stimare l’effetto si possono usare diversi metodi. Una regressione sulla discontinuità può sfruttare la soglia ISEE, confrontando famiglie appena sopra e appena sotto il limite, che sono quasi identiche. Una differenza nelle differenze può confrontare l’andamento delle immatricolazioni nei segmenti coperti e non coperti dalla misura, verificando che prima dell’intervento avessero andamenti paralleli. Si può infine chiedere direttamente ai beneficiari se avrebbero acquistato lo stesso veicolo anche senza incentivo, ottenendo un controfattuale dichiarato.</w:t>
      </w:r>
    </w:p>
    <w:p>
      <w:pPr>
        <w:pStyle w:val="BodyText"/>
      </w:pPr>
      <w:r>
        <w:t xml:space="preserve">Vanno monitorati anche gli effetti inattesi: un beneficio concentrato sulle famiglie più abbienti, oppure un aumento dei prezzi di listino che assorbe l’incentivo. Una valutazione costruita in questo modo permette di correggere la misura in corso d’opera, di decidere se rifinanziarla e di rendere conto ai cittadini non solo di quanto si è speso, ma di che cosa è cambiato grazie a quella spesa.</w:t>
      </w:r>
    </w:p>
    <w:bookmarkEnd w:id="20"/>
    <w:bookmarkStart w:id="21" w:name="X120ad8cf64e6446e0fe46f02cfc507ef94d4b39"/>
    <w:p>
      <w:pPr>
        <w:pStyle w:val="Heading2"/>
      </w:pPr>
      <w:r>
        <w:t xml:space="preserve">Traccia 2 – Sostegno dell’occupazione nelle aree svantaggiate</w:t>
      </w:r>
    </w:p>
    <w:p>
      <w:pPr>
        <w:pStyle w:val="FirstParagraph"/>
      </w:pPr>
      <w:r>
        <w:rPr>
          <w:bCs/>
          <w:b/>
        </w:rPr>
        <w:t xml:space="preserve">Domanda.</w:t>
      </w:r>
      <w:r>
        <w:t xml:space="preserve"> </w:t>
      </w:r>
      <w:r>
        <w:rPr>
          <w:iCs/>
          <w:i/>
        </w:rPr>
        <w:t xml:space="preserve">Il Governo ha introdotto delle misure per il sostegno dell’occupazione in aree svantaggiate, favorendo, pertanto, le assunzioni da parte delle imprese che vi operano. Si ipotizzi quali caratteristiche questo tipo di politica dovrebbe avere, anche ispirandosi alla realtà, evidenziandone le finalità e gli obiettivi strategici, le modalità di funzionamento, i beneficiari e gli strumenti scelti. Sulla base della struttura ipotizzata della misura, si delinei uno schema per la valutazione dei suoi effetti distinguendo tra gli output, gli outcome e l’impatto che si intendono misurare. Per ognuna di queste tipologie di effetti si individui un indicatore sulla base del quale effettuare la valutazione.</w:t>
      </w:r>
    </w:p>
    <w:p>
      <w:pPr>
        <w:pStyle w:val="BodyText"/>
      </w:pPr>
      <w:r>
        <w:rPr>
          <w:bCs/>
          <w:b/>
        </w:rPr>
        <w:t xml:space="preserve">Risposta.</w:t>
      </w:r>
    </w:p>
    <w:p>
      <w:pPr>
        <w:pStyle w:val="BodyText"/>
      </w:pPr>
      <w:r>
        <w:t xml:space="preserve">Nel Mezzogiorno il basso tasso di occupazione è il principale fattore del divario con il resto del Paese. Calabria, Campania e Sicilia sono intorno al 50% e l’Italia ha la più alta disparità regionale nei tassi di occupazione dell’Unione europea. Il problema si intreccia con l’emigrazione dei giovani qualificati e con l’elevato numero di famiglie a bassa intensità di lavoro, che alimenta povertà ed esclusione sociale. Una politica di sostegno all’occupazione nelle aree svantaggiate ha quindi come finalità generale l’aumento dell’occupazione e la riduzione del divario territoriale. Gli obiettivi strategici sono tre: creare occupazione nuova e aggiuntiva, e non semplicemente sussidiare quella esistente; favorire rapporti stabili, a tempo indeterminato; raggiungere i gruppi più deboli, cioè giovani, donne e disoccupati di lunga durata.</w:t>
      </w:r>
    </w:p>
    <w:p>
      <w:pPr>
        <w:pStyle w:val="BodyText"/>
      </w:pPr>
      <w:r>
        <w:t xml:space="preserve">Lo strumento tipico è l’incentivo all’assunzione, una politica attiva del lavoro che agisce sul lato della domanda attraverso uno sgravio dei contributi a carico del datore di lavoro. L’esperienza italiana offre due modelli diversi. Il primo è la Decontribuzione Sud, introdotta nel 2020: un esonero del 30% dei contributi previdenziali per tutti i rapporti di lavoro nel Mezzogiorno, sia esistenti sia nuovi. È stata una misura molto costosa, oltre tre miliardi nel solo 2022, pari a circa il 7,5% del costo del lavoro. Essendo un aiuto al funzionamento delle imprese, non è compatibile con le regole europee sugli aiuti di Stato a finalità regionale, che ammettono solo aiuti capaci di generare investimenti o occupazione nuova e addizionale; è stata perciò autorizzata solo nell’ambito dei quadri temporanei dell’emergenza e dal 2025 è stata ridotta e ricondotta al regime de minimis. Il secondo modello sono gli esoneri mirati sulle nuove assunzioni stabili, come l’esonero per l’assunzione di giovani o quelli previsti per le aree svantaggiate dal decreto Coesione del 2024. Sono legati a contratti a tempo indeterminato e prevedono un tetto mensile per lavoratore e una durata limitata.</w:t>
      </w:r>
    </w:p>
    <w:p>
      <w:pPr>
        <w:pStyle w:val="BodyText"/>
      </w:pPr>
      <w:r>
        <w:t xml:space="preserve">La misura che propongo segue il secondo modello. I beneficiari sono i datori di lavoro privati con sede operativa nelle aree svantaggiate, per esempio le regioni meno sviluppate secondo la classificazione della politica di coesione, che assumono a tempo indeterminato giovani, donne o disoccupati di lunga durata. L’agevolazione consiste in un esonero contributivo totale o parziale per ventiquattro o trentasei mesi, con un tetto mensile, maggiorato per le donne e per le piccole imprese. Per limitare il rischio che l’incentivo finanzi semplicemente la sostituzione di lavoratori, si richiede un incremento occupazionale netto rispetto ai dodici mesi precedenti e si prevede la restituzione del beneficio in caso di licenziamento ravvicinato. La gestione avviene tramite domanda all’INPS, con una dotazione finanziaria definita e nel rispetto della disciplina sugli aiuti di Stato. Un elemento spesso trascurato è la tempestività delle istruzioni operative: l’esperienza mostra che gli effetti di questi incentivi si concentrano subito dopo la loro pubblicazione, e che i tempi dell’attuazione contano quanto il disegno della misura.</w:t>
      </w:r>
    </w:p>
    <w:p>
      <w:pPr>
        <w:pStyle w:val="BodyText"/>
      </w:pPr>
      <w:r>
        <w:t xml:space="preserve">Non è scontato che un incentivo all’assunzione funzioni. Esiste il rischio di perdita secca, quando l’incentivo va a imprese che avrebbero assunto comunque: secondo un’indagine sugli incentivi del 2017, sei imprese su dieci che li hanno utilizzati avrebbero assunto lo stesso numero di persone. Esiste il rischio di sostituzione, quando il lavoratore agevolato prende il posto di uno non agevolato, e quello di spiazzamento, quando le imprese che usano l’incentivo sottraggono mercato e posti di lavoro alle altre. Gli effetti, infine, possono essere temporanei e cessare con l’incentivo. Le valutazioni disponibili per l’Italia mostrano effetti spesso modesti.</w:t>
      </w:r>
    </w:p>
    <w:p>
      <w:pPr>
        <w:pStyle w:val="BodyText"/>
      </w:pPr>
      <w:r>
        <w:t xml:space="preserve">La valutazione deve quindi essere progettata insieme alla misura. A livello di output si misura l’attuazione e la copertura: un indicatore adeguato è il numero di assunzioni agevolate e la quota delle risorse utilizzata, distinti per tipologia di lavoratore e dimensione d’impresa, ricavabili dagli archivi INPS. A livello di outcome si misura l’effetto sulle decisioni di assunzione: l’indicatore è la variazione della quota di assunzioni a tempo indeterminato del gruppo agevolato rispetto a un gruppo di controllo, espressa in punti percentuali, sulla base dei dati INPS e delle comunicazioni obbligatorie. A livello di impatto si misurano gli effetti di lungo periodo sul territorio: la variazione del tasso di occupazione nella fascia 15-64 anni dell’area rispetto alle aree di confronto e la quota di rapporti agevolati ancora attivi dopo trentasei mesi, ricavabili dalla rilevazione ISTAT sulle forze di lavoro e dagli archivi INPS.</w:t>
      </w:r>
    </w:p>
    <w:p>
      <w:pPr>
        <w:pStyle w:val="BodyText"/>
      </w:pPr>
      <w:r>
        <w:t xml:space="preserve">L’effetto di una politica è sempre la differenza rispetto a ciò che sarebbe accaduto senza di essa, e va stimato con un disegno controfattuale credibile. Le esperienze italiane offrono buoni esempi. La Decontribuzione Sud è stata valutata con una differenza nelle differenze tra Sud e Centro; per rendere i gruppi più simili sono state confrontate solo le province al confine tra le due aree. Il risultato è stato un effetto positivo sull’occupazione di circa il 10%, ma nessun effetto sulle retribuzioni. L’esonero per i giovani è stato valutato confrontando mese per mese i trentenni agevolati con i trentacinque-quarantenni appena sopra la soglia di età, e ha mostrato un aumento delle assunzioni stabili compreso tra uno e cinque punti percentuali. Per gli incentivi del 2017, un’indagine presso le imprese ha permesso di isolare quelle per cui l’incentivo era stato decisivo, con un effetto sulla quota di nuovi assunti di circa sei-sette punti, concentrato nelle piccole imprese.</w:t>
      </w:r>
    </w:p>
    <w:p>
      <w:pPr>
        <w:pStyle w:val="BodyText"/>
      </w:pPr>
      <w:r>
        <w:t xml:space="preserve">Per la misura ipotizzata si possono combinare tre strategie: una regressione sulla discontinuità al confine delle aree ammesse; una differenza nelle differenze tra imprese simili dentro e fuori dall’area, verificando che prima della misura avessero andamenti paralleli; un abbinamento statistico tra imprese beneficiarie e non beneficiarie con caratteristiche simili. Bisogna dichiarare con onestà che sostituzione e spiazzamento restano difficili da misurare. Un’analisi costi-efficacia basata sul costo per posto di lavoro aggiuntivo permette infine di confrontare la misura con interventi alternativi, come gli investimenti in infrastrutture, istruzione e qualità delle istituzioni. Per uscire dalla trappola dello sviluppo questi interventi sono decisivi almeno quanto gli sgravi contributivi.</w:t>
      </w:r>
    </w:p>
    <w:bookmarkEnd w:id="21"/>
    <w:bookmarkStart w:id="22" w:name="X8b5f109dac9f9ea743d002bd182e4467d6e7517"/>
    <w:p>
      <w:pPr>
        <w:pStyle w:val="Heading2"/>
      </w:pPr>
      <w:r>
        <w:t xml:space="preserve">Traccia 3 – Le tipologie di politiche di Lowi e Wilson</w:t>
      </w:r>
    </w:p>
    <w:p>
      <w:pPr>
        <w:pStyle w:val="FirstParagraph"/>
      </w:pPr>
      <w:r>
        <w:rPr>
          <w:bCs/>
          <w:b/>
        </w:rPr>
        <w:t xml:space="preserve">Domanda.</w:t>
      </w:r>
      <w:r>
        <w:t xml:space="preserve"> </w:t>
      </w:r>
      <w:r>
        <w:rPr>
          <w:iCs/>
          <w:i/>
        </w:rPr>
        <w:t xml:space="preserve">La candidata o il candidato, dopo aver illustrato criticamente le tipologie di politiche pubbliche elaborate da Theodore Lowi e da James Wilson, ne applichi le categorie alla revisione degli scaglioni IRPEF e al taglio del cuneo fiscale previsti dalla Legge di Bilancio 2026, valutando la concentrazione o diffusione dei benefici attesi e le conseguenti dinamiche di consenso e conflitto tra gli attori coinvolti.</w:t>
      </w:r>
    </w:p>
    <w:p>
      <w:pPr>
        <w:pStyle w:val="BodyText"/>
      </w:pPr>
      <w:r>
        <w:rPr>
          <w:bCs/>
          <w:b/>
        </w:rPr>
        <w:t xml:space="preserve">Risposta.</w:t>
      </w:r>
    </w:p>
    <w:p>
      <w:pPr>
        <w:pStyle w:val="BodyText"/>
      </w:pPr>
      <w:r>
        <w:t xml:space="preserve">Le politiche pubbliche vengono di solito classificate per settore (ambiente, lavoro, sanità) o per livello di governo. Sono classificazioni utili, ma basate su un solo criterio e poco capaci di spiegare come si comportano gli attori. Le tipologie di Theodore Lowi e James Wilson raggruppano invece le politiche in pochi tipi con caratteristiche distinte. Mettono in luce sia le diverse modalità con cui i governi affrontano i problemi, sia il legame tra il tipo di politica e il comportamento degli attori coinvolti.</w:t>
      </w:r>
    </w:p>
    <w:p>
      <w:pPr>
        <w:pStyle w:val="BodyText"/>
      </w:pPr>
      <w:r>
        <w:t xml:space="preserve">Studiando sessant’anni di governo della città di New York, Lowi osservò che, al cambiare dei sindaci, in ciascun settore si riproducevano sempre gli stessi modelli di relazione. Ne concluse che il sistema politico si struttura in diverse arene del potere a seconda della politica in gioco. Classificò le politiche secondo due dimensioni: la coercizione, che può essere immediata o remota, e il suo oggetto, che può essere la condotta individuale o il contesto collettivo. Ne derivano quattro tipi. Le politiche distributive assegnano risorse a specifiche categorie, come contributi o esenzioni fiscali; sono poco conflittuali, coinvolgono molti piccoli gruppi e si decidono in arene pluraliste. Le politiche regolative fissano regole, obblighi e divieti accompagnati da sanzioni; coinvolgono gruppi che rappresentano intere categorie e sono più conflittuali. Le politiche redistributive tolgono risorse a una classe sociale per attribuirle a un’altra, come la tassazione progressiva del reddito; sono molto conflittuali, perché è evidente chi paga e chi riceve, e si decidono in arene ristrette ed elitarie, al vertice tra governo e grandi organizzazioni di interessi. Le politiche costitutive, infine, definiscono le regole del sistema politico. La tesi centrale di Lowi è che le politiche determinano la politica: il tipo di policy plasma gli attori e le loro relazioni. Il limite principale della tipologia è che le politiche reali sono spesso miste e difficili da collocare in un solo tipo.</w:t>
      </w:r>
    </w:p>
    <w:p>
      <w:pPr>
        <w:pStyle w:val="BodyText"/>
      </w:pPr>
      <w:r>
        <w:t xml:space="preserve">Wilson adotta un criterio diverso: la distribuzione dei costi e dei benefici, che possono essere concentrati o diffusi. Da questo dipende l’intensità delle preferenze: chi riceve un beneficio concentrato ha un forte incentivo a mobilitarsi, mentre chi sopporta un costo diffuso, piccolo per ciascuno, non ha ragione di protestare. Quando costi e benefici sono entrambi concentrati si ha la politica redistributiva, molto conflittuale. Quando i costi sono diffusi e i benefici concentrati si ha la politica distributiva, la più facile da approvare. Quando costi e benefici sono entrambi diffusi c’è poca mobilitazione e il rischio principale è il comportamento opportunistico di chi non collabora. Quando i costi sono concentrati e i benefici diffusi, chi paga si oppone con forza e chi beneficia si mobilita poco. Da queste tipologie discende una conseguenza importante: i sistemi politici deboli tendono a una «deriva distributiva», perché le politiche distributive non scontentano nessuno, mentre quelle redistributive richiedono una politica forte. Le tipologie sono semplici e utili ai decisori per prevedere l’arena che incontreranno. Va però considerato che la concentrazione o la diffusione dipendono anche dalla percezione dei destinatari, e che una stessa misura può essere letta in modo diverso a seconda di come viene comunicata.</w:t>
      </w:r>
    </w:p>
    <w:p>
      <w:pPr>
        <w:pStyle w:val="BodyText"/>
      </w:pPr>
      <w:r>
        <w:t xml:space="preserve">La Legge di Bilancio 2026 contiene due interventi fiscali rilevanti. Il primo è la riduzione dal 35% al 33% dell’aliquota IRPEF del secondo scaglione, quello dei redditi tra 28.000 e 50.000 euro: le aliquote passano così a 23, 33 e 43%, mentre per i redditi oltre 200.000 euro il vantaggio è neutralizzato con una riduzione delle detrazioni. Il secondo è la conferma del taglio strutturale del cuneo fiscale introdotto nel 2025, che prevede una somma esentasse per i redditi da lavoro dipendente più bassi e una detrazione aggiuntiva per quelli medi, accompagnato da aliquote agevolate su aumenti contrattuali e premi di produttività.</w:t>
      </w:r>
    </w:p>
    <w:p>
      <w:pPr>
        <w:pStyle w:val="BodyText"/>
      </w:pPr>
      <w:r>
        <w:t xml:space="preserve">Nella tipologia di Lowi si tratta di politiche fiscali che modificano la distribuzione del carico tributario tra classi di reddito, quindi potenzialmente redistributive. Nei fatti, però, sono tagli di imposta finanziati con risorse generali, senza un gruppo identificato chiamato a pagare. Assumono perciò i tratti distributivi della deriva descritta sopra: vantaggi per categorie individuabili senza una controparte visibile che ne sostiene i costi. Nella tipologia di Wilson il taglio dell’aliquota presenta benefici concentrati sul ceto medio con redditi tra 28.000 e 50.000 euro e oltre. Il guadagno massimo, circa 440 euro l’anno, spetta a chi supera i 50.000 euro, mentre chi è appena sopra i 28.000 ottiene pochi euro e chi è sotto non riceve nulla. I costi, circa tre miliardi di minor gettito, sono diffusi, perché coperti con tagli di spesa ai Ministeri, rimodulazioni dei fondi per la coesione e maggiori entrate a carico di banche e assicurazioni. È quindi una politica a costi diffusi e benefici concentrati, facile da approvare. Anche il cuneo fiscale presenta benefici concentrati sui lavoratori dipendenti a reddito medio-basso, molto visibili in busta paga, e costi diffusi.</w:t>
      </w:r>
    </w:p>
    <w:p>
      <w:pPr>
        <w:pStyle w:val="BodyText"/>
      </w:pPr>
      <w:r>
        <w:t xml:space="preserve">Ne derivano dinamiche precise di consenso e conflitto. I beneficiari del taglio IRPEF, cioè lavoratori dipendenti di ceto medio, quadri e pensionati, e le organizzazioni che li rappresentano sostengono la misura, e nessun gruppo identificato sopporta un costo specifico. Lo stesso vale per il cuneo, gradito a sindacati e imprese perché riduce la distanza tra costo del lavoro e salario netto senza aggravare il costo per le aziende. Il conflitto si sposta sulla distribuzione dei vantaggi: sindacati e opposizioni contestano che il taglio dell’aliquota favorisca i redditi medio-alti e non i più bassi, che sono già incapienti o nel primo scaglione. Le analisi presentate in Parlamento hanno confermato che la maggior parte delle risorse va alle famiglie dei quinti più ricchi. Le coperture generano conflitti più circoscritti ma intensi. Banche e assicurazioni, colpite da aumenti di imposta, rappresentano un costo concentrato e reagiscono, come previsto da Wilson. I tagli lineari e le rimodulazioni dei fondi per la coesione toccano invece Ministeri e Regioni. L’arena decisionale è quella tipica della manovra: un confronto al vertice tra Governo e maggioranza, con audizioni di istituzioni indipendenti e parti sociali. È un’arena ristretta, propria delle politiche fiscali con portata redistributiva, ma la scarsa visibilità dei costi attenua il conflitto rispetto a una vera redistribuzione.</w:t>
      </w:r>
    </w:p>
    <w:p>
      <w:pPr>
        <w:pStyle w:val="BodyText"/>
      </w:pPr>
      <w:r>
        <w:t xml:space="preserve">In conclusione, le due tipologie spiegano perché i tagli di imposta siano politicamente agevoli: benefici visibili e costi diffusi o rinviati nel tempo. Spiegano anche il rischio di un loro uso ripetuto: frammentano il sistema, riducono il gettito e possono spostare la progressività a vantaggio dei redditi medio-alti, senza affrontare i problemi strutturali del fisco italiano, come l’erosione della base imponibile e la proliferazione dei regimi speciali.</w:t>
      </w:r>
    </w:p>
    <w:bookmarkEnd w:id="22"/>
    <w:bookmarkStart w:id="23" w:name="traccia-4-nudge-e-denatalità"/>
    <w:p>
      <w:pPr>
        <w:pStyle w:val="Heading2"/>
      </w:pPr>
      <w:r>
        <w:t xml:space="preserve">Traccia 4 – Nudge e denatalità</w:t>
      </w:r>
    </w:p>
    <w:p>
      <w:pPr>
        <w:pStyle w:val="FirstParagraph"/>
      </w:pPr>
      <w:r>
        <w:rPr>
          <w:bCs/>
          <w:b/>
        </w:rPr>
        <w:t xml:space="preserve">Domanda.</w:t>
      </w:r>
      <w:r>
        <w:t xml:space="preserve"> </w:t>
      </w:r>
      <w:r>
        <w:rPr>
          <w:iCs/>
          <w:i/>
        </w:rPr>
        <w:t xml:space="preserve">Accanto agli strumenti tradizionali di intervento pubblico si sono affermati strumenti di</w:t>
      </w:r>
      <w:r>
        <w:rPr>
          <w:iCs/>
          <w:i/>
        </w:rPr>
        <w:t xml:space="preserve"> </w:t>
      </w:r>
      <w:r>
        <w:rPr>
          <w:iCs/>
          <w:i/>
        </w:rPr>
        <w:t xml:space="preserve">“</w:t>
      </w:r>
      <w:r>
        <w:rPr>
          <w:iCs/>
          <w:i/>
        </w:rPr>
        <w:t xml:space="preserve">spinta gentile</w:t>
      </w:r>
      <w:r>
        <w:rPr>
          <w:iCs/>
          <w:i/>
        </w:rPr>
        <w:t xml:space="preserve">”</w:t>
      </w:r>
      <w:r>
        <w:rPr>
          <w:iCs/>
          <w:i/>
        </w:rPr>
        <w:t xml:space="preserve"> </w:t>
      </w:r>
      <w:r>
        <w:rPr>
          <w:iCs/>
          <w:i/>
        </w:rPr>
        <w:t xml:space="preserve">(nudge) che agiscono sui meccanismi cognitivi automatici dei destinatari. La candidata o il candidato, dopo aver illustrato la logica del nudge e il dibattito sul cd.</w:t>
      </w:r>
      <w:r>
        <w:rPr>
          <w:iCs/>
          <w:i/>
        </w:rPr>
        <w:t xml:space="preserve"> </w:t>
      </w:r>
      <w:r>
        <w:rPr>
          <w:iCs/>
          <w:i/>
        </w:rPr>
        <w:t xml:space="preserve">“</w:t>
      </w:r>
      <w:r>
        <w:rPr>
          <w:iCs/>
          <w:i/>
        </w:rPr>
        <w:t xml:space="preserve">paternalismo libertario</w:t>
      </w:r>
      <w:r>
        <w:rPr>
          <w:iCs/>
          <w:i/>
        </w:rPr>
        <w:t xml:space="preserve">”</w:t>
      </w:r>
      <w:r>
        <w:rPr>
          <w:iCs/>
          <w:i/>
        </w:rPr>
        <w:t xml:space="preserve">, ne discuta la possibile applicazione al contrasto della denatalità in Italia, confrontandola con gli strumenti più tradizionali (trasferimenti monetari, congedi, servizi per l’infanzia) delle politiche familiari vigenti.</w:t>
      </w:r>
    </w:p>
    <w:p>
      <w:pPr>
        <w:pStyle w:val="BodyText"/>
      </w:pPr>
      <w:r>
        <w:rPr>
          <w:bCs/>
          <w:b/>
        </w:rPr>
        <w:t xml:space="preserve">Risposta.</w:t>
      </w:r>
    </w:p>
    <w:p>
      <w:pPr>
        <w:pStyle w:val="BodyText"/>
      </w:pPr>
      <w:r>
        <w:t xml:space="preserve">Il modello del decisore perfettamente razionale, che conosce tutte le alternative e sceglie quella migliore, è poco realistico. Herbert Simon ha mostrato che le persone decidono in condizioni di razionalità limitata: hanno informazioni incomplete e scelgono la prima alternativa soddisfacente. La psicologia cognitiva ha poi distinto due modi di pensare. Il primo sistema è veloce, automatico e intuitivo; il secondo è lento, consapevole e riflessivo. Il primo sistema ricorre a scorciatoie mentali, le euristiche, e cade in errori sistematici, i bias, come l’effetto della prima impressione o la tendenza a sovrastimare ciò che si ricorda più facilmente. Le persone, quindi, non reagiscono solo ai prezzi e alle regole, ma anche al modo in cui le scelte vengono presentate.</w:t>
      </w:r>
    </w:p>
    <w:p>
      <w:pPr>
        <w:pStyle w:val="BodyText"/>
      </w:pPr>
      <w:r>
        <w:t xml:space="preserve">Il nudge, cioè la «spinta gentile» proposta da Richard Thaler e Cass Sunstein, utilizza deliberatamente questi meccanismi. Modifica l’architettura delle scelte per orientare il comportamento in una direzione desiderata, senza vietare alcuna opzione e senza cambiare in modo significativo gli incentivi economici. Le tecniche più note sono le opzioni predefinite, come l’iscrizione automatica con facoltà di uscire, la semplificazione di moduli e procedure, i promemoria, il richiamo alle norme sociali e la presentazione delle informazioni in modo più chiaro e saliente. Rispetto agli strumenti tradizionali dell’intervento pubblico, cioè la regolazione, gli incentivi economici e l’informazione, il nudge costa poco e lascia libera la scelta finale.</w:t>
      </w:r>
    </w:p>
    <w:p>
      <w:pPr>
        <w:pStyle w:val="BodyText"/>
      </w:pPr>
      <w:r>
        <w:t xml:space="preserve">I suoi autori lo definiscono paternalismo libertario. È paternalismo perché orienta le persone verso ciò che migliora il loro benessere secondo il loro stesso giudizio; è libertario perché ogni opzione resta disponibile. Il paternalismo è del resto una giustificazione classica dell’intervento pubblico, per esempio nella sanità e nell’istruzione, dove gli individui tendono a sottovalutare rischi e benefici futuri. Il dibattito è però acceso. Una prima critica riguarda la manipolazione: agire sui meccanismi automatici aggirerebbe la deliberazione consapevole delle persone. Una seconda riguarda la trasparenza: un nudge accettabile dovrebbe poter essere dichiarato e giustificato pubblicamente. Una terza chiede chi stabilisca quale sia il bene dei cittadini, dato che anche il decisore pubblico è soggetto agli stessi errori cognitivi. Una quarta, infine, riguarda l’efficacia, che tende a ridursi quando le scelte sono complesse e di lungo periodo. Ne emerge una posizione equilibrata: il nudge è legittimo se è trasparente, coerente con le preferenze dichiarate dalle persone, facilmente reversibile e accompagnato da una valutazione rigorosa dei suoi effetti.</w:t>
      </w:r>
    </w:p>
    <w:p>
      <w:pPr>
        <w:pStyle w:val="BodyText"/>
      </w:pPr>
      <w:r>
        <w:t xml:space="preserve">La denatalità è uno dei problemi più gravi del nostro Paese. L’Italia ha una delle popolazioni più anziane d’Europa, uno dei tassi di fecondità più bassi e un’età media delle madri al primo figlio superiore alla media europea; anche le regioni del Mezzogiorno, un tempo più prolifiche, convergono verso il basso. Il dato più significativo è il divario tra i figli desiderati e quelli effettivamente avuti. Le cause sono soprattutto strutturali: lavoro precario, bassa occupazione femminile, costo e scarsità dei servizi per l’infanzia, con forti differenze territoriali nella disponibilità di asili nido, difficoltà di conciliazione tra lavoro e famiglia ed emigrazione dei giovani. Anche le istituzioni europee raccomandano all’Italia un approccio olistico e strutturale, che vada oltre i semplici incentivi finanziari e crei un ambiente favorevole alla genitorialità, fatto di lavoro stabile e maggiore partecipazione di donne e giovani.</w:t>
      </w:r>
    </w:p>
    <w:p>
      <w:pPr>
        <w:pStyle w:val="BodyText"/>
      </w:pPr>
      <w:r>
        <w:t xml:space="preserve">Gli strumenti tradizionali delle politiche familiari sono tre. I trasferimenti monetari, come l’assegno unico universale modulato sull’ISEE e il bonus per la frequenza dell’asilo nido, riducono il costo dei figli e la povertà delle famiglie, ma da soli incidono poco sulle scelte di fecondità, che dipendono da condizioni di lungo periodo. I congedi di maternità, di paternità e parentali favoriscono la conciliazione; quelli riservati ai padri redistribuiscono il lavoro di cura. I servizi per l’infanzia, con il piano asili nido finanziato dal PNRR e l’obiettivo di circa centocinquantamila nuovi posti, sono l’intervento con i maggiori effetti attesi su natalità e occupazione femminile, ma richiedono investimenti, personale e capacità di spesa dei Comuni.</w:t>
      </w:r>
    </w:p>
    <w:p>
      <w:pPr>
        <w:pStyle w:val="BodyText"/>
      </w:pPr>
      <w:r>
        <w:t xml:space="preserve">Il nudge non può sostituire queste politiche, perché non crea asili né redditi stabili. Può però aumentarne l’efficacia, riducendo le barriere comportamentali e amministrative che ne limitano l’uso. L’assegno unico potrebbe essere riconosciuto automaticamente alla nascita, sulla base dei dati anagrafici e dell’ISEE precompilato, invece di richiedere una domanda. L’iscrizione al nido comunale potrebbe essere proposta in automatico, con facoltà di rinuncia. Il congedo di paternità facoltativo potrebbe diventare l’opzione predefinita, salvo rinuncia esplicita del padre, rendendo normale la condivisione della cura. Un fascicolo digitale unico della famiglia potrebbe riunire tutte le misure, con promemoria sulle scadenze e simulatori che mostrino chiaramente il valore complessivo dei sostegni. Nelle aziende, comunicazioni che rendano visibile quanti colleghi utilizzano congedi e lavoro flessibile potrebbero agire sulle norme sociali. Un’informazione chiara sulla fertilità e sul suo calo con l’età potrebbe infine contrastare la tendenza a rinviare.</w:t>
      </w:r>
    </w:p>
    <w:p>
      <w:pPr>
        <w:pStyle w:val="BodyText"/>
      </w:pPr>
      <w:r>
        <w:t xml:space="preserve">Rispetto agli strumenti tradizionali, il nudge ha il vantaggio di costare poco e di poter essere sperimentato e valutato facilmente, per esempio inviando promemoria a gruppi estratti a sorte e confrontandone i comportamenti. Ha però limiti evidenti. Agisce sui costi di transazione e non sui vincoli materiali, cioè reddito, lavoro e servizi. Applicato a una sfera intima come la scelta di avere figli, se si spinge troppo in là rischia di apparire manipolatorio. I suoi effetti sulla fecondità, inoltre, sarebbero lenti e difficili da attribuire. La strategia più sensata è combinare politiche strutturali che rimuovano gli ostacoli concreti con spinte gentili trasparenti che facciano arrivare davvero quelle politiche alle famiglie. In una materia così delicata il nudge deve restare dichiarato, facilmente reversibile e rispettoso del desiderio di genitorialità già espresso dalle persone, senza imporre alcun modello di famiglia.</w:t>
      </w:r>
    </w:p>
    <w:bookmarkEnd w:id="23"/>
    <w:bookmarkStart w:id="24" w:name="X7123d6ac7314c5a4525ab9f3ff63d2d0f59da24"/>
    <w:p>
      <w:pPr>
        <w:pStyle w:val="Heading2"/>
      </w:pPr>
      <w:r>
        <w:t xml:space="preserve">Traccia 5 – Misurazione della progressività fiscale e riforma dell’IRPEF</w:t>
      </w:r>
    </w:p>
    <w:p>
      <w:pPr>
        <w:pStyle w:val="FirstParagraph"/>
      </w:pPr>
      <w:r>
        <w:rPr>
          <w:bCs/>
          <w:b/>
        </w:rPr>
        <w:t xml:space="preserve">Domanda.</w:t>
      </w:r>
      <w:r>
        <w:t xml:space="preserve"> </w:t>
      </w:r>
      <w:r>
        <w:rPr>
          <w:iCs/>
          <w:i/>
        </w:rPr>
        <w:t xml:space="preserve">Il candidato illustri i principali metodi di misurazione della progressività di un sistema fiscale. Indichi inoltre quali sono i risultati attesi e attendibili dalla recente riduzione e rimodulazione degli scaglioni dell’IRPEF nel contesto più generale del sistema tributario italiano.</w:t>
      </w:r>
    </w:p>
    <w:p>
      <w:pPr>
        <w:pStyle w:val="BodyText"/>
      </w:pPr>
      <w:r>
        <w:rPr>
          <w:bCs/>
          <w:b/>
        </w:rPr>
        <w:t xml:space="preserve">Risposta.</w:t>
      </w:r>
    </w:p>
    <w:p>
      <w:pPr>
        <w:pStyle w:val="BodyText"/>
      </w:pPr>
      <w:r>
        <w:t xml:space="preserve">Per misurare la progressività occorre partire da due concetti. L’aliquota media è il rapporto tra l’imposta dovuta e la base imponibile; l’aliquota marginale è la variazione dell’imposta dovuta a un aumento unitario della base. Un’imposta è proporzionale se l’aliquota media è costante e coincide con la marginale. È progressiva se l’aliquota media cresce con il reddito, il che avviene quando la marginale è superiore alla media. È regressiva se l’aliquota media diminuisce al crescere del reddito. L’articolo 53 della Costituzione stabilisce che il sistema tributario è informato a criteri di progressività: chi ha di più deve contribuire non solo con una somma maggiore, ma con una quota maggiore del proprio reddito.</w:t>
      </w:r>
    </w:p>
    <w:p>
      <w:pPr>
        <w:pStyle w:val="BodyText"/>
      </w:pPr>
      <w:r>
        <w:t xml:space="preserve">La progressività si realizza con tre tecniche, spesso combinate. La prima sono gli scaglioni, cioè aliquote crescenti applicate a fasce di reddito successive. L’IRPEF è nata nel 1974 con trentadue scaglioni e un’aliquota massima dell’82%; oggi ne ha tre, con un massimo del 43%. La seconda sono le deduzioni, che riducono la base imponibile. La terza sono le detrazioni, che riducono l’imposta lorda. Anche un’imposta con aliquota unica diventa progressiva se è accompagnata da una deduzione o da una detrazione fissa. Con un’aliquota del 40% e una detrazione fissa, per esempio, l’aliquota media sale dal 36% al 38% quando il reddito raddoppia, mentre la marginale resta al 40%. Per questo l’aliquota legale non basta a descrivere la progressività: deduzioni e detrazioni decrescenti con il reddito rendono l’aliquota marginale effettiva diversa da quella nominale e spesso difficile da prevedere.</w:t>
      </w:r>
    </w:p>
    <w:p>
      <w:pPr>
        <w:pStyle w:val="BodyText"/>
      </w:pPr>
      <w:r>
        <w:t xml:space="preserve">Le misure della progressività si distinguono in locali e globali. Le misure locali valutano la progressività in un punto della scala dei redditi. Si può osservare di quanto cresce l’aliquota media al crescere del reddito, oppure calcolare l’elasticità dell’imposta rispetto al reddito, data dal rapporto tra aliquota marginale e aliquota media: se è maggiore di uno l’imposta è progressiva in quel punto. In modo equivalente si può calcolare l’elasticità del reddito netto rispetto al reddito lordo, che indica progressività quando è minore di uno. Le misure globali considerano l’intera distribuzione e si basano sulla curva di Lorenz e sull’indice di Gini. L’indice di Kakwani misura la progressività in senso stretto, come differenza tra l’indice di concentrazione dell’imposta e l’indice di Gini del reddito lordo: indica quanto l’imposta è distribuita in modo più diseguale del reddito. L’indice di Reynolds-Smolensky misura invece l’effetto redistributivo, come differenza tra il Gini del reddito lordo e quello del reddito netto, cioè di quanto l’imposta riduce la disuguaglianza. I due indici sono collegati: l’effetto redistributivo dipende sia dalla progressività sia dall’aliquota media complessiva, per cui un’imposta molto progressiva ma con un gettito basso redistribuisce poco. Una misura corretta deve infine guardare all’incidenza economica e non solo a quella legale, perché le imposte possono essere traslate su altri soggetti. In una visione completa andrebbe considerata anche la spesa pubblica finanziata, che a sua volta può redistribuire con maggiore o minore efficienza.</w:t>
      </w:r>
    </w:p>
    <w:p>
      <w:pPr>
        <w:pStyle w:val="BodyText"/>
      </w:pPr>
      <w:r>
        <w:t xml:space="preserve">Dal 2024 l’IRPEF ha tre scaglioni: 23% fino a 28.000 euro, 35% fino a 50.000 euro e 43% oltre. La Legge di Bilancio 2026 ha ridotto l’aliquota intermedia dal 35% al 33% e ha neutralizzato il beneficio per i redditi superiori a 200.000 euro attraverso una riduzione delle detrazioni. Resta in vigore il taglio strutturale del cuneo fiscale per i redditi da lavoro bassi e medi.</w:t>
      </w:r>
    </w:p>
    <w:p>
      <w:pPr>
        <w:pStyle w:val="BodyText"/>
      </w:pPr>
      <w:r>
        <w:t xml:space="preserve">I risultati attesi vanno valutati con realismo. Il primo effetto è una riduzione del prelievo sul ceto medio. Il risparmio massimo, circa 440 euro l’anno, spetta ai redditi compresi tra 50.000 e 200.000 euro; chi guadagna poco più di 28.000 euro ottiene pochi euro e chi è sotto la soglia non riceve nulla. In termini di indice di Kakwani la misura riduce leggermente la progressività, perché sposta il beneficio verso la parte medio-alta della distribuzione. In termini di indice di Reynolds-Smolensky riduce l’effetto redistributivo, sia per il profilo del beneficio sia per il minor gettito. Le misure sul cuneo, concentrate sui redditi bassi, attenuano solo in parte questo effetto.</w:t>
      </w:r>
    </w:p>
    <w:p>
      <w:pPr>
        <w:pStyle w:val="BodyText"/>
      </w:pPr>
      <w:r>
        <w:t xml:space="preserve">Il secondo effetto è un parziale recupero del fiscal drag, cioè dell’aumento del prelievo reale che si verifica quando l’inflazione e la crescita dei salari nominali spingono i redditi verso scaglioni più alti senza un aumento del potere d’acquisto. Tra il 2021 e il 2024 il drenaggio fiscale è stato stimato tra 12 e 25 miliardi di euro, e il taglio ne restituisce solo una parte. Senza un’indicizzazione automatica degli scaglioni all’inflazione il fenomeno si ripresenterà. Quanto all’offerta di lavoro, una minore aliquota marginale può aumentarla se l’effetto sostituzione prevale sull’effetto reddito. Per una riduzione di due punti su una fascia limitata di contribuenti gli effetti attesi sono però modesti, e il gettito perso non sarà recuperato attraverso una maggiore crescita.</w:t>
      </w:r>
    </w:p>
    <w:p>
      <w:pPr>
        <w:pStyle w:val="BodyText"/>
      </w:pPr>
      <w:r>
        <w:t xml:space="preserve">Il risultato più attendibile, tuttavia, emerge solo guardando al sistema tributario nel suo insieme. Il problema principale della progressività italiana non sono le aliquote, ma la base imponibile. L’IRPEF è erosa da numerosi regimi sostitutivi e cedolari, come la tassazione forfettaria dei lavoratori autonomi, l’imposizione proporzionale dei redditi da capitale e la cedolare sugli affitti, che riguardano spesso redditi dei contribuenti più abbienti. Le istituzioni europee segnalano che questi regimi riducono la progressività, rendono il sistema complesso e causano perdite di gettito; aggiungono che il carico fiscale resta concentrato sul lavoro, che l’evasione rimane elevata e che le spese fiscali sono molto ampie. Di fatto la progressività dell’IRPEF grava soprattutto su lavoro dipendente e pensioni, e ogni intervento sulle aliquote ne accentua la natura di imposta sul lavoro. Occorre considerare anche la sostenibilità: il costo della misura, circa tre miliardi l’anno, è coperto con tagli di spesa e maggiori entrate dagli intermediari finanziari, in un quadro in cui lo spazio di bilancio è quasi interamente utilizzato e i vincoli europei sulla spesa netta sono stringenti.</w:t>
      </w:r>
    </w:p>
    <w:p>
      <w:pPr>
        <w:pStyle w:val="BodyText"/>
      </w:pPr>
      <w:r>
        <w:t xml:space="preserve">In conclusione, gli indici di Kakwani e Reynolds-Smolensky permettono di valutare la riforma oltre l’aliquota legale. L’effetto più attendibile è un modesto sollievo per il ceto medio, accompagnato da una lieve riduzione della progressività e dell’effetto redistributivo. Una riforma capace di rafforzare davvero equità ed efficienza dovrebbe intervenire sull’erosione della base imponibile e sull’evasione, spostando parte del carico dal lavoro verso basi imponibili meno distorsive.</w:t>
      </w:r>
    </w:p>
    <w:bookmarkEnd w:id="24"/>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sz w:val="22"/>
    </w:rPr>
  </w:style>
  <w:style w:styleId="BodyText" w:type="paragraph">
    <w:name w:val="Body Text"/>
    <w:basedOn w:val="Normal"/>
    <w:link w:val="BodyTextChar"/>
    <w:pPr>
      <w:spacing w:after="80" w:before="0"/>
    </w:pPr>
    <w:qFormat/>
    <w:rPr>
      <w:sz w:val="22"/>
    </w:rPr>
  </w:style>
  <w:style w:customStyle="1" w:styleId="FirstParagraph" w:type="paragraph">
    <w:name w:val="First Paragraph"/>
    <w:basedOn w:val="BodyText"/>
    <w:next w:val="BodyText"/>
    <w:qFormat/>
    <w:pPr>
      <w:spacing w:after="80" w:before="0"/>
    </w:pPr>
    <w:rPr>
      <w:sz w:val="22"/>
    </w:rPr>
  </w:style>
  <w:style w:customStyle="1" w:styleId="Compact" w:type="paragraph">
    <w:name w:val="Compact"/>
    <w:basedOn w:val="BodyText"/>
    <w:qFormat/>
    <w:pPr>
      <w:spacing w:after="80" w:before="0"/>
    </w:pPr>
    <w:rPr>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ind w:firstLine="0" w:left="480" w:right="480"/>
    </w:pPr>
    <w:rPr>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2026-10-26T16:10:28Z</dcterms:created>
  <dcterms:modified xsi:type="dcterms:W3CDTF">2026-10-26T16:10:28Z</dcterms:modified>
</cp:coreProperties>
</file>

<file path=docProps/custom.xml><?xml version="1.0" encoding="utf-8"?>
<Properties xmlns="http://schemas.openxmlformats.org/officeDocument/2006/custom-properties" xmlns:vt="http://schemas.openxmlformats.org/officeDocument/2006/docPropsVTypes"/>
</file>