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d64c7f17f614ec659c46a122b22aa6fb8faee7"/>
    <w:p>
      <w:pPr>
        <w:pStyle w:val="Heading2"/>
      </w:pPr>
      <w:r>
        <w:t xml:space="preserve">Traccia 1 – Autotutela e legittimo affidamento</w:t>
      </w:r>
    </w:p>
    <w:p>
      <w:pPr>
        <w:pStyle w:val="FirstParagraph"/>
      </w:pPr>
      <w:r>
        <w:rPr>
          <w:bCs/>
          <w:b/>
        </w:rPr>
        <w:t xml:space="preserve">Domanda.</w:t>
      </w:r>
      <w:r>
        <w:t xml:space="preserve"> </w:t>
      </w:r>
      <w:r>
        <w:rPr>
          <w:iCs/>
          <w:i/>
        </w:rPr>
        <w:t xml:space="preserve">Il candidato, dopo aver illustrato l’evoluzione normativa e giurisprudenziale dell’istituto dell’annullamento d’ufficio e della revoca del provvedimento amministrativo, anche alla luce delle modifiche introdotte agli artt. 21-quinquies e 21-nonies della legge n. 241/1990, tratti del rapporto tra autotutela e principio di affidamento del privato, con particolare riferimento ai limiti temporali introdotti dal legislatore e al bilanciamento tra interesse pubblico alla legalità dell’azione amministrativa e certezza dei rapporti giuridici. Inquadri, inoltre, il principio di tutela del legittimo affidamento e quello di certezza del diritto quali principi generali del diritto dell’Unione europea e valuti in che misura il primato e l’effettività del diritto dell’Unione possano incidere sull’esercizio dell’autotutela quando il provvedimento amministrativo risulti incompatibile con il diritto europeo.</w:t>
      </w:r>
    </w:p>
    <w:p>
      <w:pPr>
        <w:pStyle w:val="BodyText"/>
      </w:pPr>
      <w:r>
        <w:rPr>
          <w:bCs/>
          <w:b/>
        </w:rPr>
        <w:t xml:space="preserve">Risposta.</w:t>
      </w:r>
    </w:p>
    <w:p>
      <w:pPr>
        <w:pStyle w:val="BodyText"/>
      </w:pPr>
      <w:r>
        <w:t xml:space="preserve">L’autotutela decisoria è il potere dell’amministrazione di riesaminare i propri provvedimenti e, se necessario, di ritirarli. È una manifestazione dell’imperatività del provvedimento amministrativo, che produce effetti anche se invalido, diventa inoppugnabile se non impugnato nei termini e può essere rimosso dalla stessa amministrazione che lo ha adottato. Per molti decenni l’autotutela è stata un istituto di elaborazione giurisprudenziale, fondato sull’idea dell’inesauribilità del potere pubblico. La legge n. 15 del 2005 l’ha codificata nella legge n. 241 del 1990, distinguendo due figure.</w:t>
      </w:r>
    </w:p>
    <w:p>
      <w:pPr>
        <w:pStyle w:val="BodyText"/>
      </w:pPr>
      <w:r>
        <w:t xml:space="preserve">L’annullamento d’ufficio, disciplinato dall’articolo 21-nonies, rimuove con efficacia retroattiva un provvedimento illegittimo. Non è un atto dovuto: richiede la sussistenza di ragioni di interesse pubblico, deve intervenire entro un termine ragionevole e impone di tener conto degli interessi dei destinatari e dei controinteressati. La revoca, disciplinata dall’articolo 21-quinquies, incide invece su un provvedimento legittimo a efficacia durevole, con effetti solo per il futuro. Presuppone sopravvenuti motivi di interesse pubblico, un mutamento imprevedibile della situazione di fatto oppure una nuova valutazione dell’interesse pubblico originario, e obbliga l’amministrazione a indennizzare i pregiudizi subiti dai destinatari.</w:t>
      </w:r>
    </w:p>
    <w:p>
      <w:pPr>
        <w:pStyle w:val="BodyText"/>
      </w:pPr>
      <w:r>
        <w:t xml:space="preserve">L’evoluzione successiva è andata nel senso di limitare questi poteri a tutela del privato. Il decreto-legge n. 133 del 2014 ha escluso che i provvedimenti di autorizzazione o di attribuzione di vantaggi economici possano essere revocati per una semplice nuova valutazione dell’interesse originario. La riforma Madia, con la legge n. 124 del 2015, ha introdotto per l’annullamento di questi stessi provvedimenti un termine massimo di diciotto mesi, oltre il quale il potere si consuma. Fa eccezione il caso di provvedimenti ottenuti con false rappresentazioni dei fatti o dichiarazioni false accertate con sentenza. Il decreto-legge n. 77 del 2021 ha poi ridotto il termine a dodici mesi. La giurisprudenza amministrativa ha qualificato questi termini come un nuovo paradigma nei rapporti tra cittadino e amministrazione. Non servono più a rendere inoppugnabili gli atti nell’interesse dell’amministrazione, ma pongono limiti al potere pubblico nell’interesse dei cittadini, per consolidarne le posizioni giuridiche. La stessa logica attraversa gli istituti di semplificazione. Dopo il termine per le verifiche sulla segnalazione certificata di inizio attività, l’amministrazione può intervenire solo alle condizioni dell’annullamento d’ufficio. Sul titolo formato per silenzio assenso si interviene con gli strumenti della revoca e dell’annullamento. I provvedimenti negativi adottati dopo la scadenza dei termini di semplificazione sono inefficaci. Il Consiglio di Stato ha inoltre precisato che la revoca richiede sopravvenienze effettive e una motivazione specifica, e non può essere usata per aggirare un giudicato. L’Adunanza plenaria n. 8 del 2017 ha chiarito che anche a distanza di anni l’annullamento richiede una motivazione sull’interesse pubblico, attenuata solo quando il privato ha contribuito all’illegittimità con dichiarazioni non veritiere.</w:t>
      </w:r>
    </w:p>
    <w:p>
      <w:pPr>
        <w:pStyle w:val="BodyText"/>
      </w:pPr>
      <w:r>
        <w:t xml:space="preserve">Il cuore della questione è il bilanciamento tra due esigenze. Da un lato c’è l’interesse pubblico alla legalità, che spinge a rimuovere gli atti illegittimi; dall’altro ci sono la certezza dei rapporti giuridici e l’affidamento del privato, che sulla base di un provvedimento favorevole ha organizzato la propria vita o la propria impresa. La legge non fa prevalere automaticamente nessuna delle due, ma impone una ponderazione. Più il tempo passa, più l’affidamento si consolida, e oltre i dodici mesi prevale per legge. Quando l’amministrazione interviene su affidamenti consolidati, il suo onere di motivazione si aggrava. Il principio è rafforzato dall’articolo 1, comma 2-bis, della legge n. 241, secondo cui i rapporti tra cittadino e amministrazione sono improntati a collaborazione e buona fede, e dal codice dei contratti pubblici, che codifica la tutela dell’affidamento come limite al potere amministrativo. La lesione dell’affidamento può inoltre fondare una responsabilità risarcitoria dell’amministrazione, anche quando un atto favorevole viene successivamente annullato. L’affidamento non merita però tutela quando il privato era in malafede o conosceva l’illegittimità.</w:t>
      </w:r>
    </w:p>
    <w:p>
      <w:pPr>
        <w:pStyle w:val="BodyText"/>
      </w:pPr>
      <w:r>
        <w:t xml:space="preserve">La certezza del diritto e la tutela del legittimo affidamento sono anche principi generali del diritto dell’Unione europea, riconosciuti dalla Corte di giustizia. Vincolano sia le istituzioni europee sia gli Stati membri quando attuano il diritto dell’Unione. La Corte ammette il ritiro di atti illegittimi favorevoli, ma entro un termine ragionevole e tenendo conto dell’affidamento del destinatario. Precisa inoltre che l’affidamento presuppone assicurazioni precise da parte dell’autorità e non può essere invocato da chi ha beneficiato di una situazione palesemente contraria al diritto europeo. La stessa legge n. 241 richiama tra i criteri dell’azione amministrativa i principi dell’ordinamento comunitario.</w:t>
      </w:r>
    </w:p>
    <w:p>
      <w:pPr>
        <w:pStyle w:val="BodyText"/>
      </w:pPr>
      <w:r>
        <w:t xml:space="preserve">Resta da capire come il primato e l’effettività del diritto europeo incidano sull’autotutela. Il primato impone non solo ai giudici, ma anche alle amministrazioni, di disapplicare le norme nazionali contrastanti con il diritto dell’Unione, come ha chiarito la Corte di giustizia fin dalla sentenza Fratelli Costanzo. Secondo la giurisprudenza nazionale prevalente, il provvedimento incompatibile con il diritto europeo è annullabile e non nullo, e resta quindi soggetto al regime dell’articolo 21-nonies, compreso il termine. Il diritto dell’Unione incide però in tre modi. In primo luogo, in base al principio di autonomia procedurale, le regole e i termini nazionali sono ammessi solo se rispettano i principi di equivalenza, cioè non trattano i casi europei peggio di quelli interni, e di effettività, cioè non rendono impossibile o eccessivamente difficile l’applicazione del diritto europeo. In secondo luogo, in casi particolari la Corte ha riconosciuto un obbligo di riesaminare un atto amministrativo definitivo contrastante con il diritto dell’Unione, come nel caso Kühne &amp; Heitz. Ciò accade quando il diritto nazionale consente il riesame, l’atto è divenuto definitivo per effetto di una sentenza poi rivelatasi basata su un’errata interpretazione del diritto europeo e l’interessato si è attivato tempestivamente. In terzo luogo, in materia di aiuti di Stato l’obbligo di recupero degli aiuti illegittimi prevale sia sull’affidamento del beneficiario sia sui termini nazionali, perché un operatore diligente deve verificare che l’aiuto sia stato notificato alla Commissione.</w:t>
      </w:r>
    </w:p>
    <w:p>
      <w:pPr>
        <w:pStyle w:val="BodyText"/>
      </w:pPr>
      <w:r>
        <w:t xml:space="preserve">In conclusione, il primato non cancella i limiti dell’autotutela, che sono essi stessi espressione di principi condivisi dall’ordinamento europeo come certezza e affidamento. Ne orienta però l’interpretazione: dove l’effettività del diritto dell’Unione lo richiede, il termine dei dodici mesi e la tutela dell’affidamento possono cedere, come accade per gli aiuti di Stato illegittimi o per vantaggi ottenuti in violazione delle regole europee sulla concorrenza.</w:t>
      </w:r>
    </w:p>
    <w:bookmarkEnd w:id="20"/>
    <w:bookmarkStart w:id="21" w:name="X54ec4643d91770730fdd6ba6f4f1b0193ba3b7c"/>
    <w:p>
      <w:pPr>
        <w:pStyle w:val="Heading2"/>
      </w:pPr>
      <w:r>
        <w:t xml:space="preserve">Traccia 2 – Principio del risultato e della fiducia negli appalti: discrezionalità della stazione appaltante</w:t>
      </w:r>
    </w:p>
    <w:p>
      <w:pPr>
        <w:pStyle w:val="FirstParagraph"/>
      </w:pPr>
      <w:r>
        <w:rPr>
          <w:bCs/>
          <w:b/>
        </w:rPr>
        <w:t xml:space="preserve">Domanda.</w:t>
      </w:r>
      <w:r>
        <w:t xml:space="preserve"> </w:t>
      </w:r>
      <w:r>
        <w:rPr>
          <w:iCs/>
          <w:i/>
        </w:rPr>
        <w:t xml:space="preserve">Il candidato, in base ai principi generali dell’evidenza pubblica e dal nuovo Codice dei contratti pubblici (d.lgs. n. 36/2023), tratti del principio del risultato e della fiducia quali criteri ordinatori dell’azione amministrativa in materia di appalti. Approfondisca in particolare le implicazioni di tali principi sul potere discrezionale della stazione appaltante. Collochi, inoltre, tali principi nel quadro delle direttive europee in materia di contratti pubblici e dei principi di parità di trattamento, non discriminazione, trasparenza, proporzionalità e concorrenza, valutando i limiti che il diritto dell’Unione pone alla discrezionalità della stazione appaltante.</w:t>
      </w:r>
    </w:p>
    <w:p>
      <w:pPr>
        <w:pStyle w:val="BodyText"/>
      </w:pPr>
      <w:r>
        <w:rPr>
          <w:bCs/>
          <w:b/>
        </w:rPr>
        <w:t xml:space="preserve">Risposta.</w:t>
      </w:r>
    </w:p>
    <w:p>
      <w:pPr>
        <w:pStyle w:val="BodyText"/>
      </w:pPr>
      <w:r>
        <w:t xml:space="preserve">I contratti pubblici hanno una doppia natura. La fase di scelta del contraente è retta dal diritto amministrativo e dai principi dell’evidenza pubblica, cioè trasparenza e concorrenza; la stipula e l’esecuzione sono rette prevalentemente dal diritto civile, salve le prerogative pubblicistiche. La disciplina degli appalti è il frutto di un dialogo costante con l’ordinamento europeo: nasce come pilastro del mercato interno, a garanzia della libera circolazione delle merci e dei servizi e della libertà di stabilimento, e trova fondamento costituzionale negli articoli 97 e 117 della Costituzione. Il codice del 2006 era caratterizzato da una disciplina minuziosa e centralizzata; quello del 2016 ha tentato una prima semplificazione. Il decreto legislativo n. 36 del 2023 segna un vero cambio di paradigma culturale: abbandona il formalismo e l’approccio di diffidenza verso il funzionario pubblico e mette al centro, già nei principi generali, il risultato e la fiducia.</w:t>
      </w:r>
    </w:p>
    <w:p>
      <w:pPr>
        <w:pStyle w:val="BodyText"/>
      </w:pPr>
      <w:r>
        <w:t xml:space="preserve">Il principio del risultato, sancito dall’articolo 1, stabilisce che le stazioni appaltanti perseguono il risultato dell’affidamento del contratto e della sua esecuzione con la massima tempestività e il migliore rapporto possibile tra qualità e prezzo, nel rispetto dei principi di legalità, trasparenza e concorrenza. Il principio svolge più funzioni. Vincola l’amministrazione alla realizzazione concreta del bisogno pubblico che la gara deve soddisfare, e chiarisce che legalità, concorrenza e trasparenza sono funzionali a questo obiettivo. È il criterio prioritario per l’esercizio della discrezionalità e guida l’interpretazione delle altre norme del codice. Rileva infine per valutare la responsabilità del personale e per attribuire gli incentivi. È la traduzione, nel settore degli appalti, del principio costituzionale di buon andamento, ormai divenuto parametro di legittimità anche sotto il profilo dell’eccesso di potere.</w:t>
      </w:r>
    </w:p>
    <w:p>
      <w:pPr>
        <w:pStyle w:val="BodyText"/>
      </w:pPr>
      <w:r>
        <w:t xml:space="preserve">Il principio della fiducia, sancito dall’articolo 2, valorizza l’autonomia decisionale e la professionalità di chi opera nelle procedure di affidamento. Vuole evitare i comportamenti dilatori e formalistici dettati dalla cosiddetta paura della firma, cercando un equilibrio tra due esigenze: responsabilizzare il funzionario ed evitare che il timore della responsabilità produca inerzia. È il versante appalti di un tema più generale, la «fatica dell’amministrare», riconosciuto dalla Corte costituzionale nella sentenza n. 132 del 2024 e affrontato dalla riforma della responsabilità amministrativa del 2026, che ha ridefinito la colpa grave. Accanto a questi principi il codice ne affianca altri: l’accesso al mercato, la buona fede e la tutela dell’affidamento, la solidarietà e la sussidiarietà orizzontale, l’auto-organizzazione, l’autonomia contrattuale e la conservazione dell’equilibrio del contratto.</w:t>
      </w:r>
    </w:p>
    <w:p>
      <w:pPr>
        <w:pStyle w:val="BodyText"/>
      </w:pPr>
      <w:r>
        <w:t xml:space="preserve">Risultato e fiducia hanno implicazioni rilevanti sul potere discrezionale della stazione appaltante, che viene insieme ampliato e orientato. Grazie al principio di auto-organizzazione, l’amministrazione può scegliere se produrre in proprio, affidare a una società in house, motivando i vantaggi per la collettività, cooperare con altre amministrazioni o rivolgersi al mercato. La scelta della procedura dipende dal valore stimato dell’appalto, che non può essere frazionato artificiosamente, e dalla natura della prestazione. Sotto le soglie europee la regola è la semplificazione, ma non l’assenza di concorrenza, mentre la procedura negoziata senza bando resta un’eccezione da motivare. La scelta del criterio di aggiudicazione segue la stessa logica: l’offerta economicamente più vantaggiosa è preferibile per le prestazioni ad alto contenuto tecnico, il minor prezzo per quelle standardizzate. Il responsabile unico del progetto non è più il responsabile di un singolo procedimento, ma la figura che accompagna l’intervento dalla programmazione all’esecuzione e ne garantisce il risultato. Nella fase esecutiva, il principio di conservazione dell’equilibrio contrattuale privilegia la rinegoziazione e la revisione dei prezzi rispetto alla risoluzione del contratto.</w:t>
      </w:r>
    </w:p>
    <w:p>
      <w:pPr>
        <w:pStyle w:val="BodyText"/>
      </w:pPr>
      <w:r>
        <w:t xml:space="preserve">Il risultato, però, non autorizza a violare le regole. Non è una clausola che permette di derogare alla legalità, ma il criterio per scegliere, tra le soluzioni legittime, quella più idonea a soddisfare il bisogno pubblico. Va letto insieme al principio di tassatività delle cause di esclusione, per cui le clausole di esclusione non previste dalla legge sono nulle, e al principio di massima partecipazione, che consente requisiti speciali solo se proporzionati all’oggetto del contratto. Maggiore libertà richiede maggiore capacità di programmazione, motivazione e controllo.</w:t>
      </w:r>
    </w:p>
    <w:p>
      <w:pPr>
        <w:pStyle w:val="BodyText"/>
      </w:pPr>
      <w:r>
        <w:t xml:space="preserve">Questi principi si collocano all’interno del quadro europeo, definito dalle direttive del 2014 su appalti, concessioni e settori speciali e dai principi dei Trattati, che delimitano la discrezionalità della stazione appaltante. La parità di trattamento e la non discriminazione impongono che tutti gli operatori competano ad armi pari, senza discriminazioni territoriali o dimensionali; ne derivano il divieto di cambiare le regole durante la gara e la tutela della par condicio dei concorrenti. La trasparenza è oggi assicurata dalla digitalizzazione dell’intero ciclo di vita dei contratti, attraverso piattaforme certificate e la banca dati nazionale gestita dall’ANAC, che consente anche di adempiere agli obblighi europei di pubblicità e tracciabilità. La proporzionalità impone che requisiti e oneri siano commisurati al valore e alla complessità dell’affidamento; il sistema delle soglie, aggiornate periodicamente da regolamenti europei, risponde proprio a questa logica. La concorrenza e l’accesso al mercato richiedono la massima partecipazione, in particolare delle piccole e medie imprese. Il diritto dell’Unione pone inoltre limiti puntuali. L’affidamento in house è ammesso solo in presenza di un controllo analogo, dello svolgimento di oltre l’80% dell’attività per l’ente controllante e dell’assenza di capitali privati. La procedura negoziata senza bando è consentita solo nei casi tassativi previsti dalle direttive.</w:t>
      </w:r>
    </w:p>
    <w:p>
      <w:pPr>
        <w:pStyle w:val="BodyText"/>
      </w:pPr>
      <w:r>
        <w:t xml:space="preserve">Il diritto europeo non è dunque un ostacolo al principio del risultato, perché la stessa disciplina dell’Unione mira all’uso efficiente delle risorse pubbliche. Pone però un limite invalicabile: il risultato si persegue attraverso la concorrenza, non contro di essa. La discrezionalità fondata sulla fiducia e i principi europei si conciliano grazie alla motivazione, alla proporzionalità e alla trasparenza delle scelte, sostenute da stazioni appaltanti professionalizzate e capaci di programmare.</w:t>
      </w:r>
    </w:p>
    <w:bookmarkEnd w:id="21"/>
    <w:bookmarkStart w:id="22" w:name="traccia-3-responsabilità-dirigenziale"/>
    <w:p>
      <w:pPr>
        <w:pStyle w:val="Heading2"/>
      </w:pPr>
      <w:r>
        <w:t xml:space="preserve">Traccia 3 – Responsabilità dirigenziale</w:t>
      </w:r>
    </w:p>
    <w:p>
      <w:pPr>
        <w:pStyle w:val="FirstParagraph"/>
      </w:pPr>
      <w:r>
        <w:rPr>
          <w:bCs/>
          <w:b/>
        </w:rPr>
        <w:t xml:space="preserve">Domanda.</w:t>
      </w:r>
      <w:r>
        <w:t xml:space="preserve"> </w:t>
      </w:r>
      <w:r>
        <w:rPr>
          <w:iCs/>
          <w:i/>
        </w:rPr>
        <w:t xml:space="preserve">Il candidato, dopo aver delineato il ruolo del dirigente pubblico nell’attuale modello di organizzazione amministrativa, analizzi la disciplina della responsabilità dirigenziale, soffermandosi sui rapporti tra autonomia gestionale, attribuzione degli obiettivi, sistemi di misurazione e valutazione della performance e responsabilità per il mancato raggiungimento dei risultati. Esamini, infine, brevemente i tratti distintivi tra responsabilità dirigenziale e responsabilità disciplinare e responsabilità amministrativo-contabile. Valuti, infine, come gli obblighi derivanti dal diritto dell’Unione europea e l’attuazione di programmi e riforme finanziati dall’Unione, con particolare riguardo al PNRR, possano incidere sulla definizione degli obiettivi dirigenziali, sulla misurazione dei risultati e sui correlati profili di responsabilità.</w:t>
      </w:r>
    </w:p>
    <w:p>
      <w:pPr>
        <w:pStyle w:val="BodyText"/>
      </w:pPr>
      <w:r>
        <w:rPr>
          <w:bCs/>
          <w:b/>
        </w:rPr>
        <w:t xml:space="preserve">Risposta.</w:t>
      </w:r>
    </w:p>
    <w:p>
      <w:pPr>
        <w:pStyle w:val="BodyText"/>
      </w:pPr>
      <w:r>
        <w:t xml:space="preserve">L’attuale modello di organizzazione amministrativa si fonda sul principio di separazione tra politica e amministrazione, avviato dal decreto legislativo n. 29 del 1993 e consolidato dal decreto legislativo n. 165 del 2001. Gli organi politici definiscono indirizzi e obiettivi e ne verificano il raggiungimento; i dirigenti, secondo l’articolo 4 del decreto 165, sono responsabili in via esclusiva dell’attività amministrativa, della gestione e dei relativi risultati. Il dirigente è insieme organo dell’amministrazione e datore di lavoro: dirige e controlla gli uffici e gestisce personale e risorse finanziarie e strumentali. Il suo rapporto di lavoro è privatizzato, ma il conferimento degli incarichi conserva una componente fiduciaria. I limiti allo spoils system posti dalla Corte costituzionale servono proprio a tutelare l’imparzialità dell’amministrazione.</w:t>
      </w:r>
    </w:p>
    <w:p>
      <w:pPr>
        <w:pStyle w:val="BodyText"/>
      </w:pPr>
      <w:r>
        <w:t xml:space="preserve">La responsabilità dirigenziale, disciplinata dagli articoli 21 e 22 del decreto legislativo n. 165, dal decreto legislativo n. 150 del 2009 e dai contratti collettivi, è il riflesso naturale dell’autonomia gestionale: a chi dispone di autonomia si chiede conto dei risultati. La legge individua tre condotte che la fanno sorgere. La prima è il mancato raggiungimento degli obiettivi, accertato attraverso il sistema di misurazione e valutazione della performance. La seconda è l’inosservanza delle direttive, da intendersi non come qualsiasi indicazione del superiore, ma come le direttive formalizzate e strumentali agli obiettivi. La terza è la colpevole violazione del dovere di vigilanza sul rispetto, da parte del personale, degli standard quantitativi e qualitativi fissati dall’amministrazione, sanzionata con la decurtazione della retribuzione di risultato fino all’80%. Le sanzioni, in ordine di gravità crescente, sono l’impossibilità di rinnovare l’incarico, la revoca dell’incarico con collocamento a disposizione e, nei casi più gravi, il recesso dal rapporto di lavoro. Il procedimento richiede la contestazione dell’addebito, il contraddittorio e il parere del Comitato dei garanti, il cui ruolo nel tempo si è ridotto da vincolante a consultivo. La legge prevede inoltre ipotesi specifiche di responsabilità dirigenziale, come il mancato rispetto dei termini dei procedimenti, che l’articolo 2 della legge n. 241 del 1990 considera elemento di valutazione della performance individuale.</w:t>
      </w:r>
    </w:p>
    <w:p>
      <w:pPr>
        <w:pStyle w:val="BodyText"/>
      </w:pPr>
      <w:r>
        <w:t xml:space="preserve">Il rapporto tra autonomia, obiettivi e valutazione è il cuore dell’istituto. La valutazione della performance è condizione indispensabile per imputare la responsabilità. Gli obiettivi devono essere specifici, misurabili, rilevanti, pertinenti e definiti nel tempo, e devono essere assegnati da chi poi valuta. Il ciclo della performance introdotto dal decreto n. 150 del 2009 va dagli obiettivi strategici definiti dall’organo politico agli obiettivi operativi dei dirigenti, con monitoraggio, misurazione, premi e una relazione finale validata dall’organismo indipendente di valutazione. La riforma del 2017 ha dato un peso prevalente alla performance della struttura diretta nella valutazione dei dirigenti e ha introdotto la valutazione da parte di cittadini e utenti. Dal 2022 il piano della performance è confluito nel Piano integrato di attività e organizzazione, ancorato al concetto di valore pubblico. La legge n. 119 del 2026 ha poi introdotto tetti alle valutazioni massime e la valutazione delle caratteristiche trasversali accanto agli obiettivi. Data la natura gestionale della responsabilità dirigenziale, non è necessario provare dolo o colpa: conta la rilevazione oggettiva dei risultati rispetto agli obiettivi, e le sole esimenti sono il caso fortuito e la forza maggiore. Le condotte devono comunque essere imputabili al dirigente. Se gli obiettivi non sono accompagnati da risorse adeguate o sono formulati in modo vago, la responsabilità non può essergli attribuita.</w:t>
      </w:r>
    </w:p>
    <w:p>
      <w:pPr>
        <w:pStyle w:val="BodyText"/>
      </w:pPr>
      <w:r>
        <w:t xml:space="preserve">La responsabilità dirigenziale va distinta da altre forme di responsabilità. La responsabilità disciplinare ha anch’essa matrice contrattuale, ma nasce da violazioni puntuali degli obblighi del lavoratore previsti dal codice di comportamento e dai contratti; richiede la colpa ed è graduata secondo il codice disciplinare. La responsabilità dirigenziale riguarda invece la gestione complessiva e i risultati. I confini, peraltro, si sfumano nell’inosservanza delle direttive e nella culpa in vigilando, e una valutazione negativa reiterata può anche fondare il licenziamento disciplinare per insufficiente rendimento. La responsabilità amministrativo-contabile si accerta davanti alla Corte dei conti, presuppone un danno erariale e almeno la colpa grave e ha natura risarcitoria e in parte sanzionatoria. La legge n. 1 del 2026 ha ridefinito la colpa grave come violazione manifesta delle norme, travisamento del fatto o affermazione di fatti esclusi dagli atti, precisando che non costituisce colpa grave l’adeguarsi a orientamenti giurisprudenziali prevalenti o a pareri delle autorità competenti. In questa direzione si era mossa anche la Corte costituzionale nel 2024, chiedendo al legislatore di bilanciare la funzione deterrente della responsabilità con la crescente complessità delle scelte amministrative.</w:t>
      </w:r>
    </w:p>
    <w:p>
      <w:pPr>
        <w:pStyle w:val="BodyText"/>
      </w:pPr>
      <w:r>
        <w:t xml:space="preserve">Il diritto dell’Unione europea e soprattutto il PNRR incidono profondamente su questo quadro. Il PNRR è un programma basato sulla performance: la Commissione europea eroga le risorse solo al raggiungimento verificato di traguardi e obiettivi, le cosiddette milestone e target, e non sulla base della rendicontazione delle spese sostenute. L’attuazione è affidata a un modello multilivello: amministrazioni titolari con proprie unità di missione, soggetti attuatori come Regioni ed enti locali, controlli della Ragioneria generale dello Stato e della Guardia di Finanza, monitoraggio attraverso un sistema informativo dedicato. Questo modello produce effetti rilevanti sulla dirigenza. Traguardi e obiettivi del Piano diventano naturalmente obiettivi dirigenziali specifici, misurabili, scadenzati e non negoziabili, da inserire nella programmazione e negli atti di conferimento degli incarichi. La misurazione diventa più oggettiva, perché il risultato è certificato e verificato da soggetti terzi. Il mancato rispetto delle scadenze può comportare la perdita di risorse per lo Stato, l’attivazione dei poteri sostitutivi previsti dalla normativa sul PNRR e profili di responsabilità dirigenziale e, in presenza di danno, contabile. Sono inoltre previsti controlli rafforzati contro frodi, conflitti di interesse e doppi finanziamenti, a tutela degli interessi finanziari dell’Unione. Lo stesso approccio orientato ai risultati si estende ai fondi della politica di coesione, per i quali le istituzioni europee insistono sulla capacità amministrativa.</w:t>
      </w:r>
    </w:p>
    <w:p>
      <w:pPr>
        <w:pStyle w:val="BodyText"/>
      </w:pPr>
      <w:r>
        <w:t xml:space="preserve">L’eredità più importante del PNRR potrebbe essere proprio la diffusione di una cultura amministrativa orientata ai risultati. Esiste però un rischio, già evidenziato dalla dottrina: che la responsabilità dirigenziale scivoli da strumento di accountability sulla gestione complessiva a mera regola di legalità applicata a singole condotte, alimentando un’amministrazione difensiva. Per evitarlo occorre valorizzare la verifica complessiva della gestione, assegnare obiettivi realistici e coerenti con le risorse e garantire al dirigente un’effettiva autonomia.</w:t>
      </w:r>
    </w:p>
    <w:bookmarkEnd w:id="22"/>
    <w:bookmarkStart w:id="23" w:name="X083e2117c5cf31658fe769e65e5565b4f723298"/>
    <w:p>
      <w:pPr>
        <w:pStyle w:val="Heading2"/>
      </w:pPr>
      <w:r>
        <w:t xml:space="preserve">Traccia 4 – Ritardo amministrativo e procedimento</w:t>
      </w:r>
      <w:r>
        <w:t xml:space="preserve"> </w:t>
      </w:r>
      <w:r>
        <w:t xml:space="preserve">“</w:t>
      </w:r>
      <w:r>
        <w:t xml:space="preserve">algoritmico</w:t>
      </w:r>
      <w:r>
        <w:t xml:space="preserve">”</w:t>
      </w:r>
    </w:p>
    <w:p>
      <w:pPr>
        <w:pStyle w:val="FirstParagraph"/>
      </w:pPr>
      <w:r>
        <w:rPr>
          <w:bCs/>
          <w:b/>
        </w:rPr>
        <w:t xml:space="preserve">Domanda.</w:t>
      </w:r>
      <w:r>
        <w:t xml:space="preserve"> </w:t>
      </w:r>
      <w:r>
        <w:rPr>
          <w:iCs/>
          <w:i/>
        </w:rPr>
        <w:t xml:space="preserve">Il candidato, assunte le vesti di dirigente amministrativo responsabile di un ufficio che tratta procedimenti a istanza di parte in numero massivo ma a carattere seriale, constata che la maggior parte dei procedimenti viene concluso con significativo ritardo a causa della penuria di funzionari: delinei il candidato le possibili conseguenze di tali ritardi sul piano amministrativo e contenzioso e analizzi altresì la possibilità di ricorso a procedure automatizzate con particolare attenzione ai principi amministrativi, di fonte nazionale e unionale, da rispettare.</w:t>
      </w:r>
    </w:p>
    <w:p>
      <w:pPr>
        <w:pStyle w:val="BodyText"/>
      </w:pPr>
      <w:r>
        <w:rPr>
          <w:bCs/>
          <w:b/>
        </w:rPr>
        <w:t xml:space="preserve">Risposta.</w:t>
      </w:r>
    </w:p>
    <w:p>
      <w:pPr>
        <w:pStyle w:val="BodyText"/>
      </w:pPr>
      <w:r>
        <w:t xml:space="preserve">Come dirigente dell’ufficio, devo partire da un dato normativo: l’amministrazione ha il dovere di concludere i procedimenti avviati su istanza di parte con un provvedimento espresso, anche in forma semplificata quando l’istanza è manifestamente irricevibile, inammissibile o infondata. Il termine generale, in assenza di diverse previsioni, è di trenta giorni; i regolamenti possono fissarlo fino a novanta giorni e, in casi particolari, fino a centottanta. Il rispetto dei tempi è un corollario del principio costituzionale di buon andamento. Il primo passo è quindi misurare l’arretrato: quante pratiche sono pendenti, quali sono i tempi medi, quali tipologie ricorrono più spesso.</w:t>
      </w:r>
    </w:p>
    <w:p>
      <w:pPr>
        <w:pStyle w:val="BodyText"/>
      </w:pPr>
      <w:r>
        <w:t xml:space="preserve">I ritardi producono conseguenze innanzitutto sul piano amministrativo. Il privato può rivolgersi al titolare del potere sostitutivo, che deve concludere il procedimento entro la metà del termine originario e segnalare il nominativo del responsabile del ritardo ai fini dell’eventuale procedimento disciplinare. La mancata o tardiva adozione del provvedimento è elemento di valutazione della performance individuale e può generare responsabilità disciplinare e amministrativo-contabile, sia del dirigente sia del funzionario responsabile. Nei casi in cui opera il silenzio assenso, il ritardo produce l’accoglimento dell’istanza per legge, e l’amministrazione deve rilasciare un’attestazione automatica dell’avvenuta formazione del titolo; eventuali dinieghi adottati dopo la scadenza sono inefficaci, salva la possibilità di un annullamento d’ufficio. A ciò si aggiungono gli obblighi di monitoraggio e pubblicazione dei tempi medi dei procedimenti.</w:t>
      </w:r>
    </w:p>
    <w:p>
      <w:pPr>
        <w:pStyle w:val="BodyText"/>
      </w:pPr>
      <w:r>
        <w:t xml:space="preserve">Sul piano contenzioso, il privato può proporre il ricorso avverso il silenzio, senza bisogno di una previa diffida, finché perdura l’inadempimento e comunque entro un anno dalla scadenza del termine. Il giudice ordina all’amministrazione di provvedere entro un termine, può nominare un commissario ad acta e, quando l’attività è vincolata, può pronunciarsi direttamente sulla fondatezza della pretesa. Il privato ha inoltre diritto a un indennizzo forfettario per il mero ritardo, previa attivazione del potere sostitutivo, e al risarcimento del danno ingiusto causato dall’inosservanza dolosa o colposa del termine, se ne prova l’esistenza. È possibile infine la class action pubblica per l’efficienza delle amministrazioni. Un caso deciso dal Consiglio di Stato nel 2025 in materia di immigrazione è emblematico. Per oltre duemila pratiche si era atteso tre anni, nonostante la legge offrisse uno strumento di semplificazione a costo zero; il giudice ha qualificato l’inefficienza come conseguenza di una precisa scelta organizzativa e non di limiti strutturali. La lezione è chiara: la carenza di personale non è un’esimente se l’amministrazione non ha utilizzato gli strumenti organizzativi disponibili.</w:t>
      </w:r>
    </w:p>
    <w:p>
      <w:pPr>
        <w:pStyle w:val="BodyText"/>
      </w:pPr>
      <w:r>
        <w:t xml:space="preserve">Prima ancora di pensare all’automazione, occorre quindi intervenire sull’organizzazione. Bisogna mappare e reingegnerizzare il processo, eliminando le fasi inutili; applicare il principio once only, per cui il cittadino non deve fornire dati già in possesso dell’amministrazione; standardizzare la modulistica e l’istruttoria; programmare il fabbisogno di personale nel Piano integrato di attività e organizzazione, che comprende anche le competenze necessarie alla transizione digitale.</w:t>
      </w:r>
    </w:p>
    <w:p>
      <w:pPr>
        <w:pStyle w:val="BodyText"/>
      </w:pPr>
      <w:r>
        <w:t xml:space="preserve">Procedimenti massivi e seriali, la cui istruttoria si basa su requisiti predeterminati e verificabili attraverso banche dati, sono il terreno ideale per le procedure automatizzate. La giurisprudenza distingue l’algoritmo dall’intelligenza artificiale. L’algoritmo è una sequenza ordinata di operazioni logiche che, a partire da determinati dati in ingresso, produce un risultato secondo lo schema «se ricorre A, allora B»; si presta bene all’attività vincolata. L’intelligenza artificiale, invece, apprende dai dati e richiede cautele maggiori. L’algoritmo non è neutrale, perché incorpora scelte e valori di chi lo progetta. La regola tecnica che esso traduce è quindi a tutti gli effetti una regola amministrativa, imputabile all’amministrazione e soggetta ai principi dell’azione amministrativa.</w:t>
      </w:r>
    </w:p>
    <w:p>
      <w:pPr>
        <w:pStyle w:val="BodyText"/>
      </w:pPr>
      <w:r>
        <w:t xml:space="preserve">Il Consiglio di Stato, con le sentenze del 2019, ricavando i principi anche dal regolamento europeo sulla protezione dei dati personali, ha individuato tre principi per la legittimità delle decisioni automatizzate. Il principio di conoscibilità attribuisce a ciascuno il diritto di sapere che esiste un processo decisionale automatizzato che lo riguarda e di ricevere informazioni significative sulla logica utilizzata, il che implica la trasparenza del codice e della documentazione. Il principio di non esclusività impone che nel processo decisionale esista un contributo umano capace di controllare, validare o smentire la decisione automatica. Il principio di non discriminazione algoritmica richiede misure tecniche e organizzative che correggano gli errori nei dati ed evitino effetti discriminatori. Questi principi sono stati recepiti dal legislatore nel codice dei contratti pubblici, che impone anche la disponibilità del codice sorgente, e nella disciplina della semplificazione dei controlli sulle attività economiche. Restano fermi tutti i principi della legge n. 241: l’individuazione del responsabile del procedimento, la partecipazione e il preavviso di rigetto, l’obbligo di motivazione, che deve rendere comprensibile la logica applicata, il diritto di accesso e un sindacato giurisdizionale pieno anche sull’algoritmo.</w:t>
      </w:r>
    </w:p>
    <w:p>
      <w:pPr>
        <w:pStyle w:val="BodyText"/>
      </w:pPr>
      <w:r>
        <w:t xml:space="preserve">Sul piano europeo vanno rispettati il regolamento sulla protezione dei dati personali, con i principi di minimizzazione e sicurezza; il regolamento sull’intelligenza artificiale del 2024, che con un approccio basato sul rischio classifica ad alto rischio i sistemi utilizzati per l’accesso a servizi e prestazioni pubbliche essenziali e impone governance dei dati, spiegabilità e supervisione umana; il diritto a una buona amministrazione sancito dall’articolo 41 della Carta dei diritti fondamentali dell’Unione, che comprende imparzialità, termine ragionevole, diritto di essere ascoltati e obbligo di motivazione.</w:t>
      </w:r>
    </w:p>
    <w:p>
      <w:pPr>
        <w:pStyle w:val="BodyText"/>
      </w:pPr>
      <w:r>
        <w:t xml:space="preserve">Restano da governare alcuni rischi: la qualità dei dati di partenza, la spiegabilità delle decisioni, la tendenza del funzionario ad affidarsi acriticamente alla macchina e la carenza di competenze digitali del personale. Va inoltre garantito l’accesso ai servizi a chi non utilizza strumenti digitali. Da dirigente adotterei quindi un approccio graduale. Automatizzerei prima le fasi istruttorie vincolate, come la verifica dei requisiti da banche dati e i calcoli, e lascerei al funzionario la validazione finale e la gestione dei casi anomali. Pubblicherei la logica dell’algoritmo e avvierei un progetto pilota monitorato su tempi, errori ed esiti dei ricorsi. In questo modo l’automazione diventa uno strumento di buon andamento, che riduce i ritardi e il contenzioso invece di generarne di nuovo.</w:t>
      </w:r>
    </w:p>
    <w:bookmarkEnd w:id="23"/>
    <w:bookmarkStart w:id="24" w:name="X698e01d5663037ba29bb9eb9090e8544e3909a6"/>
    <w:p>
      <w:pPr>
        <w:pStyle w:val="Heading2"/>
      </w:pPr>
      <w:r>
        <w:t xml:space="preserve">Traccia 5 – Concessioni demaniali marittime</w:t>
      </w:r>
    </w:p>
    <w:p>
      <w:pPr>
        <w:pStyle w:val="FirstParagraph"/>
      </w:pPr>
      <w:r>
        <w:rPr>
          <w:bCs/>
          <w:b/>
        </w:rPr>
        <w:t xml:space="preserve">Domanda.</w:t>
      </w:r>
      <w:r>
        <w:t xml:space="preserve"> </w:t>
      </w:r>
      <w:r>
        <w:rPr>
          <w:iCs/>
          <w:i/>
        </w:rPr>
        <w:t xml:space="preserve">Il candidato, assunte le vesti di dirigente responsabile della gestione patrimoniale di un ente pubblico, che ricomprende anche beni demaniali marittimi attualmente in concessione, viene incaricato di delineare le future linee di gestione e valorizzazione di tali beni tenuto conto del fatto che alcuni concessionari storici rivendicano il diritto a una proroga automatica. Il candidato, delineato sinteticamente il quadro normativo e giurisprudenziale di riferimento, sia nazionale sia unionale, illustri le iniziative amministrative che assumerebbe e le eventuali criticità applicative.</w:t>
      </w:r>
    </w:p>
    <w:p>
      <w:pPr>
        <w:pStyle w:val="BodyText"/>
      </w:pPr>
      <w:r>
        <w:rPr>
          <w:bCs/>
          <w:b/>
        </w:rPr>
        <w:t xml:space="preserve">Risposta.</w:t>
      </w:r>
    </w:p>
    <w:p>
      <w:pPr>
        <w:pStyle w:val="BodyText"/>
      </w:pPr>
      <w:r>
        <w:t xml:space="preserve">Il demanio marittimo è un bene pubblico inalienabile, disciplinato dal codice della navigazione. L’uso esclusivo da parte dei privati avviene attraverso la concessione, un provvedimento che attribuisce un’utilità economica su una risorsa pubblica scarsa. Al regime dei beni demaniali si applicano poteri speciali dell’amministrazione, come l’autotutela esecutoria. La giurisprudenza amministrativa è costante nel ritenere che, anche quando si mettono a disposizione dei privati beni pubblici per finalità economiche, la scelta del concessionario debba avvenire attraverso una procedura selettiva ispirata ai principi di concorrenza, imparzialità e trasparenza; non esiste un diritto al rinnovo della concessione scaduta.</w:t>
      </w:r>
    </w:p>
    <w:p>
      <w:pPr>
        <w:pStyle w:val="BodyText"/>
      </w:pPr>
      <w:r>
        <w:t xml:space="preserve">Il quadro europeo è dominato dalla direttiva 2006/123 sui servizi nel mercato interno, nota come direttiva Bolkestein. Il suo articolo 12 stabilisce che, quando il numero delle autorizzazioni è limitato per la scarsità delle risorse naturali, gli Stati devono applicare una procedura di selezione imparziale e trasparente, adeguatamente pubblicizzata. L’autorizzazione deve avere una durata limitata, non può essere rinnovata automaticamente e non può attribuire vantaggi al prestatore uscente. Le concessioni demaniali marittime per finalità turistico-ricreative sono il caso tipico di risorsa scarsa che sottrae l’attività ai regimi liberalizzati. Rilevano anche i principi del Trattato sulla libertà di stabilimento e di prestazione dei servizi, in presenza di un interesse transfrontaliero certo. La Corte di giustizia, con la sentenza Promoimpresa del 2016, ha dichiarato contrarie al diritto europeo le proroghe automatiche e generalizzate. Nel 2023 ha precisato che l’articolo 12 è una disposizione incondizionata e sufficientemente precisa, che giudici e amministrazioni devono applicare disapplicando le norme interne contrastanti, e che la scarsità va valutata con criteri obiettivi, combinando una dimensione nazionale e una locale.</w:t>
      </w:r>
    </w:p>
    <w:p>
      <w:pPr>
        <w:pStyle w:val="BodyText"/>
      </w:pPr>
      <w:r>
        <w:t xml:space="preserve">Il quadro nazionale è stato a lungo caratterizzato da proroghe legislative successive, fino a quella al 2033 prevista dalla legge di bilancio per il 2019. L’Adunanza plenaria del Consiglio di Stato, con le sentenze n. 17 e 18 del 2021, ha dichiarato illegittime tali proroghe e ne ha imposto la disapplicazione, stabilendo che le concessioni restassero efficaci solo fino alla fine del 2023, per consentire lo svolgimento delle gare. La legge annuale sulla concorrenza del 2022 ha recepito questa impostazione, e le successive proroghe legislative sono state nuovamente disapplicate dalla giurisprudenza. Il decreto-legge n. 131 del 2024 ha infine fissato l’efficacia delle concessioni in essere al 30 settembre 2027, differibile al massimo fino al 31 marzo 2028 solo in presenza di ragioni oggettive. Ha previsto che le gare siano avviate in tempo utile, che il concessionario uscente riceva dal subentrante un indennizzo pari al valore degli investimenti non ancora ammortizzati più un’equa remunerazione, e che le nuove concessioni abbiano una durata compresa tra cinque e venti anni. Il Consiglio di Stato ha recentemente chiarito che il termine del 2027 è un limite massimo e non una proroga garantita: i Comuni possono concludere prima le gare e far cessare le concessioni con atto motivato, e l’indennizzo non è automatico, ma richiede la prova degli investimenti non ammortizzati. Da tutto ciò discende che i concessionari storici non hanno alcun diritto alla proroga automatica. L’amministrazione, al riguardo, esercita un potere sostanzialmente vincolato: non ha altra scelta che riassegnare il bene attraverso una procedura a evidenza pubblica.</w:t>
      </w:r>
    </w:p>
    <w:p>
      <w:pPr>
        <w:pStyle w:val="BodyText"/>
      </w:pPr>
      <w:r>
        <w:t xml:space="preserve">Come dirigente, la mia prima iniziativa sarebbe rispondere ai concessionari con un provvedimento motivato di diniego della proroga automatica, fondato sul contrasto con l’articolo 12 della direttiva e sulla giurisprudenza europea e nazionale. Lo farei preceduto dal preavviso di rigetto e dal contraddittorio previsti dalla legge n. 241, chiarendo che il titolo resta efficace solo fino al termine di legge. Avvierei poi una ricognizione completa: stato delle concessioni, canoni, investimenti realizzati, opere inamovibili, eventuali occupazioni senza titolo, con una verifica della scarsità della risorsa su base locale. Aggiornerei la pianificazione degli arenili, garantendo quote adeguate di spiagge libere e di servizi pubblici, dimensionando i lotti in modo da favorire la partecipazione delle piccole imprese e introducendo criteri ambientali e di accessibilità.</w:t>
      </w:r>
    </w:p>
    <w:p>
      <w:pPr>
        <w:pStyle w:val="BodyText"/>
      </w:pPr>
      <w:r>
        <w:t xml:space="preserve">Predisporrei quindi i bandi, con criteri trasparenti e proporzionati: qualità del progetto, investimenti proposti, sostenibilità ambientale, ricadute occupazionali, accessibilità per le persone con disabilità. L’esperienza professionale potrebbe essere valorizzata come elemento qualitativo, purché non si trasformi in un vantaggio precostituito per l’uscente. La durata delle concessioni sarebbe commisurata agli investimenti richiesti e il canone adeguato al valore effettivo del bene. Svolgerei un’istruttoria tecnica rigorosa sugli investimenti non ammortizzati, documentati e asseverati, indicando nel bando l’importo dell’indennizzo a carico dell’aggiudicatario. Definirei infine un cronoprogramma per concludere le gare entro i termini di legge, eventualmente anche prima del 2027, utilizzando una piattaforma digitale per garantire pubblicità e tracciabilità.</w:t>
      </w:r>
    </w:p>
    <w:p>
      <w:pPr>
        <w:pStyle w:val="BodyText"/>
      </w:pPr>
      <w:r>
        <w:t xml:space="preserve">Le criticità applicative sono numerose. È molto probabile un contenzioso promosso sia dai concessionari uscenti, in materia di affidamento, indennizzo e criteri di gara, sia dai partecipanti esclusi: l’amministrazione deve quindi motivare con cura ogni scelta e documentare l’istruttoria. L’affidamento dei concessionari storici non può fondarsi su proroghe contrarie al diritto europeo, ma rileva ai fini dell’indennizzo e della congruità dei tempi di passaggio. La continua instabilità normativa espone l’amministrazione a rischi di responsabilità: danno erariale per canoni non riscossi o gare tardive, responsabilità dirigenziale per il mancato rispetto dei termini. Gli uffici devono inoltre disporre delle competenze necessarie per gestire bandi complessi e stime tecniche. Occorre infine bilanciare la tutela del tessuto economico locale e dell’occupazione con l’apertura del mercato e la corretta valorizzazione del bene pubblico, nel rispetto della parità di trattamento e della proporzionalità. La linea di fondo è trasformare un obbligo europeo in un’occasione di valorizzazione: canoni più equi, nuovi investimenti, servizi di qualità migliore e un accesso al mare più ampio per tutta la collettività.</w:t>
      </w:r>
    </w:p>
    <w:bookmarkEnd w:id="24"/>
    <w:sectPr>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pPr>
    <w:rPr>
      <w:sz w:val="22"/>
    </w:rPr>
  </w:style>
  <w:style w:styleId="BodyText" w:type="paragraph">
    <w:name w:val="Body Text"/>
    <w:basedOn w:val="Normal"/>
    <w:link w:val="BodyTextChar"/>
    <w:pPr>
      <w:spacing w:after="80" w:before="0"/>
    </w:pPr>
    <w:qFormat/>
    <w:rPr>
      <w:sz w:val="22"/>
    </w:rPr>
  </w:style>
  <w:style w:customStyle="1" w:styleId="FirstParagraph" w:type="paragraph">
    <w:name w:val="First Paragraph"/>
    <w:basedOn w:val="BodyText"/>
    <w:next w:val="BodyText"/>
    <w:qFormat/>
    <w:pPr>
      <w:spacing w:after="80" w:before="0"/>
    </w:pPr>
    <w:rPr>
      <w:sz w:val="22"/>
    </w:rPr>
  </w:style>
  <w:style w:customStyle="1" w:styleId="Compact" w:type="paragraph">
    <w:name w:val="Compact"/>
    <w:basedOn w:val="BodyText"/>
    <w:qFormat/>
    <w:pPr>
      <w:spacing w:after="80" w:before="0"/>
    </w:pPr>
    <w:rPr>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pageBreakBefore/>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0"/>
      <w:ind w:firstLine="0" w:left="480" w:right="480"/>
    </w:pPr>
    <w:rPr>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2026-10-26T16:10:30Z</dcterms:created>
  <dcterms:modified xsi:type="dcterms:W3CDTF">2026-10-26T16:10:30Z</dcterms:modified>
</cp:coreProperties>
</file>

<file path=docProps/custom.xml><?xml version="1.0" encoding="utf-8"?>
<Properties xmlns="http://schemas.openxmlformats.org/officeDocument/2006/custom-properties" xmlns:vt="http://schemas.openxmlformats.org/officeDocument/2006/docPropsVTypes"/>
</file>