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Xb04b394d0b2a18c315f4ec305d780c9ed7ac1fa"/>
    <w:p>
      <w:pPr>
        <w:pStyle w:val="Heading2"/>
      </w:pPr>
      <w:r>
        <w:t xml:space="preserve">Traccia 1 – Efficacia, efficienza ed economicità nel «pubblico puro»</w:t>
      </w:r>
    </w:p>
    <w:p>
      <w:pPr>
        <w:pStyle w:val="FirstParagraph"/>
      </w:pPr>
      <w:r>
        <w:rPr>
          <w:bCs/>
          <w:b/>
        </w:rPr>
        <w:t xml:space="preserve">Domanda.</w:t>
      </w:r>
      <w:r>
        <w:t xml:space="preserve"> </w:t>
      </w:r>
      <w:r>
        <w:rPr>
          <w:iCs/>
          <w:i/>
        </w:rPr>
        <w:t xml:space="preserve">Il candidato descriva l’iter funzionale di un’amministrazione pubblica (bisogni – obiettivi – input – output – outcome) e collochi al suo interno i tre requisiti di efficacia, efficienza ed economicità, evidenziando come tali concetti debbano essere reinterpretati nel pubblico puro rispetto alle definizioni elaborate dall’economia aziendale per le imprese private. Indichi, per ciascun requisito, quale organo (politico o gestionale) ne è responsabile.</w:t>
      </w:r>
    </w:p>
    <w:p>
      <w:pPr>
        <w:pStyle w:val="BodyText"/>
      </w:pPr>
      <w:r>
        <w:rPr>
          <w:bCs/>
          <w:b/>
        </w:rPr>
        <w:t xml:space="preserve">Risposta.</w:t>
      </w:r>
    </w:p>
    <w:p>
      <w:pPr>
        <w:pStyle w:val="BodyText"/>
      </w:pPr>
      <w:r>
        <w:t xml:space="preserve">Per «pubblico puro» si intendono le aziende in cui sia il soggetto giuridico sia il soggetto economico sono pubblici, cioè le amministrazioni pubbliche e in particolare gli enti territoriali. A partire dagli anni Novanta tre fattori hanno spinto il legislatore a introdurre in queste amministrazioni le tecniche gestionali delle imprese private: il fallimento di un sistema fondato esclusivamente sui controlli di legittimità, la necessità di un’amministrazione di qualità al servizio della competitività delle imprese e un livello del deficit pubblico non più sostenibile. È il processo di aziendalizzazione, ispirato al new public management, che ha portato nelle amministrazioni la programmazione, i controlli manageriali e i concetti di efficacia, efficienza ed economicità, con l’ambizione di trasformare il burocrate in manager. Questi concetti, però, sono nati nell’economia aziendale con riferimento alle imprese e non possono essere trasferiti meccanicamente: vanno reinterpretati, e per farlo occorre scomporre l’iter funzionale dell’amministrazione.</w:t>
      </w:r>
    </w:p>
    <w:p>
      <w:pPr>
        <w:pStyle w:val="BodyText"/>
      </w:pPr>
      <w:r>
        <w:t xml:space="preserve">L’iter parte dai bisogni, perché l’amministrazione esiste per soddisfare i bisogni della collettività. Per soddisfarli l’organo di indirizzo politico fissa obiettivi strategici, che vengono poi scomposti in sub-obiettivi tattici e operativi assegnati all’organo gestionale; è la fase decisionale o di programmazione. Comincia quindi il processo di esecuzione, cioè la gestione, che va dall’acquisizione dei fattori produttivi, gli input, alla produzione di un output, che nella maggior parte dei casi è un servizio. Infine l’output viene trasferito alla collettività e produce un impatto sociale, l’outcome, che si auspica positivo. Il controllo manageriale deve misurare efficacia, efficienza ed economicità lungo tutto questo percorso.</w:t>
      </w:r>
    </w:p>
    <w:p>
      <w:pPr>
        <w:pStyle w:val="BodyText"/>
      </w:pPr>
      <w:r>
        <w:t xml:space="preserve">Nell’economia aziendale l’efficacia misura la rispondenza tra gli obiettivi programmati e i risultati ottenuti, e risponde alla domanda se si sta facendo ciò che ci si era proposti. Nel pubblico puro questo concetto unitario va scomposto in tre diverse efficacie. L’efficacia interna, o operativa, è il rapporto tra gli obiettivi fissati e gli output ottenuti; coincide con la definizione aziendale e ne è responsabile l’organo gestionale. L’efficacia esterna, detta anche utilità sociale, è il rapporto tra i bisogni della collettività e l’impatto sociale effettivamente prodotto: verifica se l’outcome soddisfa davvero i bisogni dei cittadini, e ne risponde l’organo politico. L’efficacia decisionale, infine, è la capacità dell’organo di indirizzo di fissare obiettivi idonei a soddisfare i bisogni; è la più difficile da misurare, perché obiettivi che dovrebbero essere di medio e lungo periodo sono spesso condizionati dalla ricerca del consenso nel breve, e anch’essa è responsabilità dell’organo politico. La ragione di questa reinterpretazione è profonda. Nell’impresa il bisogno è filtrato dal mercato attraverso il prezzo e la domanda, e il raggiungimento degli obiettivi coincide di fatto con il successo. Nel pubblico puro il mercato manca, e un ufficio può raggiungere tutti i propri obiettivi senza migliorare in alcun modo la condizione dei cittadini, se quegli obiettivi erano sbagliati in partenza.</w:t>
      </w:r>
    </w:p>
    <w:p>
      <w:pPr>
        <w:pStyle w:val="BodyText"/>
      </w:pPr>
      <w:r>
        <w:t xml:space="preserve">L’efficienza, al contrario, non cambia significato passando dal privato al pubblico. Riguarda il rapporto tra output e input e si compone di due elementi: il contenimento dei costi e il rendimento dei fattori produttivi, cioè la produttività fisico-tecnica data dalla quantità prodotta rispetto alla quantità di fattore impiegata. Un miglioramento del rendimento di un singolo fattore indica una maggiore efficienza solo a parità di condizioni, cioè se non peggiora la qualità del servizio e se non cresce più che proporzionalmente l’impiego o il costo degli altri fattori. Per questo è opportuno calcolare prima la produttività totale dei fattori e poi quella dei singoli fattori, sia nel tempo sia nel confronto con altre amministrazioni. L’efficienza si colloca nel passaggio dagli input agli output e ne è responsabile l’organo gestionale.</w:t>
      </w:r>
    </w:p>
    <w:p>
      <w:pPr>
        <w:pStyle w:val="BodyText"/>
      </w:pPr>
      <w:r>
        <w:t xml:space="preserve">L’economicità è il criterio che giudica la convenienza economico-finanziaria di un’iniziativa e richiede due equilibri. Il primo è l’equilibrio economico: nell’impresa i ricavi devono remunerare tutti i fattori produttivi, compreso il capitale proprio, secondo la condizione per cui i ricavi eguagliano i costi più la remunerazione congrua del capitale. Il secondo è l’equilibrio monetario, cioè la disponibilità di una potenza finanziaria adeguata a coprire costantemente lo sfasamento temporale tra entrate e uscite. Nel pubblico puro la formula deve essere modificata per tre ragioni. Accanto ai costi e ai ricavi esistono oneri e proventi; la finalità non è il lucro, e quindi scompare la remunerazione del capitale; ricavi e proventi spesso non bastano a coprire costi e oneri, e la differenza viene colmata da trasferimenti provenienti da amministrazioni di livello superiore. La condizione di economicità diventa quindi: ricavi più proventi più trasferimenti uguale a costi più oneri. Il lato dei costi e degli oneri, però, è spesso gonfiato da sprechi, e per questo nel pubblico l’economicità si intreccia strettamente con il problema dell’efficienza. La responsabilità dell’economicità, che si colloca nella fase di gestione, è condivisa: l’organo gestionale risponde dei costi e degli oneri, e quindi degli sprechi, oltre che della gestione di cassa; l’organo politico risponde dell’equilibrio complessivo, perché è a lui che spetta individuare e ripartire le risorse e dunque governare le entrate e i trasferimenti.</w:t>
      </w:r>
    </w:p>
    <w:p>
      <w:pPr>
        <w:pStyle w:val="BodyText"/>
      </w:pPr>
      <w:r>
        <w:t xml:space="preserve">Questa attribuzione delle responsabilità è possibile grazie al principio di distinzione tra struttura politica e struttura gestionale, introdotto per gli enti locali dalla legge n. 142 del 1990, esteso a tutte le amministrazioni dal decreto legislativo n. 29 del 1993 e oggi sancito dall’articolo 4 del decreto legislativo n. 165 del 2001, che la Corte costituzionale ha ricondotto all’articolo 97 della Costituzione. In sintesi, all’organo politico spettano l’efficacia decisionale, che lega i bisogni agli obiettivi, e l’efficacia esterna, che lega i bisogni all’outcome; all’organo gestionale spettano l’efficacia interna, che lega gli obiettivi agli output, e l’efficienza, che lega gli input agli output; l’economicità è infine una responsabilità condivisa, gestionale sul versante dei costi e politica sul versante delle risorse e dell’equilibrio complessivo.</w:t>
      </w:r>
    </w:p>
    <w:bookmarkEnd w:id="20"/>
    <w:bookmarkStart w:id="21" w:name="X8720c494eeabb06e9a260f57e0ba012bbc74a07"/>
    <w:p>
      <w:pPr>
        <w:pStyle w:val="Heading2"/>
      </w:pPr>
      <w:r>
        <w:t xml:space="preserve">Traccia 2 – Il D.Lgs. 29/1993: il principio della distinzione e il primo tentativo di introdurre i controlli manageriali</w:t>
      </w:r>
    </w:p>
    <w:p>
      <w:pPr>
        <w:pStyle w:val="FirstParagraph"/>
      </w:pPr>
      <w:r>
        <w:rPr>
          <w:bCs/>
          <w:b/>
        </w:rPr>
        <w:t xml:space="preserve">Domanda.</w:t>
      </w:r>
      <w:r>
        <w:t xml:space="preserve"> </w:t>
      </w:r>
      <w:r>
        <w:rPr>
          <w:iCs/>
          <w:i/>
        </w:rPr>
        <w:t xml:space="preserve">Il candidato illustri il contributo del D.Lgs. 29/1993 all’aziendalizzazione delle amministrazioni pubbliche, soffermandosi sul principio della distinzione tra potere di indirizzo politico-amministrativo e potere gestionale e sull’art. 20 («Verifica dei risultati»). Concluda con una valutazione critica dei limiti del decreto e delle ragioni per cui si è resa necessaria una legislazione ad hoc sui controlli.</w:t>
      </w:r>
    </w:p>
    <w:p>
      <w:pPr>
        <w:pStyle w:val="BodyText"/>
      </w:pPr>
      <w:r>
        <w:rPr>
          <w:bCs/>
          <w:b/>
        </w:rPr>
        <w:t xml:space="preserve">Risposta.</w:t>
      </w:r>
    </w:p>
    <w:p>
      <w:pPr>
        <w:pStyle w:val="BodyText"/>
      </w:pPr>
      <w:r>
        <w:t xml:space="preserve">Prima degli anni Novanta la programmazione e i controlli nelle amministrazioni pubbliche erano quasi esclusivamente formali e si concentravano sulla legittimità delle procedure, trascurando efficacia, efficienza ed economicità. Il decreto legislativo 3 febbraio 1993, n. 29 rappresenta il primo passo verso il management pubblico, ma ha un oggetto diverso: la razionalizzazione dell’organizzazione delle amministrazioni pubbliche e la revisione della disciplina del pubblico impiego. Le norme sull’aziendalizzazione vanno quindi cercate al suo interno; sono subordinate a quell’oggetto principale e mancano di sistematicità.</w:t>
      </w:r>
    </w:p>
    <w:p>
      <w:pPr>
        <w:pStyle w:val="BodyText"/>
      </w:pPr>
      <w:r>
        <w:t xml:space="preserve">Il decreto introduce comunque per la prima volta alcuni concetti aziendali. L’articolo 1 indica tra le finalità l’accrescimento dell’efficienza delle amministrazioni, anche in confronto con gli uffici degli altri Paesi della Comunità europea. Si tratta soprattutto dell’efficienza del fattore lavoro, perseguita attraverso il contenimento del costo del personale e una migliore utilizzazione delle risorse umane; il confronto con altre realtà serve a stimolare la competizione tra amministrazioni e, indirettamente, la competitività delle imprese. L’articolo 2 chiede di organizzare le amministrazioni secondo la funzionalità rispetto ai compiti e ai programmi, perseguendo efficienza, efficacia ed economicità: è il principio della sostanza, che distingue la gestione manageriale da quella burocratica. L’articolo 18 estende l’analisi dell’efficienza a tutta la gestione, chiedendo ai dirigenti generali di adottare misure per rilevare e analizzare costi e rendimenti.</w:t>
      </w:r>
    </w:p>
    <w:p>
      <w:pPr>
        <w:pStyle w:val="BodyText"/>
      </w:pPr>
      <w:r>
        <w:t xml:space="preserve">Il contributo più importante del decreto è però il principio della distinzione tra potere di indirizzo politico-amministrativo e potere gestionale, su cui si fonda la programmazione manageriale. Il potere di indirizzo spetta agli organi di governo, che definiscono obiettivi, priorità, piani, programmi e direttive generali e individuano e ripartiscono le risorse umane, materiali ed economico-finanziarie. L’organo politico definisce quindi sia i fini sia i mezzi: è il potere strategico. Lo strumento è la direttiva annuale con cui il Ministro, entro dieci giorni dalla pubblicazione della legge di bilancio e anche su proposta dei dirigenti generali, fissa gli obiettivi e assegna le risorse ai dirigenti preposti ai centri di responsabilità, avvalendosi di uffici di diretta collaborazione in posizione di staff. Il potere gestionale spetta invece ai dirigenti, che adottano gli atti, compresi quelli che impegnano l’amministrazione verso l’esterno, con autonomi poteri di spesa, di organizzazione e di controllo, e sono responsabili in via esclusiva dell’attività amministrativa, della gestione e dei relativi risultati. Ne risulta un processo di programmazione a cascata: il Ministro fissa obiettivi e risorse nella direttiva, i direttori generali li propongono, li attuano e li assegnano ai dirigenti, che a loro volta coordinano gli uffici. Il principio, anticipato per gli enti locali dalla legge n. 142 del 1990, trova fondamento nell’articolo 97 della Costituzione.</w:t>
      </w:r>
    </w:p>
    <w:p>
      <w:pPr>
        <w:pStyle w:val="BodyText"/>
      </w:pPr>
      <w:r>
        <w:t xml:space="preserve">L’articolo 20, intitolato «Verifica dei risultati», rappresenta il tentativo di introdurre i controlli manageriali, riferiti in particolare ai dirigenti. Il primo comma li dichiara responsabili del risultato dell’attività degli uffici, della realizzazione dei programmi e dei progetti in relazione agli obiettivi, dei rendimenti e dei risultati della gestione finanziaria, tecnica e amministrativa, delle decisioni organizzative e di gestione del personale. Letti in chiave aziendale, i primi due elementi riguardano l’efficacia interna, dell’ufficio e del singolo dirigente; il terzo, formulato in modo piuttosto confuso, riguarda il rendimento, che è una componente dell’efficienza, e forse l’economicità finanziaria; il quarto riguarda l’efficacia e la produttività del lavoro. Manca invece un richiamo esplicito alla responsabilità sui costi e sull’equilibrio economico. Il secondo comma istituisce i servizi di controllo interno o nuclei di valutazione. La congiunzione «o» ha diviso gli interpreti tra chi vi leggeva un unico organismo e chi due strutture distinte, ma un’analisi sistematica fa preferire la prima lettura. Questi servizi devono verificare, attraverso valutazioni comparative dei costi e dei rendimenti, la realizzazione degli obiettivi, la corretta ed economica gestione delle risorse, l’imparzialità e il buon andamento, cioè, in termini aziendali, efficienza, efficacia interna, economicità ed equità. Operano in autonomia e rispondono esclusivamente agli organi politici, quindi in posizione di staff, e sono composti da dirigenti generali ed esperti anche esterni. Determinano annualmente i parametri del controllo, mentre sarebbe stato preferibile mantenere stabili gli indicatori per poter analizzare l’andamento nel tempo.</w:t>
      </w:r>
    </w:p>
    <w:p>
      <w:pPr>
        <w:pStyle w:val="BodyText"/>
      </w:pPr>
      <w:r>
        <w:t xml:space="preserve">Il decreto ha quindi il merito storico di aver introdotto per la prima volta nella pubblica amministrazione i concetti di efficacia, efficienza ed economicità, insieme alla programmazione e al controllo manageriale. I suoi limiti, però, sono rilevanti. È nato per disciplinare il lavoro pubblico e non i controlli; i concetti aziendali vi sono spesso usati in modo confuso; non si può parlare di una vera aziendalizzazione; manca una disciplina chiara del controllo di gestione e manca un vero sistema di valutazione che ne indichi almeno i passaggi essenziali. A questi limiti normativi se ne aggiunge uno culturale: il personale delle amministrazioni, di formazione prevalentemente giuridico-formale, avrebbe richiesto una riconversione delle competenze che nessuna norma, da sola, poteva produrre. L’esperienza ha dimostrato che affrontare l’aziendalizzazione per via indiretta, all’interno di una legge che regola altro, non poteva dare risultati soddisfacenti. Serviva una legislazione specifica sulla programmazione e sui controlli. Questa arriverà con la legge delega n. 59 del 1997, che chiedeva un sistema informativo-statistico per il controllo di gestione, indicatori annuali di efficacia, efficienza ed economicità e un collegamento tra valutazione e allocazione delle risorse, e soprattutto con il decreto legislativo n. 286 del 1999 sui controlli interni, che sostituirà proprio l’articolo 20.</w:t>
      </w:r>
    </w:p>
    <w:bookmarkEnd w:id="21"/>
    <w:bookmarkStart w:id="22" w:name="Xe5be05562f66aef09ede04541a4dc7d8af1f2d5"/>
    <w:p>
      <w:pPr>
        <w:pStyle w:val="Heading2"/>
      </w:pPr>
      <w:r>
        <w:t xml:space="preserve">Traccia 3 – Il sistema dei controlli interni del D.Lgs. 286/1999 e la sua attuazione con le direttive del Presidente del Consiglio dei Ministri</w:t>
      </w:r>
    </w:p>
    <w:p>
      <w:pPr>
        <w:pStyle w:val="FirstParagraph"/>
      </w:pPr>
      <w:r>
        <w:rPr>
          <w:bCs/>
          <w:b/>
        </w:rPr>
        <w:t xml:space="preserve">Domanda.</w:t>
      </w:r>
      <w:r>
        <w:t xml:space="preserve"> </w:t>
      </w:r>
      <w:r>
        <w:rPr>
          <w:iCs/>
          <w:i/>
        </w:rPr>
        <w:t xml:space="preserve">Il candidato descriva il sistema dei controlli interni delineato dal D.Lgs. 286/1999, distinguendo le quattro tipologie previste dall’art. 1 e approfondendo il controllo di gestione (art. 4), la valutazione dei dirigenti (art. 5) e la valutazione e controllo strategico (art. 6). Illustri quindi come le direttive del Presidente del Consiglio dei Ministri (2000, 2001, 2002, 2004) hanno dato attuazione al decreto, con particolare riferimento ai requisiti minimi del controllo di gestione.</w:t>
      </w:r>
    </w:p>
    <w:p>
      <w:pPr>
        <w:pStyle w:val="BodyText"/>
      </w:pPr>
      <w:r>
        <w:rPr>
          <w:bCs/>
          <w:b/>
        </w:rPr>
        <w:t xml:space="preserve">Risposta.</w:t>
      </w:r>
    </w:p>
    <w:p>
      <w:pPr>
        <w:pStyle w:val="BodyText"/>
      </w:pPr>
      <w:r>
        <w:t xml:space="preserve">Il decreto legislativo n. 286 del 1999, adottato in attuazione della delega contenuta nella legge n. 59 del 1997, è finalmente una disciplina specifica dei controlli manageriali, pensata per dare sistematicità al controllo dell’efficacia e dell’efficienza dopo i limiti del decreto n. 29 del 1993. L’articolo 1 distingue quattro tipologie di controllo. Il controllo di regolarità amministrativa e contabile garantisce legittimità, regolarità e correttezza dell’azione amministrativa ed è un controllo di tipo legale-burocratico, non manageriale. Il controllo di gestione verifica efficacia, efficienza ed economicità per ottimizzare, anche con interventi correttivi tempestivi, il rapporto tra costi e risultati. La valutazione della dirigenza riguarda le prestazioni dei dirigenti e, più che un controllo autonomo, consiste nell’attribuire i risultati del controllo a una categoria di soggetti. La valutazione e il controllo strategico, infine, verificano l’adeguatezza delle scelte compiute nell’attuare piani e programmi di indirizzo politico, in termini di congruenza tra risultati e obiettivi. Il decreto fissa anche alcuni principi organizzativi: ciascun controllo è affidato a una struttura diversa; il controllo strategico fa capo a strutture che rispondono all’organo politico, mentre il controllo di gestione e la valutazione dei dirigenti fanno capo al vertice dell’unità organizzativa; la valutazione utilizza i risultati del controllo di gestione ma è svolta da soggetti diversi; i controlli devono essere integrati; la verifica di regolarità non può essere affidata alle strutture degli altri controlli; gli addetti al controllo riferiscono, ma non rispondono, agli organi cui sono preposti.</w:t>
      </w:r>
    </w:p>
    <w:p>
      <w:pPr>
        <w:pStyle w:val="BodyText"/>
      </w:pPr>
      <w:r>
        <w:t xml:space="preserve">Il controllo di gestione è disciplinato dall’articolo 4, che chiede a ogni amministrazione di definire sette elementi: le unità responsabili della progettazione e della gestione del controllo; le unità organizzative a livello delle quali misurare efficacia, efficienza ed economicità; le procedure per determinare gli obiettivi gestionali e i soggetti responsabili; l’insieme dei prodotti e delle finalità dell’azione amministrativa; le modalità di rilevazione e ripartizione dei costi; gli indicatori di efficacia, efficienza ed economicità; la frequenza delle rilevazioni. Alcuni di questi punti sono particolarmente delicati. L’unità di misurazione coincide di solito con il centro di responsabilità affidato a un dirigente di prima fascia, ma sarebbe opportuno scendere fino ai dirigenti di seconda fascia, perché i risultati del controllo servono a valutare tutti i dirigenti. La definizione degli obiettivi è cruciale, perché obiettivi confusi rendono impossibile qualsiasi responsabilizzazione. Sarebbe stato utile, inoltre, rendere gli indicatori omogenei tra amministrazioni e stabili nel tempo. Le amministrazioni centrali avrebbero dovuto stabilire le modalità operative entro tre mesi, ma salvo rare eccezioni non lo hanno fatto; per questo il decreto affida al Presidente del Consiglio il compito di fissare con direttiva i requisiti minimi del sistema.</w:t>
      </w:r>
    </w:p>
    <w:p>
      <w:pPr>
        <w:pStyle w:val="BodyText"/>
      </w:pPr>
      <w:r>
        <w:t xml:space="preserve">La valutazione dei dirigenti, prevista dall’articolo 5, ha per oggetto sia le prestazioni, misurate sulla base dei risultati del controllo di gestione, sia i comportamenti organizzativi, cioè la capacità di sviluppare le risorse professionali, umane e organizzative. Il dirigente viene quindi valutato tanto per come raggiunge gli obiettivi quanto per come gestisce le persone e le risorse. La valutazione ha cadenza annuale, ma può essere anticipata quando c’è il rischio grave di un risultato negativo; si articola in due istanze, un valutatore che conosce direttamente l’attività del valutato e un organo competente che approva; prevede la partecipazione del valutato, sia nella fase iniziale di negoziazione degli obiettivi sia nella valutazione finale, svolta in contraddittorio sulla base di una scheda di programmazione e valutazione. Gli esiti alimentano il sistema premiale o la responsabilità dirigenziale; nella prassi, però, obiettivi poco chiari hanno spesso prodotto premi distribuiti a pioggia.</w:t>
      </w:r>
    </w:p>
    <w:p>
      <w:pPr>
        <w:pStyle w:val="BodyText"/>
      </w:pPr>
      <w:r>
        <w:t xml:space="preserve">La valutazione e il controllo strategico, disciplinati dall’articolo 6, costituiscono il controllo «politico». Verificano l’adeguatezza degli obiettivi rispetto ai bisogni, cioè l’efficacia decisionale, e l’impatto sociale dei risultati, cioè l’efficacia esterna. Analizzano, in via preventiva e successiva, la congruenza tra le missioni affidate dalle norme, gli obiettivi, le scelte operative e le risorse, individuano i fattori ostativi e le responsabilità e propongono correttivi. Sono svolti dai servizi di controllo interno collocati negli uffici di diretta collaborazione del Ministro, che valutano anche i dirigenti di vertice e redigono almeno una relazione annuale, mentre al vertice del sistema il decreto poneva un comitato tecnico scientifico presso la Presidenza del Consiglio, poi soppresso. Lo stesso decreto conferma all’articolo 8 la direttiva annuale del Ministro come documento base della programmazione.</w:t>
      </w:r>
    </w:p>
    <w:p>
      <w:pPr>
        <w:pStyle w:val="BodyText"/>
      </w:pPr>
      <w:r>
        <w:t xml:space="preserve">Il decreto, però, era una cornice, e le direttive del Presidente del Consiglio, atti amministrativi e non legislativi, sono state il canale attraverso cui il modello è entrato concretamente nei Ministeri. La direttiva del 12 dicembre 2000 nasce dalla constatazione che le direttive ministeriali erano troppo disomogenee per consentire confronti e un vero controllo strategico; ne fissa quindi cinque contenuti obbligatori, cioè le missioni istituzionali, i processi di attuazione delle riforme, gli obiettivi dei centri di responsabilità, i progetti rilevanti e il ruolo dei servizi di controllo interno, e richiede obiettivi significativi, misurabili e attribuibili a un responsabile. La direttiva del 15 novembre 2001 individua le condizioni di efficacia della direttiva ministeriale, che deve essere prescrittiva, breve, focalizzata su pochi obiettivi qualificanti, condivisa con i dirigenti e coerente con le risorse; prevede inoltre un monitoraggio con indicatori, frequenze e responsabili definiti, impone di attivare la valutazione dei dirigenti e attribuisce compiti specifici ai servizi di controllo interno. La direttiva dell’8 novembre 2002 sposta l’attenzione dal documento al processo di programmazione strategica, che parte dalle priorità politiche del Governo, le comunica ai centri di responsabilità, raccoglie proposte di obiettivi strategici e operativi articolati in piani d’azione e si conclude con l’emanazione della direttiva; introduce rapporti quadrimestrali dei servizi di controllo interno e i criteri di coerenza esterna, tra priorità e obiettivi, e di coerenza interna, tra i diversi obiettivi, prendendo atto che la valutazione dei dirigenti era ancora largamente inattuata.</w:t>
      </w:r>
    </w:p>
    <w:p>
      <w:pPr>
        <w:pStyle w:val="BodyText"/>
      </w:pPr>
      <w:r>
        <w:t xml:space="preserve">La direttiva del 27 dicembre 2004 dà infine attuazione all’articolo 4, fissando i requisiti minimi del controllo di gestione, con lo scopo di monitorare efficienza ed efficacia, responsabilizzare i dirigenti e consentire confronti tra amministrazioni. Dei sette elementi previsti dal decreto, tre diventano requisiti minimi obbligatori, mentre per gli altri vengono dati suggerimenti metodologici. Il primo riguarda le unità di misurazione: le informazioni devono essere raccolte per linee di attività, cioè per insiemi omogenei di operazioni, confrontabili anche tra Ministeri organizzati in modo diverso. Il secondo riguarda la rilevazione dei costi: devono essere rilevate tutte le componenti del costo del personale, che è la voce dominante, a consuntivo e attraverso il sistema informativo nazionale; si rilevano solo i costi diretti e non il costo pieno, in modo che il dirigente risponda soltanto dei costi che effettivamente governa e si evitino criteri arbitrari di ripartizione dei costi comuni. Il terzo riguarda la frequenza: la rilevazione deve essere almeno semestrale, raccordata con i rapporti periodici dei servizi di controllo interno. Nel complesso, le direttive hanno costruito un nucleo di principi destinato a durare, come i pochi obiettivi qualificanti, la coerenza esterna e interna e il calcolo dei costi diretti per linea di attività. Essendo però prive di sanzioni, sono rimaste in larga parte inattuate, e solo il decreto legislativo n. 150 del 2009 legherà l’inadempimento a conseguenze concrete.</w:t>
      </w:r>
    </w:p>
    <w:bookmarkEnd w:id="22"/>
    <w:bookmarkStart w:id="23" w:name="X426bd24cc8382ed555fbb5677c1958c4a67a5b8"/>
    <w:p>
      <w:pPr>
        <w:pStyle w:val="Heading2"/>
      </w:pPr>
      <w:r>
        <w:t xml:space="preserve">Traccia 4 – La valutazione della performance: dalla riforma Brunetta (D.Lgs. 150/2009) alla riforma Madia (D.Lgs. 74/2017) e oltre</w:t>
      </w:r>
    </w:p>
    <w:p>
      <w:pPr>
        <w:pStyle w:val="FirstParagraph"/>
      </w:pPr>
      <w:r>
        <w:rPr>
          <w:bCs/>
          <w:b/>
        </w:rPr>
        <w:t xml:space="preserve">Domanda.</w:t>
      </w:r>
      <w:r>
        <w:t xml:space="preserve"> </w:t>
      </w:r>
      <w:r>
        <w:rPr>
          <w:iCs/>
          <w:i/>
        </w:rPr>
        <w:t xml:space="preserve">Il candidato illustri il ciclo di gestione della performance introdotto dal D.Lgs. 150/2009 e i suoi principali strumenti (Sistema di misurazione e valutazione, Piano e Relazione sulla performance, OIV, CiVIT, fasce di merito, trasparenza). Illustri quindi i fattori che, nel periodo 2009-2017, hanno condizionato l’attuazione della riforma Brunetta e le principali novità introdotte dal D.Lgs. 74/2017, concludendo con un cenno al PIAO e alla legge 119/2026 e con una riflessione personale sull’alternanza, nel tempo, tra impostazioni più prescrittive e impostazioni più flessibili del sistema di valutazione.</w:t>
      </w:r>
    </w:p>
    <w:p>
      <w:pPr>
        <w:pStyle w:val="BodyText"/>
      </w:pPr>
      <w:r>
        <w:rPr>
          <w:bCs/>
          <w:b/>
        </w:rPr>
        <w:t xml:space="preserve">Risposta.</w:t>
      </w:r>
    </w:p>
    <w:p>
      <w:pPr>
        <w:pStyle w:val="BodyText"/>
      </w:pPr>
      <w:r>
        <w:t xml:space="preserve">Il decreto n. 29 del 1993, il decreto n. 286 del 1999 e le direttive del Presidente del Consiglio avevano introdotto la programmazione e il controllo nelle amministrazioni, ma la pratica era rimasta molto carente. Mancavano competenze manageriali e sistemi di controllo di gestione funzionanti, i premi venivano distribuiti a pioggia, la trasparenza e il coordinamento erano scarsi. La valutazione si era ridotta a un rito, fatto di obiettivi generici, giudizi uniformemente positivi e nuclei di valutazione poco indipendenti. La legge delega n. 15 del 2009 e il decreto legislativo n. 150 del 2009, noto come riforma Brunetta, nascono dalla convinzione che servissero regole rigide, obblighi precisi e sanzioni, attorno a tre parole chiave: efficienza, merito e trasparenza.</w:t>
      </w:r>
    </w:p>
    <w:p>
      <w:pPr>
        <w:pStyle w:val="BodyText"/>
      </w:pPr>
      <w:r>
        <w:t xml:space="preserve">Il cuore della riforma è il ciclo di gestione della performance, che riprende lo schema aziendale della gestione per obiettivi. Comincia con la definizione degli obiettivi, dei valori attesi e degli indicatori; prosegue con il collegamento tra obiettivi e risorse, il monitoraggio in corso d’esercizio con eventuali interventi correttivi, la misurazione e valutazione della performance organizzativa e individuale, l’utilizzo di sistemi premianti secondo il merito; si chiude con la rendicontazione dei risultati agli organi politici, ai cittadini e agli utenti. Gli strumenti del ciclo sono numerosi. Il Sistema di misurazione e valutazione definisce fasi, soggetti e procedure per valutare sia la performance organizzativa sia quella individuale. Il Piano della performance, da adottare entro il 31 gennaio, è un documento triennale che contiene obiettivi strategici e operativi e i relativi indicatori; nei Ministeri include la direttiva del Ministro, e la sua mancata adozione comporta il divieto di erogare premi ai dirigenti responsabili e il blocco di assunzioni e consulenze. La Relazione sulla performance, da adottare entro il 30 giugno, è il documento consuntivo approvato dall’organo politico e validato dall’organismo indipendente di valutazione. Gli organismi indipendenti di valutazione sostituiscono i vecchi nuclei, validano la Relazione e propongono la valutazione dei dirigenti di vertice. La CiVIT era la commissione indipendente incaricata di emanare linee guida e vigilare sul sistema; nel 2013 è diventata l’Autorità nazionale anticorruzione e nel 2014 le sue funzioni in materia di performance sono passate al Dipartimento della funzione pubblica. Le fasce di merito imponevano una distribuzione forzata del personale, con un quarto nella fascia alta, metà in quella intermedia e un quarto in quella bassa; alla fascia alta andava metà delle risorse premiali, a quella bassa nulla. La trasparenza, infine, era intesa come accessibilità totale delle informazioni, con un programma triennale e la pubblicazione di piani, valutazioni, retribuzioni e premi.</w:t>
      </w:r>
    </w:p>
    <w:p>
      <w:pPr>
        <w:pStyle w:val="BodyText"/>
      </w:pPr>
      <w:r>
        <w:t xml:space="preserve">L’attuazione della riforma tra il 2009 e il 2017 è stata condizionata da diversi fattori. Il blocco della contrattazione collettiva tra il 2010 e il 2015 ha privato il sistema delle risorse necessarie, lasciando premi e fasce sulla carta. Molte amministrazioni hanno vissuto il ciclo come un adempimento formale, producendo piani di centinaia di pagine con obiettivi generici e indicatori facili da raggiungere. La rigidità delle fasce di merito, percepite come una lotteria e contestate dai sindacati, ne ha provocato il congelamento già nel 2011, e non sono mai state applicate. Il Piano della performance è rimasto scollegato dal bilancio, con obiettivi privi di risorse e risorse prive di obiettivi. Il sistema nazionale, infine, si è rivelato debole, con tre diverse regie in pochi anni e organismi di valutazione di qualità molto disomogenea. Una prima correzione è arrivata nel 2014, con il trasferimento della regia alla Funzione pubblica e l’istituzione di un elenco nazionale dei componenti degli organismi indipendenti di valutazione.</w:t>
      </w:r>
    </w:p>
    <w:p>
      <w:pPr>
        <w:pStyle w:val="BodyText"/>
      </w:pPr>
      <w:r>
        <w:t xml:space="preserve">La riforma Madia, attuata con il decreto legislativo n. 74 del 2017, cambia tono: l’obiettivo diventa semplificare, integrare, distinguere la valutazione dell’organizzazione da quella dell’individuo e coinvolgere i cittadini. Le fasce di merito vengono abrogate e la differenziazione dei giudizi viene affidata alla contrattazione collettiva. Il ciclo della performance viene collegato alla programmazione finanziaria e di bilancio, con obiettivi generali fissati a livello nazionale e obiettivi specifici di ciascun ente. Gli organismi indipendenti di valutazione vengono rafforzati, con un parere vincolante sul Sistema di misurazione e l’accesso a tutti i dati. La performance viene integrata con l’anticorruzione e la trasparenza, che confluisce nella disciplina generale del 2013. Gli obiettivi devono essere orientati ai risultati per i cittadini; i documenti vengono semplificati, tanto che negli enti locali il Piano confluisce nel piano esecutivo di gestione; nella valutazione dei dirigenti assume un peso prevalente la performance della struttura diretta, insieme alla capacità di differenziare i giudizi sui collaboratori; viene introdotta la valutazione partecipativa da parte di cittadini e utenti. Dal 2022 il Piano della performance è confluito nel Piano integrato di attività e organizzazione, un unico documento triennale che assorbe anche la prevenzione della corruzione, i fabbisogni di personale, la formazione, le azioni positive e il lavoro agile, e in cui gli obiettivi devono derivare dal concetto di valore pubblico. Le critiche riguardano la mole del documento, la scadenza del 31 gennaio che spesso precede l’approvazione del bilancio e una sostanza in molti casi invariata. La legge n. 119 del 2026 ha poi fissato tetti alle valutazioni massime, introdotto la valutazione delle caratteristiche trasversali accanto a quella per obiettivi, reso progressiva la retribuzione di risultato, imposto di assegnare gli obiettivi entro il primo trimestre in correlazione con le risorse e reso non vincolante il parere degli organismi di valutazione, delegando il Governo a riformarli.</w:t>
      </w:r>
    </w:p>
    <w:p>
      <w:pPr>
        <w:pStyle w:val="BodyText"/>
      </w:pPr>
      <w:r>
        <w:t xml:space="preserve">Ripercorrendo questi trent’anni, credo che l’alternanza tra rigidità e flessibilità sia meno contraddittoria di quanto appaia, perché ogni riforma ha corretto l’eccesso della precedente. Il 2009 ha imposto regole uniformi perché la libertà degli anni precedenti aveva prodotto valutazioni tutte uguali; il 2017 ha allentato i vincoli perché quelle regole, come le fasce di merito, si erano rivelate inapplicabili; il 2026 torna a fissare tetti perché la flessibilità ha riportato giudizi uniformemente eccellenti. A mio avviso, però, il pendolo non si fermerà finché il dibattito resterà concentrato sulla forma delle regole. Né una percentuale imposta per legge né un principio affidato ai contratti possono funzionare se mancano tre condizioni: obiettivi davvero significativi e accompagnati dalle risorse necessarie, valutatori competenti e indipendenti dal valutato, dati affidabili prodotti da un controllo di gestione che funzioni. Dove queste condizioni esistono, anche un sistema flessibile riesce a differenziare; dove mancano, anche il sistema più rigido si riduce a un adempimento. Per questo guardo con una certa preoccupazione al ridimensionamento degli organismi indipendenti di valutazione, perché rendere più stringenti le regole sui punteggi e più debole chi ne garantisce la correttezza rischia di ripetere l’errore del 2009. La leva più promettente mi sembra invece quella meno sfruttata, cioè la valutazione da parte dei cittadini e degli utenti, che misura ciò che conta davvero e che nessuna amministrazione può addomesticare. In definitiva, la valutazione dovrebbe essere vissuta non come uno strumento per punire o premiare, ma come il modo in cui un’amministrazione impara a lavorare meglio.</w:t>
      </w:r>
    </w:p>
    <w:bookmarkEnd w:id="23"/>
    <w:bookmarkStart w:id="24" w:name="X8a184621be57270aea06dfed056e50fa3355689"/>
    <w:p>
      <w:pPr>
        <w:pStyle w:val="Heading2"/>
      </w:pPr>
      <w:r>
        <w:t xml:space="preserve">Traccia 5 – La programmazione manageriale nei ministeri: dalla direttiva annuale del Ministro al Piano della performance e al PIAO</w:t>
      </w:r>
    </w:p>
    <w:p>
      <w:pPr>
        <w:pStyle w:val="FirstParagraph"/>
      </w:pPr>
      <w:r>
        <w:rPr>
          <w:bCs/>
          <w:b/>
        </w:rPr>
        <w:t xml:space="preserve">Domanda.</w:t>
      </w:r>
      <w:r>
        <w:t xml:space="preserve"> </w:t>
      </w:r>
      <w:r>
        <w:rPr>
          <w:iCs/>
          <w:i/>
        </w:rPr>
        <w:t xml:space="preserve">Il candidato illustri come si è evoluto il documento di programmazione manageriale delle amministrazioni centrali dello Stato: la direttiva annuale del Ministro introdotta dall’art. 14 del D.Lgs. 29/1993 e ridefinita dall’art. 8 del D.Lgs. 286/1999, i contenuti e le condizioni di efficacia richiesti dalle direttive del Presidente del Consiglio (2000, 2001, 2002), il Piano della performance del D.Lgs. 150/2009 e le sue successive trasformazioni (integrazione con la programmazione finanziaria nel 2017, sezione del PIAO dal 2022). Si soffermi sulle caratteristiche che gli obiettivi devono possedere secondo le diverse fonti e sul problema, ricorrente, dello scollamento tra obiettivi e risorse.</w:t>
      </w:r>
    </w:p>
    <w:p>
      <w:pPr>
        <w:pStyle w:val="BodyText"/>
      </w:pPr>
      <w:r>
        <w:rPr>
          <w:bCs/>
          <w:b/>
        </w:rPr>
        <w:t xml:space="preserve">Risposta.</w:t>
      </w:r>
    </w:p>
    <w:p>
      <w:pPr>
        <w:pStyle w:val="BodyText"/>
      </w:pPr>
      <w:r>
        <w:t xml:space="preserve">La programmazione è il primo strumento dell’aziendalizzazione: in ogni azienda un sistema di obiettivi gerarchicamente collegati, dalla strategia all’operatività, traduce i bisogni in decisioni. Nelle amministrazioni pubbliche il principio di distinzione tra politica e gestione richiede due elementi: un atto con cui il vertice politico comunica obiettivi e risorse alla dirigenza e un sistema che ne verifichi l’attuazione. Nelle amministrazioni centrali dello Stato questo atto è nato come direttiva annuale del Ministro, introdotta dall’articolo 14 del decreto legislativo n. 29 del 1993 e oggi contenuta nell’articolo 14 del decreto legislativo n. 165 del 2001. Ogni anno, entro dieci giorni dalla pubblicazione della legge di bilancio e anche su proposta dei dirigenti generali, il Ministro definisce obiettivi, priorità, piani e programmi, emana le direttive generali per l’attività amministrativa e la gestione e assegna le risorse ai dirigenti preposti ai centri di responsabilità. Fini e mezzi sono quindi riuniti nello stesso atto, adottato con il supporto degli uffici di diretta collaborazione.</w:t>
      </w:r>
    </w:p>
    <w:p>
      <w:pPr>
        <w:pStyle w:val="BodyText"/>
      </w:pPr>
      <w:r>
        <w:t xml:space="preserve">Il decreto legislativo n. 286 del 1999, all’articolo 8, ha ridefinito la direttiva come documento base per la programmazione e la definizione degli obiettivi delle unità dirigenziali di primo livello. In coerenza con gli indirizzi del Presidente del Consiglio, essa identifica i principali risultati da realizzare, collegandoli agli indicatori della documentazione di bilancio per centri di responsabilità, determina gli obiettivi di miglioramento dell’attività ordinaria e indica progetti speciali e scadenze intermedie. Con la riforma del bilancio dello Stato della fine degli anni Novanta, il centro di responsabilità amministrativa è diventato il punto in cui coincidono l’unità di programmazione, l’unità di bilancio e l’unità di responsabilità.</w:t>
      </w:r>
    </w:p>
    <w:p>
      <w:pPr>
        <w:pStyle w:val="BodyText"/>
      </w:pPr>
      <w:r>
        <w:t xml:space="preserve">Le direttive del Presidente del Consiglio hanno poi precisato contenuti e condizioni di efficacia del documento. Quella del 2000, per superare la forte disomogeneità delle direttive ministeriali, ne ha fissato cinque contenuti obbligatori, cioè missioni istituzionali, processi di riforma, obiettivi dei centri di responsabilità, progetti rilevanti e ruolo dei servizi di controllo interno, e ha richiesto obiettivi significativi, misurabili e attribuibili a un responsabile. Quella del 2001 ha assegnato alla direttiva due funzioni, trasmettere le priorità del Governo e introdurre sistemi di programmazione e controllo, e ne ha individuato le condizioni di efficacia: deve essere prescrittiva, breve e concentrata su pochi obiettivi qualificanti, condivisa con i dirigenti e coerente con le risorse dei centri di responsabilità, e deve prevedere obiettivi generali e programmi attuativi, obiettivi di funzionamento e un monitoraggio fondato su indicatori oggettivi. Quella del 2002 ha spostato l’attenzione sul processo di programmazione strategica, che parte dalle priorità politiche del Governo e arriva, attraverso obiettivi strategici e operativi, a piani d’azione con risultati attesi, soggetti, tempi, risorse e indicatori, e ha introdotto i criteri di coerenza esterna, tra priorità e obiettivi, e di coerenza interna, tra obiettivi privi di contraddizioni e sovrapposizioni.</w:t>
      </w:r>
    </w:p>
    <w:p>
      <w:pPr>
        <w:pStyle w:val="BodyText"/>
      </w:pPr>
      <w:r>
        <w:t xml:space="preserve">Queste direttive erano però prive di sanzioni. La riforma Brunetta del 2009 ha introdotto il Piano della performance, un documento triennale da adottare entro il 31 gennaio, che contiene indirizzi, obiettivi strategici e operativi, indicatori e obiettivi assegnati ai dirigenti e che, per le amministrazioni dello Stato, include la direttiva annuale del Ministro. Il collegamento tra obiettivi e risorse diventa una fase formale del ciclo della performance, e la mancata adozione del Piano blocca premi, assunzioni e consulenze. Gli obiettivi sono triennali ma articolati in sub-obiettivi annuali, secondo una logica di programmazione scorrevole. La riforma Madia del 2017 ha stabilito che il ciclo si svolga in coerenza con quello della programmazione finanziaria e di bilancio, distinguendo obiettivi generali, fissati a livello nazionale per le priorità del Paese, e obiettivi specifici di ciascuna amministrazione; l’idea più duratura di questa stagione è che gli obiettivi debbano stare dentro il bilancio. Dal 2022 il Piano è diventato una sottosezione del Piano integrato di attività e organizzazione, nella sezione dedicata a valore pubblico, performance e anticorruzione, e gli obiettivi devono derivare dal valore pubblico e collegarsi alla prevenzione della corruzione e alla programmazione del personale. La legge n. 119 del 2026 ha infine richiesto che gli obiettivi siano assegnati entro il primo trimestre, improntati al massimo grado di oggettività e correlati alle risorse.</w:t>
      </w:r>
    </w:p>
    <w:p>
      <w:pPr>
        <w:pStyle w:val="BodyText"/>
      </w:pPr>
      <w:r>
        <w:t xml:space="preserve">Le caratteristiche richieste agli obiettivi si sono così arricchite nel tempo, pur mantenendo un nucleo comune. Si è partiti da obiettivi significativi, misurabili e attribuibili a un responsabile; si è aggiunto che devono essere pochi, qualificanti, condivisi e coerenti con le risorse, con indicatori oggettivi; si è chiesto che si inseriscano in una gerarchia coerente che va dalle priorità politiche ai piani d’azione. Il decreto del 2009 li vuole rilevanti e pertinenti rispetto ai bisogni della collettività, specifici e misurabili, tali da determinare un miglioramento della qualità dei servizi, riferiti a un arco temporale determinato, commisurati a standard di riferimento, confrontabili nel tempo e correlati alla quantità e qualità delle risorse disponibili. Le riforme successive aggiungono la coerenza con il bilancio, l’orientamento ai risultati per i cittadini, la derivazione dal valore pubblico e l’oggettività. Nella prassi questi criteri vengono riassunti nella formula degli obiettivi specifici, misurabili, raggiungibili, rilevanti e definiti nel tempo.</w:t>
      </w:r>
    </w:p>
    <w:p>
      <w:pPr>
        <w:pStyle w:val="BodyText"/>
      </w:pPr>
      <w:r>
        <w:t xml:space="preserve">Il problema dello scollamento tra obiettivi e risorse è il filo rosso di trent’anni di riforme. Il decreto del 1993 riuniva già fini e mezzi nella direttiva; la direttiva del 2001 avvertiva che chiedere risultati senza fornire i mezzi svuota di senso la valutazione; il decreto del 2009 ha fatto del collegamento una fase del ciclo, eppure fino al 2017 il Piano della performance è vissuto separato dal bilancio; la riforma del 2017 ha agganciato il ciclo al bilancio e il nuovo piano integrato ha unificato i documenti, ma negli enti la scadenza del 31 gennaio precede spesso l’approvazione del bilancio. Le cause sono in parte temporali, perché i documenti vengono adottati in momenti diversi, e in parte strutturali: gli obiettivi sono scritti dalla stessa amministrazione che verrà valutata, manca spesso una contabilità analitica per centri di costo e la spesa è in larga misura rigida, dominata dal costo del personale. I rimedi possibili sono esprimere gli obiettivi nella stessa unità di riferimento del bilancio, cioè il centro di responsabilità, dotarsi di un controllo di gestione per linee di attività fondato sui costi diretti e svolgere un monitoraggio infrannuale che consenta di riallineare obiettivi e risorse. Senza questo raccordo il documento di programmazione, qualunque nome assuma, rischia di restare un semplice adempimento.</w:t>
      </w:r>
    </w:p>
    <w:bookmarkEnd w:id="24"/>
    <w:sectPr>
      <w:pgMar w:left="1134" w:right="1134" w:top="1134" w:bottom="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after="80" w:before="0"/>
    </w:pPr>
    <w:rPr>
      <w:sz w:val="22"/>
    </w:rPr>
  </w:style>
  <w:style w:styleId="BodyText" w:type="paragraph">
    <w:name w:val="Body Text"/>
    <w:basedOn w:val="Normal"/>
    <w:link w:val="BodyTextChar"/>
    <w:pPr>
      <w:spacing w:after="80" w:before="0"/>
    </w:pPr>
    <w:qFormat/>
    <w:rPr>
      <w:sz w:val="22"/>
    </w:rPr>
  </w:style>
  <w:style w:customStyle="1" w:styleId="FirstParagraph" w:type="paragraph">
    <w:name w:val="First Paragraph"/>
    <w:basedOn w:val="BodyText"/>
    <w:next w:val="BodyText"/>
    <w:qFormat/>
    <w:pPr>
      <w:spacing w:after="80" w:before="0"/>
    </w:pPr>
    <w:rPr>
      <w:sz w:val="22"/>
    </w:rPr>
  </w:style>
  <w:style w:customStyle="1" w:styleId="Compact" w:type="paragraph">
    <w:name w:val="Compact"/>
    <w:basedOn w:val="BodyText"/>
    <w:qFormat/>
    <w:pPr>
      <w:spacing w:after="80" w:before="0"/>
    </w:pPr>
    <w:rPr>
      <w:sz w:val="22"/>
    </w:r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pageBreakBefore/>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80" w:before="0"/>
      <w:ind w:firstLine="0" w:left="480" w:right="480"/>
    </w:pPr>
    <w:rPr>
      <w:sz w:val="22"/>
    </w:r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2026-10-26T16:10:31Z</dcterms:created>
  <dcterms:modified xsi:type="dcterms:W3CDTF">2026-10-26T16:10:31Z</dcterms:modified>
</cp:coreProperties>
</file>

<file path=docProps/custom.xml><?xml version="1.0" encoding="utf-8"?>
<Properties xmlns="http://schemas.openxmlformats.org/officeDocument/2006/custom-properties" xmlns:vt="http://schemas.openxmlformats.org/officeDocument/2006/docPropsVTypes"/>
</file>