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Guion de la defensa final (6 minutos)</w:t>
      </w:r>
    </w:p>
    <w:p>
      <w:pPr>
        <w:spacing w:after="200"/>
      </w:pPr>
      <w:r>
        <w:rPr>
          <w:color w:val="5A6478"/>
        </w:rPr>
        <w:t xml:space="preserve">SGAI · Equipo DPA · Carolina Aguilar · Módulo 7 · Tres partes de 2 minutos</w:t>
      </w:r>
    </w:p>
    <w:p>
      <w:pPr>
        <w:pStyle w:val="Heading1"/>
      </w:pPr>
      <w:r>
        <w:t xml:space="preserve">Cómo usar este guion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presentación tiene 5 diapositivas y el mismo guion en las notas del orador. Hablas de corrido; lo que va en </w:t>
      </w:r>
      <w:r>
        <w:rPr>
          <w:b/>
          <w:bCs/>
        </w:rPr>
        <w:t xml:space="preserve">negrita</w:t>
      </w:r>
      <w:r>
        <w:t xml:space="preserve"> es la idea que no puedes olvidar.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parte dura 2 minutos: unas 230 a 260 palabras a ritmo normal. Ensaya con cronómetro.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Frase ancla de toda la defensa: </w:t>
      </w:r>
      <w:r>
        <w:rPr>
          <w:b/>
          <w:bCs/>
        </w:rPr>
        <w:t xml:space="preserve">determinista = hace lo que debe · red teaming = no hace lo que no debe · evals = cuánto de bien lo hace</w:t>
      </w:r>
      <w: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6606"/>
      </w:tblGrid>
      <w:tr>
        <w:trPr>
          <w:tblHeader/>
        </w:trPr>
        <w:tc>
          <w:tcPr>
            <w:tcW w:type="dxa" w:w="1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Diapositiva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0:00 a 0:30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1. Pirámide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Presentas el proyecto y hasta dónde llegó la pirámide.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0:30 a 2:00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2. Base determinista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Unit, integración, contrato y E2E: qué generó cada agente y qué corregiste.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2:00 a 4:00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3. Red teaming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 ataque bien contado (AI-SEC-001) y el resumen de los otros.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4:00 a 5:45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4. Evals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Dataset, juez, </w:t>
            </w:r>
            <w:r>
              <w:rPr>
                <w:b/>
                <w:bCs/>
                <w:sz w:val="19"/>
                <w:szCs w:val="19"/>
              </w:rPr>
              <w:t xml:space="preserve">ejecutas el comando</w:t>
            </w:r>
            <w:r>
              <w:rPr>
                <w:sz w:val="19"/>
                <w:szCs w:val="19"/>
              </w:rPr>
              <w:t xml:space="preserve">, qué corregiste en v3.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5:45 a 6:00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5. Cierre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triángulo completo y el siguiente paso.</w:t>
            </w:r>
          </w:p>
        </w:tc>
      </w:tr>
    </w:tbl>
    <w:p>
      <w:pPr>
        <w:pStyle w:val="Heading1"/>
      </w:pPr>
      <w:r>
        <w:t xml:space="preserve">Parte 1 · Base determinista (2 min)</w:t>
      </w:r>
    </w:p>
    <w:p>
      <w:pPr>
        <w:pStyle w:val="Heading2"/>
      </w:pPr>
      <w:r>
        <w:t xml:space="preserve">Diapositiva 1 · Pirámide (30 s)</w:t>
      </w:r>
    </w:p>
    <w:p>
      <w:pPr>
        <w:spacing w:after="100"/>
      </w:pPr>
      <w:r>
        <w:t xml:space="preserve">«Buenas. Soy Carolina Aguilar, del equipo DPA. Nuestro proyecto es </w:t>
      </w:r>
      <w:r>
        <w:rPr>
          <w:b/>
          <w:bCs/>
        </w:rPr>
        <w:t xml:space="preserve">SGAI</w:t>
      </w:r>
      <w:r>
        <w:t xml:space="preserve">, un sistema de gestión académica con asistentes de inteligencia artificial. Lo probamos con la pirámide ampliada, </w:t>
      </w:r>
      <w:r>
        <w:rPr>
          <w:b/>
          <w:bCs/>
        </w:rPr>
        <w:t xml:space="preserve">de abajo hacia arriba</w:t>
      </w:r>
      <w:r>
        <w:t xml:space="preserve">, y llegamos hasta las evals de IA offline. Lo único que no hicimos es el monitoreo online, que no era requisito. Abajo está lo determinista, en verde; después el red teaming, en rojo; y arriba las evals.»</w:t>
      </w:r>
    </w:p>
    <w:p>
      <w:pPr>
        <w:pStyle w:val="Heading2"/>
      </w:pPr>
      <w:r>
        <w:t xml:space="preserve">Diapositiva 2 · Base determinista (1 min 30 s)</w:t>
      </w:r>
    </w:p>
    <w:p>
      <w:pPr>
        <w:spacing w:after="100"/>
      </w:pPr>
      <w:r>
        <w:t xml:space="preserve">«Empezamos con un </w:t>
      </w:r>
      <w:r>
        <w:rPr>
          <w:b/>
          <w:bCs/>
        </w:rPr>
        <w:t xml:space="preserve">mapa de pruebas</w:t>
      </w:r>
      <w:r>
        <w:t xml:space="preserve"> que separó 15 partes del producto: 9 son código determinista y 6 dependen del modelo. Sobre lo determinista trabajamos con agentes de Claude Code.»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</w:t>
      </w:r>
      <w:r>
        <w:rPr>
          <w:b/>
          <w:bCs/>
        </w:rPr>
        <w:t xml:space="preserve">Unit:</w:t>
      </w:r>
      <w:r>
        <w:t xml:space="preserve"> teníamos 61 tests; el agente escribió 21 más, descartamos 2 duplicados sin borrarlos y la cobertura subió de 52 a 62 %.»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</w:t>
      </w:r>
      <w:r>
        <w:rPr>
          <w:b/>
          <w:bCs/>
        </w:rPr>
        <w:t xml:space="preserve">Integración:</w:t>
      </w:r>
      <w:r>
        <w:t xml:space="preserve"> 2 tests con piezas reales, un db.json en disco y la similitud coseno real; solo se falsea la red.»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</w:t>
      </w:r>
      <w:r>
        <w:rPr>
          <w:b/>
          <w:bCs/>
        </w:rPr>
        <w:t xml:space="preserve">Contrato:</w:t>
      </w:r>
      <w:r>
        <w:t xml:space="preserve"> 4 tests con JSON Schema que validan la forma de la respuesta y nunca el texto del modelo.»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</w:t>
      </w:r>
      <w:r>
        <w:rPr>
          <w:b/>
          <w:bCs/>
        </w:rPr>
        <w:t xml:space="preserve">E2E:</w:t>
      </w:r>
      <w:r>
        <w:t xml:space="preserve"> los agentes Planner y Generator de Playwright propusieron 25 casos; descartamos 5 por esperas fijas o umbrales arbitrarios, corregimos 4 que fijaban texto exacto, agregamos 5 anclas al producto y quedaron </w:t>
      </w:r>
      <w:r>
        <w:rPr>
          <w:b/>
          <w:bCs/>
        </w:rPr>
        <w:t xml:space="preserve">19 de 19 en verde</w:t>
      </w:r>
      <w:r>
        <w:t xml:space="preserve">.»</w:t>
      </w:r>
    </w:p>
    <w:p>
      <w:pPr>
        <w:spacing w:after="100" w:before="80"/>
      </w:pPr>
      <w:r>
        <w:t xml:space="preserve">Transición: «Eso prueba que el sistema hace lo que debe. Veamos lo que no debe hacer.»</w:t>
      </w:r>
    </w:p>
    <w:p>
      <w:pPr>
        <w:pStyle w:val="Heading1"/>
      </w:pPr>
      <w:r>
        <w:t xml:space="preserve">Parte 2 · Red teaming (2 min)</w:t>
      </w:r>
    </w:p>
    <w:p>
      <w:pPr>
        <w:pStyle w:val="Heading2"/>
      </w:pPr>
      <w:r>
        <w:t xml:space="preserve">Diapositiva 3</w:t>
      </w:r>
    </w:p>
    <w:p>
      <w:pPr>
        <w:spacing w:after="100"/>
      </w:pPr>
      <w:r>
        <w:t xml:space="preserve">«Atacamos la </w:t>
      </w:r>
      <w:r>
        <w:rPr>
          <w:b/>
          <w:bCs/>
        </w:rPr>
        <w:t xml:space="preserve">capa de IA</w:t>
      </w:r>
      <w:r>
        <w:t xml:space="preserve"> de SGAI: el orquestador del chat, el agente de declaraciones juradas y el asistente de trámites. Partimos de un modelo de amenazas y cinco archivos de ataques: siete ataques y una línea base. Un ejecutor levanta la app real y repite cada ataque tres veces.»</w:t>
      </w:r>
    </w:p>
    <w:p>
      <w:pPr>
        <w:spacing w:after="100"/>
      </w:pPr>
      <w:r>
        <w:t xml:space="preserve">«</w:t>
      </w:r>
      <w:r>
        <w:rPr>
          <w:b/>
          <w:bCs/>
        </w:rPr>
        <w:t xml:space="preserve">Cinco ataques tuvieron éxito.</w:t>
      </w:r>
      <w:r>
        <w:t xml:space="preserve"> El más grave, AI-SEC-001: un administrador de Tecnología le preguntaba al chat por la declaración jurada de un docente de Económicas y el chat se la mostraba, </w:t>
      </w:r>
      <w:r>
        <w:rPr>
          <w:b/>
          <w:bCs/>
        </w:rPr>
        <w:t xml:space="preserve">3 de 3 veces</w:t>
      </w:r>
      <w:r>
        <w:t xml:space="preserve">, violando el aislamiento por facultad y la Ley 164. La causa: el código usaba el nombre que extraía el modelo para cambiar con qué identidad se consultaba.»</w:t>
      </w:r>
    </w:p>
    <w:p>
      <w:pPr>
        <w:spacing w:after="100"/>
      </w:pPr>
      <w:r>
        <w:t xml:space="preserve">«La mitigación fue </w:t>
      </w:r>
      <w:r>
        <w:rPr>
          <w:b/>
          <w:bCs/>
        </w:rPr>
        <w:t xml:space="preserve">en código, no en el prompt</w:t>
      </w:r>
      <w:r>
        <w:t xml:space="preserve">: ahora se consulta siempre con el alcance del usuario autenticado y se rechazan las conversaciones ajenas. Retest: </w:t>
      </w:r>
      <w:r>
        <w:rPr>
          <w:b/>
          <w:bCs/>
        </w:rPr>
        <w:t xml:space="preserve">0 de 3</w:t>
      </w:r>
      <w:r>
        <w:t xml:space="preserve">.»</w:t>
      </w:r>
    </w:p>
    <w:p>
      <w:pPr>
        <w:spacing w:after="100"/>
      </w:pPr>
      <w:r>
        <w:t xml:space="preserve">«Hicimos lo mismo con la extracción del prompt, la instrucción escondida dentro de una declaración, el db.json envenenado que pedía una contraseña y el clásico “ignora las instrucciones”: todos quedaron en 0 de 3. Cada mitigación tiene un </w:t>
      </w:r>
      <w:r>
        <w:rPr>
          <w:b/>
          <w:bCs/>
        </w:rPr>
        <w:t xml:space="preserve">test de regresión que falla si se quita</w:t>
      </w:r>
      <w:r>
        <w:t xml:space="preserve">, y lo comprobamos con un script. La idea central: </w:t>
      </w:r>
      <w:r>
        <w:rPr>
          <w:b/>
          <w:bCs/>
        </w:rPr>
        <w:t xml:space="preserve">el modelo propone, la aplicación decide</w:t>
      </w:r>
      <w:r>
        <w:t xml:space="preserve">. Pendiente: verificar el origen de db.json y limitar tokens por usuario.»</w:t>
      </w:r>
    </w:p>
    <w:p>
      <w:pPr>
        <w:pStyle w:val="Heading1"/>
      </w:pPr>
      <w:r>
        <w:t xml:space="preserve">Parte 3 · Evals de IA (2 min)</w:t>
      </w:r>
    </w:p>
    <w:p>
      <w:pPr>
        <w:pStyle w:val="Heading2"/>
      </w:pPr>
      <w:r>
        <w:t xml:space="preserve">Diapositiva 4 (1 min 45 s)</w:t>
      </w:r>
    </w:p>
    <w:p>
      <w:pPr>
        <w:spacing w:after="100"/>
      </w:pPr>
      <w:r>
        <w:t xml:space="preserve">«Para lo probabilístico medimos con </w:t>
      </w:r>
      <w:r>
        <w:rPr>
          <w:b/>
          <w:bCs/>
        </w:rPr>
        <w:t xml:space="preserve">evals offline</w:t>
      </w:r>
      <w:r>
        <w:t xml:space="preserve"> el asistente de trámites. Dataset dorado de </w:t>
      </w:r>
      <w:r>
        <w:rPr>
          <w:b/>
          <w:bCs/>
        </w:rPr>
        <w:t xml:space="preserve">18 casos, 6 críticos</w:t>
      </w:r>
      <w:r>
        <w:t xml:space="preserve">, con los cinco tipos de caso; incluimos como críticos los ataques del red teaming. Tres métricas: completitud, frases prohibidas y fidelidad, calificada por un juez con rúbrica. Calibramos el juez con 18 etiquetas nuestras: el heurístico coincidió al </w:t>
      </w:r>
      <w:r>
        <w:rPr>
          <w:b/>
          <w:bCs/>
        </w:rPr>
        <w:t xml:space="preserve">100 %, kappa 1,00</w:t>
      </w:r>
      <w:r>
        <w:t xml:space="preserve">; el de modelo tuvo kappa 0, así que usamos el heurístico.»</w:t>
      </w:r>
    </w:p>
    <w:p>
      <w:pPr>
        <w:spacing w:after="100"/>
      </w:pPr>
      <w:r>
        <w:rPr>
          <w:b/>
          <w:bCs/>
        </w:rPr>
        <w:t xml:space="preserve">[EJECUTA AHORA]</w:t>
      </w:r>
      <w:r>
        <w:t xml:space="preserve"> en la terminal, ya escrito: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npm run eval -- correr v3 ; echo $?</w:t>
      </w:r>
    </w:p>
    <w:p>
      <w:pPr>
        <w:spacing w:after="100"/>
      </w:pPr>
      <w:r>
        <w:t xml:space="preserve">«Con umbrales de 0,85 y 0,90 y cero críticos fallados, sale </w:t>
      </w:r>
      <w:r>
        <w:rPr>
          <w:b/>
          <w:bCs/>
        </w:rPr>
        <w:t xml:space="preserve">PASA</w:t>
      </w:r>
      <w:r>
        <w:t xml:space="preserve">, con </w:t>
      </w:r>
      <w:r>
        <w:rPr>
          <w:b/>
          <w:bCs/>
        </w:rPr>
        <w:t xml:space="preserve">código 0</w:t>
      </w:r>
      <w:r>
        <w:t xml:space="preserve">. La versión 1 y la 2 habían salido con código 1: la 2 fallaba en cuatro críticos porque el RAG respondía con cualquier trámite y el modelo de 3B contestaba un sueldo. Corregimos el umbral del RAG de 0,5 a 0,70, pusimos el filtro antes del modelo, hicimos que la similitud confirme lo que propone el modelo y agregamos los rechazos.»</w:t>
      </w:r>
    </w:p>
    <w:p>
      <w:pPr>
        <w:spacing w:after="100"/>
      </w:pPr>
      <w:r>
        <w:t xml:space="preserve">«Un límite que declaramos: los umbrales se ajustaron con estos mismos 18 casos; el 1,00 prueba que corregimos lo que este dataset detecta.»</w:t>
      </w:r>
    </w:p>
    <w:p>
      <w:pPr>
        <w:pStyle w:val="Heading2"/>
      </w:pPr>
      <w:r>
        <w:t xml:space="preserve">Diapositiva 5 · Cierre (15 s)</w:t>
      </w:r>
    </w:p>
    <w:p>
      <w:pPr>
        <w:spacing w:after="100"/>
      </w:pPr>
      <w:r>
        <w:t xml:space="preserve">«El triángulo completo: lo determinista prueba que </w:t>
      </w:r>
      <w:r>
        <w:rPr>
          <w:b/>
          <w:bCs/>
        </w:rPr>
        <w:t xml:space="preserve">hace lo que debe</w:t>
      </w:r>
      <w:r>
        <w:t xml:space="preserve">, el red teaming que </w:t>
      </w:r>
      <w:r>
        <w:rPr>
          <w:b/>
          <w:bCs/>
        </w:rPr>
        <w:t xml:space="preserve">no hace lo que no debe</w:t>
      </w:r>
      <w:r>
        <w:t xml:space="preserve">, y las evals miden </w:t>
      </w:r>
      <w:r>
        <w:rPr>
          <w:b/>
          <w:bCs/>
        </w:rPr>
        <w:t xml:space="preserve">cuánto de bien lo hace</w:t>
      </w:r>
      <w:r>
        <w:t xml:space="preserve">, con un número que otro puede repetir. Lo que sigue: monitoreo online y llevar las evals al orquestador y al agente.»</w:t>
      </w:r>
    </w:p>
    <w:p>
      <w:pPr>
        <w:pStyle w:val="Heading1"/>
      </w:pPr>
      <w:r>
        <w:t xml:space="preserve">Preguntas probables y cómo responder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6"/>
      </w:tblGrid>
      <w:tr>
        <w:trPr>
          <w:tblHeader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Respuesta corta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¿Por qué v1 y v2 cambian una sola cosa?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v2 activa las dos piezas de IA del router (RAG y LLM) para comparar contra la versión sin IA. En el informe mostramos por separado qué falló en cada una.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¿Por qué la v3 saca 1,00?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Los umbrales y los filtros se ajustaron mirando estos 18 casos. Es evidencia de que corregimos lo que este dataset detecta; el siguiente paso es ampliar el dataset con casos nuevos.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¿Por qué el juez heurístico y no el de modelo?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 juez que no coincide con las personas no puede decidir una compuerta. El de modelo tuvo 50 % de acuerdo y kappa 0,00.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¿Qué diferencia hay entre red teaming y evals?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Red teaming busca que el sistema falle a propósito ante un atacante. Las evals miden qué tan bien responde en condiciones normales, con un número repetible.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¿Cómo sabes que las mitigaciones funcionan?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Retest 0 de 3 con el mismo modelo, y tests de regresión que fallan si se quita cada mitigación (verificar-regresion.sh).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¿Cómo controlaron a los agentes?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Cada test se auditó contra el código real antes de aceptarse. En E2E se descartaron 5 casos y se corrigieron 4. Ningún test fija el texto exacto del modelo.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¿Por qué no hay carpeta de prompts?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asistente arma la respuesta en código desde db.json; el LLM solo elige el trámite. Las versiones cambian la lógica del router, no un texto.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¿Por qué no hicieron monitoreo?</w:t>
            </w:r>
          </w:p>
        </w:tc>
        <w:tc>
          <w:tcPr>
            <w:tcW w:type="dxa" w:w="66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era requisito. Es el siguiente paso: lo que las evals miden una vez, el monitoreo lo mide todos los días.</w:t>
            </w:r>
          </w:p>
        </w:tc>
      </w:tr>
    </w:tbl>
    <w:p>
      <w:pPr>
        <w:pStyle w:val="Heading1"/>
      </w:pPr>
      <w:r>
        <w:t xml:space="preserve">Antes de entrar (2 minutos de preparación)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Abre la terminal en la raíz del proyecto, con letra grande, y deja escrito sin ejecutar: </w:t>
      </w:r>
      <w:r>
        <w:rPr>
          <w:rFonts w:ascii="Consolas" w:cs="Consolas" w:eastAsia="Consolas" w:hAnsi="Consolas"/>
          <w:sz w:val="19"/>
          <w:szCs w:val="19"/>
        </w:rPr>
        <w:t xml:space="preserve">npm run eval -- correr v3 ; echo $?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necesitas Ollama ni internet: la compuerta usa las respuestas ya grabadas y tarda unos 5 segundos.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Abre la presentación en modo presentador para ver las notas.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Ten a mano la captura </w:t>
      </w:r>
      <w:r>
        <w:rPr>
          <w:rFonts w:ascii="Consolas" w:cs="Consolas" w:eastAsia="Consolas" w:hAnsi="Consolas"/>
          <w:sz w:val="19"/>
          <w:szCs w:val="19"/>
        </w:rPr>
        <w:t xml:space="preserve">Compuerta con v3 Codigo 0.png</w:t>
      </w:r>
      <w:r>
        <w:t xml:space="preserve"> como plan B, por si falla la terminal.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Cronometra: si te pasas, recorta los detalles de E2E en la parte 1, no la parte 3.</w:t>
      </w:r>
    </w:p>
    <w:p>
      <w:pPr>
        <w:spacing w:before="100"/>
      </w:pPr>
      <w:r>
        <w:rPr>
          <w:b/>
          <w:bCs/>
        </w:rPr>
        <w:t xml:space="preserve">Consejo:</w:t>
      </w:r>
      <w:r>
        <w:t xml:space="preserve"> mientras corre el comando, sigue hablando. No esperes en silencio.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7C2A" w:sz="8" w:space="2"/>
      </w:pBdr>
      <w:spacing w:after="120" w:before="3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2026-09-30T16:46:58.133Z</dcterms:created>
  <dcterms:modified xsi:type="dcterms:W3CDTF">2026-09-30T16:46:58.133Z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