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color w:val="5B6770"/>
          <w:sz w:val="22"/>
          <w:szCs w:val="22"/>
        </w:rPr>
        <w:t xml:space="preserve">Ingeniería de Calidad de Software · UdeA</w:t>
      </w:r>
    </w:p>
    <w:p>
      <w:pPr>
        <w:spacing w:after="160"/>
      </w:pPr>
      <w:r>
        <w:rPr>
          <w:b/>
          <w:bCs/>
          <w:color w:val="1F5E8C"/>
          <w:sz w:val="52"/>
          <w:szCs w:val="52"/>
        </w:rPr>
        <w:t xml:space="preserve">Calidad de la calculadora</w:t>
      </w:r>
    </w:p>
    <w:p>
      <w:pPr>
        <w:pBdr>
          <w:bottom w:val="single" w:color="1F5E8C" w:sz="12" w:space="8"/>
        </w:pBdr>
        <w:spacing w:after="400"/>
      </w:pPr>
      <w:r>
        <w:rPr>
          <w:color w:val="1F2933"/>
          <w:sz w:val="28"/>
          <w:szCs w:val="28"/>
        </w:rPr>
        <w:t xml:space="preserve">Pruebas de aceptación, Quality Gate y Quality Profile</w:t>
      </w:r>
    </w:p>
    <w:p>
      <w:pPr>
        <w:spacing w:after="60"/>
      </w:pPr>
      <w:r>
        <w:rPr>
          <w:color w:val="5B6770"/>
          <w:sz w:val="22"/>
          <w:szCs w:val="22"/>
        </w:rPr>
        <w:t xml:space="preserve">Documento de socialización</w:t>
      </w:r>
    </w:p>
    <w:p>
      <w:pPr>
        <w:spacing w:after="60"/>
      </w:pPr>
      <w:r>
        <w:rPr>
          <w:color w:val="5B6770"/>
          <w:sz w:val="22"/>
          <w:szCs w:val="22"/>
        </w:rPr>
        <w:t xml:space="preserve">Proyecto: calculadora-calidad (Java 21 · Gradle)</w:t>
      </w:r>
    </w:p>
    <w:p>
      <w:pPr>
        <w:spacing w:after="60"/>
      </w:pPr>
      <w:r>
        <w:rPr>
          <w:color w:val="5B6770"/>
          <w:sz w:val="22"/>
          <w:szCs w:val="22"/>
        </w:rPr>
        <w:t xml:space="preserve">Fecha: 18 de octubre de 2026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1. Para qué es este documento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Este documento presenta al equipo y al docente </w:t>
      </w:r>
      <w:r>
        <w:rPr>
          <w:b/>
          <w:bCs/>
          <w:color w:val="1F2933"/>
          <w:sz w:val="22"/>
          <w:szCs w:val="22"/>
        </w:rPr>
        <w:t xml:space="preserve">cómo se verifica la calidad</w:t>
      </w:r>
      <w:r>
        <w:rPr>
          <w:color w:val="1F2933"/>
          <w:sz w:val="22"/>
          <w:szCs w:val="22"/>
        </w:rPr>
        <w:t xml:space="preserve"> de la calculadora más allá de las pruebas unitarias: una suite de </w:t>
      </w:r>
      <w:r>
        <w:rPr>
          <w:b/>
          <w:bCs/>
          <w:color w:val="1F2933"/>
          <w:sz w:val="22"/>
          <w:szCs w:val="22"/>
        </w:rPr>
        <w:t xml:space="preserve">pruebas de aceptación con Karate</w:t>
      </w:r>
      <w:r>
        <w:rPr>
          <w:color w:val="1F2933"/>
          <w:sz w:val="22"/>
          <w:szCs w:val="22"/>
        </w:rPr>
        <w:t xml:space="preserve">, un </w:t>
      </w:r>
      <w:r>
        <w:rPr>
          <w:b/>
          <w:bCs/>
          <w:color w:val="1F2933"/>
          <w:sz w:val="22"/>
          <w:szCs w:val="22"/>
        </w:rPr>
        <w:t xml:space="preserve">Quality Gate</w:t>
      </w:r>
      <w:r>
        <w:rPr>
          <w:color w:val="1F2933"/>
          <w:sz w:val="22"/>
          <w:szCs w:val="22"/>
        </w:rPr>
        <w:t xml:space="preserve"> y un </w:t>
      </w:r>
      <w:r>
        <w:rPr>
          <w:b/>
          <w:bCs/>
          <w:color w:val="1F2933"/>
          <w:sz w:val="22"/>
          <w:szCs w:val="22"/>
        </w:rPr>
        <w:t xml:space="preserve">Quality Profile</w:t>
      </w:r>
      <w:r>
        <w:rPr>
          <w:color w:val="1F2933"/>
          <w:sz w:val="22"/>
          <w:szCs w:val="22"/>
        </w:rPr>
        <w:t xml:space="preserve"> en SonarCloud con métricas de </w:t>
      </w:r>
      <w:r>
        <w:rPr>
          <w:b/>
          <w:bCs/>
          <w:color w:val="1F2933"/>
          <w:sz w:val="22"/>
          <w:szCs w:val="22"/>
        </w:rPr>
        <w:t xml:space="preserve">complejidad ciclomática, complejidad cognitiva y cobertura</w:t>
      </w:r>
      <w:r>
        <w:rPr>
          <w:color w:val="1F2933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F5E8C" w:sz="24"/>
              <w:bottom w:val="none"/>
              <w:right w:val="none"/>
            </w:tcBorders>
            <w:shd w:fill="EEF3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5E8C"/>
                <w:sz w:val="22"/>
                <w:szCs w:val="22"/>
              </w:rPr>
              <w:t xml:space="preserve">En una frase</w:t>
            </w:r>
          </w:p>
          <w:p>
            <w:pPr>
              <w:spacing w:after="0" w:line="276"/>
            </w:pPr>
            <w:r>
              <w:rPr>
                <w:color w:val="1F2933"/>
                <w:sz w:val="21"/>
                <w:szCs w:val="21"/>
              </w:rPr>
              <w:t xml:space="preserve">Las pruebas unitarias dicen que cada pieza funciona; las de aceptación dicen que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el producto hace lo que el usuario espera</w:t>
            </w:r>
            <w:r>
              <w:rPr>
                <w:color w:val="1F2933"/>
                <w:sz w:val="21"/>
                <w:szCs w:val="21"/>
              </w:rPr>
              <w:t xml:space="preserve">; Sonar dice que </w:t>
            </w:r>
            <w:r>
              <w:rPr>
                <w:b/>
                <w:bCs/>
                <w:color w:val="1F2933"/>
                <w:sz w:val="21"/>
                <w:szCs w:val="21"/>
              </w:rPr>
              <w:t xml:space="preserve">el código se mantiene sano</w:t>
            </w:r>
            <w:r>
              <w:rPr>
                <w:color w:val="1F2933"/>
                <w:sz w:val="21"/>
                <w:szCs w:val="21"/>
              </w:rPr>
              <w:t xml:space="preserve"> mientras crece.</w:t>
            </w:r>
          </w:p>
        </w:tc>
      </w:tr>
    </w:tbl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2. El proyecto en una mirada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Aplicación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Calculadora con interfaz gráfica Swing (tema oscuro) y modo consola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--cli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Java 21, Gradle 9.7.1 (wrapper incluido), JUnit 5, JaCoCo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Operaciones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Suma, resta, multiplicación, división, potencia y raíz cuadrada; historial de las últimas 100 operaciones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SOLID: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Calculator</w:t>
            </w:r>
            <w:r>
              <w:rPr>
                <w:color w:val="1F2933"/>
                <w:sz w:val="20"/>
                <w:szCs w:val="20"/>
              </w:rPr>
              <w:t xml:space="preserve"> orquesta operaciones intercambiables; la UI sigue MVP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CalculatorPresenter</w:t>
            </w:r>
            <w:r>
              <w:rPr>
                <w:color w:val="1F2933"/>
                <w:sz w:val="20"/>
                <w:szCs w:val="20"/>
              </w:rPr>
              <w:t xml:space="preserve"> + vista Swing sin lógica)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Pruebas existentes</w:t>
            </w:r>
          </w:p>
        </w:tc>
        <w:tc>
          <w:tcPr>
            <w:tcW w:type="dxa" w:w="71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87 pruebas unitarias; cobertura JaCoCo: instrucciones 93,3 %, ramas 77,6 %, líneas 91,7 %; umbral mínimo de 90 % configurado en Gradle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3. Estrategia de calidad en tres capas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3560"/>
        <w:gridCol w:w="2300"/>
      </w:tblGrid>
      <w:tr>
        <w:trPr>
          <w:tblHeader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Pregunta que responde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Dónde vive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Unitaria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JUnit 5 + JaCoCo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¿Cada clase funciona sola?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src/test/java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Aceptación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Karate (Gherkin)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¿El usuario obtiene lo que espera al usar la calculadora?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pruebas-aceptacion/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Análisis estático</w:t>
            </w:r>
          </w:p>
        </w:tc>
        <w:tc>
          <w:tcPr>
            <w:tcW w:type="dxa" w:w="2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SonarCloud</w:t>
            </w:r>
          </w:p>
        </w:tc>
        <w:tc>
          <w:tcPr>
            <w:tcW w:type="dxa" w:w="3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¿El código es mantenible, simple y está cubierto?</w:t>
            </w:r>
          </w:p>
        </w:tc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sonar/</w:t>
            </w:r>
            <w:r>
              <w:rPr>
                <w:color w:val="1F2933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build.gradle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Las tres capas se ejecutan con comandos de Gradle y se pueden encadenar en integración continua (GitHub Actions), de modo que </w:t>
      </w:r>
      <w:r>
        <w:rPr>
          <w:b/>
          <w:bCs/>
          <w:color w:val="1F2933"/>
          <w:sz w:val="22"/>
          <w:szCs w:val="22"/>
        </w:rPr>
        <w:t xml:space="preserve">un cambio que rompa una expectativa del usuario o degrade la calidad no llega a la rama principal</w:t>
      </w:r>
      <w:r>
        <w:rPr>
          <w:color w:val="1F2933"/>
          <w:sz w:val="22"/>
          <w:szCs w:val="22"/>
        </w:rPr>
        <w:t xml:space="preserve">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4. Pruebas de aceptación con Karate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4.1 Qué son y por qué Karate aquí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Una prueba de aceptación describe un comportamiento </w:t>
      </w:r>
      <w:r>
        <w:rPr>
          <w:b/>
          <w:bCs/>
          <w:color w:val="1F2933"/>
          <w:sz w:val="22"/>
          <w:szCs w:val="22"/>
        </w:rPr>
        <w:t xml:space="preserve">en el lenguaje del usuario</w:t>
      </w:r>
      <w:r>
        <w:rPr>
          <w:color w:val="1F2933"/>
          <w:sz w:val="22"/>
          <w:szCs w:val="22"/>
        </w:rPr>
        <w:t xml:space="preserve"> (Dado / Cuando / Entonces) y verifica que el sistema lo cumple de punta a punta. Karate permite escribir esos escenarios en archivos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.feature</w:t>
      </w:r>
      <w:r>
        <w:rPr>
          <w:color w:val="1F2933"/>
          <w:sz w:val="22"/>
          <w:szCs w:val="22"/>
        </w:rPr>
        <w:t xml:space="preserve"> legibles por personas no técnicas y, además, invocar código Java directamente.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La calculadora </w:t>
      </w:r>
      <w:r>
        <w:rPr>
          <w:b/>
          <w:bCs/>
          <w:color w:val="1F2933"/>
          <w:sz w:val="22"/>
          <w:szCs w:val="22"/>
        </w:rPr>
        <w:t xml:space="preserve">no expone una API HTTP</w:t>
      </w:r>
      <w:r>
        <w:rPr>
          <w:color w:val="1F2933"/>
          <w:sz w:val="22"/>
          <w:szCs w:val="22"/>
        </w:rPr>
        <w:t xml:space="preserve">, así que no se prueba por red: se prueba por sus </w:t>
      </w:r>
      <w:r>
        <w:rPr>
          <w:b/>
          <w:bCs/>
          <w:color w:val="1F2933"/>
          <w:sz w:val="22"/>
          <w:szCs w:val="22"/>
        </w:rPr>
        <w:t xml:space="preserve">tres puertas de entrada reales</w:t>
      </w:r>
      <w:r>
        <w:rPr>
          <w:color w:val="1F2933"/>
          <w:sz w:val="22"/>
          <w:szCs w:val="22"/>
        </w:rPr>
        <w:t xml:space="preserve">, cada una con un pequeño puente (driver) en Java: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Motor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CalculatorDriver</w:t>
      </w:r>
      <w:r>
        <w:rPr>
          <w:color w:val="1F2933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</w:t>
      </w:r>
      <w:r>
        <w:rPr>
          <w:color w:val="1F2933"/>
          <w:sz w:val="22"/>
          <w:szCs w:val="22"/>
        </w:rPr>
        <w:t xml:space="preserve">): operaciones, errores de negocio, historial y extensibilidad.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Interfaz gráfica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PresenterDriver</w:t>
      </w:r>
      <w:r>
        <w:rPr>
          <w:color w:val="1F2933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CalculatorPresenter</w:t>
      </w:r>
      <w:r>
        <w:rPr>
          <w:color w:val="1F2933"/>
          <w:sz w:val="22"/>
          <w:szCs w:val="22"/>
        </w:rPr>
        <w:t xml:space="preserve">): un usuario “presiona teclas” y se verifica la pantalla, la pista de operación pendiente y los errores visibles, sin abrir ventanas.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Consola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CliDriver</w:t>
      </w:r>
      <w:r>
        <w:rPr>
          <w:color w:val="1F2933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 --cli</w:t>
      </w:r>
      <w:r>
        <w:rPr>
          <w:color w:val="1F2933"/>
          <w:sz w:val="22"/>
          <w:szCs w:val="22"/>
        </w:rPr>
        <w:t xml:space="preserve">): se escriben comandos como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+ 2 3</w:t>
      </w:r>
      <w:r>
        <w:rPr>
          <w:color w:val="1F2933"/>
          <w:sz w:val="22"/>
          <w:szCs w:val="22"/>
        </w:rPr>
        <w:t xml:space="preserve"> y se lee exactamente lo que imprimiría la terminal.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4.2 Qué cubre la suite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560"/>
        <w:gridCol w:w="1300"/>
      </w:tblGrid>
      <w:tr>
        <w:trPr>
          <w:tblHeader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5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valida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Ejecuciones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01 Operaciones básicas</w:t>
            </w:r>
          </w:p>
        </w:tc>
        <w:tc>
          <w:tcPr>
            <w:tcW w:type="dxa" w:w="5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Suma, resta, multiplicación, división, potencia y raíz con casos normales y límite (decimales, negativos, cero)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02 Escenarios de excepción</w:t>
            </w:r>
          </w:p>
        </w:tc>
        <w:tc>
          <w:tcPr>
            <w:tcW w:type="dxa" w:w="5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División entre cero, raíz de negativo, operador no soportado, recuperación tras error, infinito y NaN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03 Historial</w:t>
            </w:r>
          </w:p>
        </w:tc>
        <w:tc>
          <w:tcPr>
            <w:tcW w:type="dxa" w:w="5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Registro en orden, limpieza y tope de 100 entradas (se descartan las más antiguas)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04 Extensibilidad (OCP)</w:t>
            </w:r>
          </w:p>
        </w:tc>
        <w:tc>
          <w:tcPr>
            <w:tcW w:type="dxa" w:w="5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Registrar el operador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%</w:t>
            </w:r>
            <w:r>
              <w:rPr>
                <w:color w:val="1F2933"/>
                <w:sz w:val="20"/>
                <w:szCs w:val="20"/>
              </w:rPr>
              <w:t xml:space="preserve"> sin modificar el código existente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05 Interfaz: teclado</w:t>
            </w:r>
          </w:p>
        </w:tc>
        <w:tc>
          <w:tcPr>
            <w:tcW w:type="dxa" w:w="5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Secuencias de teclas, encadenamiento, edición (borrar, punto, ceros), historial en vivo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06 Interfaz: errores</w:t>
            </w:r>
          </w:p>
        </w:tc>
        <w:tc>
          <w:tcPr>
            <w:tcW w:type="dxa" w:w="5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Mensajes visibles, recuperación con cualquier tecla, errores fuera del historial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07 Consola (CLI)</w:t>
            </w:r>
          </w:p>
        </w:tc>
        <w:tc>
          <w:tcPr>
            <w:tcW w:type="dxa" w:w="5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Banner, comandos, errores sin cerrar la consola, historial, ayuda y salida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933"/>
                <w:sz w:val="20"/>
                <w:szCs w:val="20"/>
              </w:rPr>
              <w:t xml:space="preserve">Total</w:t>
            </w:r>
          </w:p>
        </w:tc>
        <w:tc>
          <w:tcPr>
            <w:tcW w:type="dxa" w:w="55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7 features · 44 definiciones de escenario</w:t>
            </w:r>
          </w:p>
        </w:tc>
        <w:tc>
          <w:tcPr>
            <w:tcW w:type="dxa" w:w="1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933"/>
                <w:sz w:val="20"/>
                <w:szCs w:val="20"/>
              </w:rPr>
              <w:t xml:space="preserve">130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4.3 Cómo se ve un escenario</w:t>
      </w:r>
    </w:p>
    <w:p>
      <w:pPr>
        <w:pBdr>
          <w:top w:val="single" w:color="D5D9DD" w:sz="4" w:space="4"/>
        </w:pBd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Scenario Outline: Division de &lt;a&gt; / &lt;b&gt;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* calc.calculate('/', &lt;a&gt;, &lt;b&gt;)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* match calc.errorType() == null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* match calc.result() == '&lt;esperado&gt;'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Examples: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| a  | b | esperado     |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| 10 | 4 | 2.5          |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    | 1  | 3 | 0.3333333333 |</w:t>
      </w:r>
    </w:p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Una tabla de ejemplos convierte un escenario en muchos casos de prueba: agregar un caso nuevo es agregar una fila.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4.4 Cómo ejecutarlas</w:t>
      </w:r>
    </w:p>
    <w:p>
      <w:pPr>
        <w:pBdr>
          <w:top w:val="single" w:color="D5D9DD" w:sz="4" w:space="4"/>
        </w:pBd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./gradlew acceptanceTest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# reporte HTML navegable:</w:t>
      </w:r>
    </w:p>
    <w:p>
      <w:pPr>
        <w:shd w:fill="F3F4F6" w:val="clear"/>
        <w:spacing w:after="0" w:line="252"/>
        <w:ind w:left="120"/>
      </w:pPr>
      <w:r>
        <w:rPr>
          <w:rFonts w:ascii="Consolas" w:cs="Consolas" w:eastAsia="Consolas" w:hAnsi="Consolas"/>
          <w:color w:val="24292F"/>
          <w:sz w:val="18"/>
          <w:szCs w:val="18"/>
        </w:rPr>
        <w:t xml:space="preserve">build/karate-reports/karate-summary.html</w:t>
      </w:r>
    </w:p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También se ejecutan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./gradlew check</w:t>
      </w:r>
      <w:r>
        <w:rPr>
          <w:color w:val="1F2933"/>
          <w:sz w:val="22"/>
          <w:szCs w:val="22"/>
        </w:rPr>
        <w:t xml:space="preserve">. La cobertura que generan se suma a la de las pruebas unitarias para el análisis de Sonar.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4.5 Lo que no cubre (y por qué)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933"/>
          <w:sz w:val="22"/>
          <w:szCs w:val="22"/>
        </w:rPr>
        <w:t xml:space="preserve">La ventana Swing</w:t>
      </w:r>
      <w:r>
        <w:rPr>
          <w:color w:val="1F2933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CalculatorFrame</w:t>
      </w:r>
      <w:r>
        <w:rPr>
          <w:color w:val="1F2933"/>
          <w:sz w:val="22"/>
          <w:szCs w:val="22"/>
        </w:rPr>
        <w:t xml:space="preserve">) es un adaptador visual sin lógica; su comportamiento ya queda verificado a través del Presenter. Probar píxeles requeriría una herramienta de UI (por ejemplo AssertJ Swing) y queda como mejora.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No hay pruebas de carga ni de seguridad: no aplican a una calculadora de escritorio de este alcance.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5. Quality Gate en SonarCloud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Un </w:t>
      </w:r>
      <w:r>
        <w:rPr>
          <w:b/>
          <w:bCs/>
          <w:color w:val="1F2933"/>
          <w:sz w:val="22"/>
          <w:szCs w:val="22"/>
        </w:rPr>
        <w:t xml:space="preserve">Quality Gate</w:t>
      </w:r>
      <w:r>
        <w:rPr>
          <w:color w:val="1F2933"/>
          <w:sz w:val="22"/>
          <w:szCs w:val="22"/>
        </w:rPr>
        <w:t xml:space="preserve"> es el semáforo que decide si el código “pasa” o “no pasa”. Se definió “Calculadora Quality Gate” con estas condiciones: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400"/>
        <w:gridCol w:w="1700"/>
        <w:gridCol w:w="3360"/>
      </w:tblGrid>
      <w:tr>
        <w:trPr>
          <w:tblHeader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Alcance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Condición para pasar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coverage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total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≥ 80 %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Evita que la cobertura se erosione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new_coverage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≥ 80 %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Todo lo que se agregue debe venir probado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Issues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new_violations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= 0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Incluye las violaciones de complejidad del Quality Profile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Duplicación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new_duplicated_lines_density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3 %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Evita copiar y pegar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Fiabilidad / Seguridad / Mantenibilidad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Calificación A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Sin bugs, vulnerabilidades ni deuda técnica relevante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Hotspots de seguridad revisados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100 %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Todo punto sensible debe revisarse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complexity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total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250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Tope de crecimiento global (valor inicial a calibrar)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 (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cognitive_complexity</w:t>
            </w:r>
            <w:r>
              <w:rPr>
                <w:color w:val="1F2933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total</w:t>
            </w:r>
          </w:p>
        </w:tc>
        <w:tc>
          <w:tcPr>
            <w:tcW w:type="dxa" w:w="1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120</w:t>
            </w:r>
          </w:p>
        </w:tc>
        <w:tc>
          <w:tcPr>
            <w:tcW w:type="dxa" w:w="3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Tope de crecimiento global (valor inicial a calibrar)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Con los datos del último reporte de JaCoCo (176 de 192 líneas y 59 de 76 ramas cubiertas) la cobertura combinada que calcularía Sonar es de aproximadamente </w:t>
      </w:r>
      <w:r>
        <w:rPr>
          <w:b/>
          <w:bCs/>
          <w:color w:val="1F2933"/>
          <w:sz w:val="22"/>
          <w:szCs w:val="22"/>
        </w:rPr>
        <w:t xml:space="preserve">87,7 %</w:t>
      </w:r>
      <w:r>
        <w:rPr>
          <w:color w:val="1F2933"/>
          <w:sz w:val="22"/>
          <w:szCs w:val="22"/>
        </w:rPr>
        <w:t xml:space="preserve">, por encima del umbral de 80 %.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6. Quality Profile y métricas de complejidad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Un </w:t>
      </w:r>
      <w:r>
        <w:rPr>
          <w:b/>
          <w:bCs/>
          <w:color w:val="1F2933"/>
          <w:sz w:val="22"/>
          <w:szCs w:val="22"/>
        </w:rPr>
        <w:t xml:space="preserve">Quality Profile</w:t>
      </w:r>
      <w:r>
        <w:rPr>
          <w:color w:val="1F2933"/>
          <w:sz w:val="22"/>
          <w:szCs w:val="22"/>
        </w:rPr>
        <w:t xml:space="preserve"> es el conjunto de reglas que Sonar aplica al analizar Java. El perfil por defecto (“Sonar way”) es de solo lectura, por lo que se crea </w:t>
      </w:r>
      <w:r>
        <w:rPr>
          <w:b/>
          <w:bCs/>
          <w:color w:val="1F2933"/>
          <w:sz w:val="22"/>
          <w:szCs w:val="22"/>
        </w:rPr>
        <w:t xml:space="preserve">“Calculadora Java Profile” como copia</w:t>
      </w:r>
      <w:r>
        <w:rPr>
          <w:color w:val="1F2933"/>
          <w:sz w:val="22"/>
          <w:szCs w:val="22"/>
        </w:rPr>
        <w:t xml:space="preserve"> y se le activan reglas con umbrales propios: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700"/>
        <w:gridCol w:w="1200"/>
        <w:gridCol w:w="1960"/>
      </w:tblGrid>
      <w:tr>
        <w:trPr>
          <w:tblHeader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4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 que controla</w:t>
            </w:r>
          </w:p>
        </w:tc>
        <w:tc>
          <w:tcPr>
            <w:tcW w:type="dxa" w:w="1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Umbral</w:t>
            </w:r>
          </w:p>
        </w:tc>
        <w:tc>
          <w:tcPr>
            <w:tcW w:type="dxa" w:w="1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java:S1541</w:t>
            </w:r>
          </w:p>
        </w:tc>
        <w:tc>
          <w:tcPr>
            <w:tcW w:type="dxa" w:w="4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 </w:t>
            </w:r>
            <w:r>
              <w:rPr>
                <w:b/>
                <w:bCs/>
                <w:color w:val="1F2933"/>
                <w:sz w:val="20"/>
                <w:szCs w:val="20"/>
              </w:rPr>
              <w:t xml:space="preserve">por método</w:t>
            </w:r>
            <w:r>
              <w:rPr>
                <w:color w:val="1F2933"/>
                <w:sz w:val="20"/>
                <w:szCs w:val="20"/>
              </w:rPr>
              <w:t xml:space="preserve"> (caminos independientes)</w:t>
            </w:r>
          </w:p>
        </w:tc>
        <w:tc>
          <w:tcPr>
            <w:tcW w:type="dxa" w:w="1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10</w:t>
            </w:r>
          </w:p>
        </w:tc>
        <w:tc>
          <w:tcPr>
            <w:tcW w:type="dxa" w:w="1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Major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java:S3776</w:t>
            </w:r>
          </w:p>
        </w:tc>
        <w:tc>
          <w:tcPr>
            <w:tcW w:type="dxa" w:w="47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 </w:t>
            </w:r>
            <w:r>
              <w:rPr>
                <w:b/>
                <w:bCs/>
                <w:color w:val="1F2933"/>
                <w:sz w:val="20"/>
                <w:szCs w:val="20"/>
              </w:rPr>
              <w:t xml:space="preserve">por método</w:t>
            </w:r>
            <w:r>
              <w:rPr>
                <w:color w:val="1F2933"/>
                <w:sz w:val="20"/>
                <w:szCs w:val="20"/>
              </w:rPr>
              <w:t xml:space="preserve"> (esfuerzo de comprensión; penaliza anidamiento)</w:t>
            </w:r>
          </w:p>
        </w:tc>
        <w:tc>
          <w:tcPr>
            <w:tcW w:type="dxa" w:w="1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≤ 15</w:t>
            </w:r>
          </w:p>
        </w:tc>
        <w:tc>
          <w:tcPr>
            <w:tcW w:type="dxa" w:w="1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Critical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6.1 Cómo se relacionan el gate y el profile</w:t>
      </w:r>
    </w:p>
    <w:p>
      <w:pPr>
        <w:spacing w:after="120" w:line="288"/>
      </w:pPr>
      <w:r>
        <w:rPr>
          <w:color w:val="1F2933"/>
          <w:sz w:val="22"/>
          <w:szCs w:val="22"/>
        </w:rPr>
        <w:t xml:space="preserve">El Quality Profile </w:t>
      </w:r>
      <w:r>
        <w:rPr>
          <w:b/>
          <w:bCs/>
          <w:color w:val="1F2933"/>
          <w:sz w:val="22"/>
          <w:szCs w:val="22"/>
        </w:rPr>
        <w:t xml:space="preserve">detecta</w:t>
      </w:r>
      <w:r>
        <w:rPr>
          <w:color w:val="1F2933"/>
          <w:sz w:val="22"/>
          <w:szCs w:val="22"/>
        </w:rPr>
        <w:t xml:space="preserve"> cada método que supera los umbrales y lo reporta como issue; el Quality Gate </w:t>
      </w:r>
      <w:r>
        <w:rPr>
          <w:b/>
          <w:bCs/>
          <w:color w:val="1F2933"/>
          <w:sz w:val="22"/>
          <w:szCs w:val="22"/>
        </w:rPr>
        <w:t xml:space="preserve">bloquea</w:t>
      </w:r>
      <w:r>
        <w:rPr>
          <w:color w:val="1F2933"/>
          <w:sz w:val="22"/>
          <w:szCs w:val="22"/>
        </w:rPr>
        <w:t xml:space="preserve"> cuando aparece un issue nuevo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new_violations = 0</w:t>
      </w:r>
      <w:r>
        <w:rPr>
          <w:color w:val="1F2933"/>
          <w:sz w:val="22"/>
          <w:szCs w:val="22"/>
        </w:rPr>
        <w:t xml:space="preserve">). Así, la complejidad se controla método a método, y los topes globales del gate vigilan que el sistema entero no crezca sin control.</w:t>
      </w:r>
    </w:p>
    <w:p>
      <w:pPr>
        <w:pStyle w:val="Heading2"/>
        <w:spacing w:after="100" w:before="240"/>
      </w:pPr>
      <w:r>
        <w:rPr>
          <w:b/>
          <w:bCs/>
          <w:color w:val="1F2933"/>
          <w:sz w:val="26"/>
          <w:szCs w:val="26"/>
        </w:rPr>
        <w:t xml:space="preserve">6.2 Qué significa cada métrica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60"/>
        <w:gridCol w:w="3200"/>
      </w:tblGrid>
      <w:tr>
        <w:trPr>
          <w:tblHeader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mide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se interpreta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ciclomática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Número de caminos independientes del código (cada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if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for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case</w:t>
            </w:r>
            <w:r>
              <w:rPr>
                <w:color w:val="1F29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8"/>
                <w:szCs w:val="18"/>
              </w:rPr>
              <w:t xml:space="preserve">&amp;&amp;</w:t>
            </w:r>
            <w:r>
              <w:rPr>
                <w:color w:val="1F2933"/>
                <w:sz w:val="20"/>
                <w:szCs w:val="20"/>
              </w:rPr>
              <w:t xml:space="preserve">… suma uno)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Cuántas pruebas se necesitan como mínimo para recorrer todos los caminos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Complejidad cognitiva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Qué tan difícil es </w:t>
            </w:r>
            <w:r>
              <w:rPr>
                <w:b/>
                <w:bCs/>
                <w:color w:val="1F2933"/>
                <w:sz w:val="20"/>
                <w:szCs w:val="20"/>
              </w:rPr>
              <w:t xml:space="preserve">entender</w:t>
            </w:r>
            <w:r>
              <w:rPr>
                <w:color w:val="1F2933"/>
                <w:sz w:val="20"/>
                <w:szCs w:val="20"/>
              </w:rPr>
              <w:t xml:space="preserve"> el código; suma más si hay anidamiento y saltos de flujo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Legibilidad para una persona, más que para una máquina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Cobertura</w:t>
            </w:r>
          </w:p>
        </w:tc>
        <w:tc>
          <w:tcPr>
            <w:tcW w:type="dxa" w:w="38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Porcentaje de líneas y condiciones ejecutadas por las pruebas</w:t>
            </w:r>
          </w:p>
        </w:tc>
        <w:tc>
          <w:tcPr>
            <w:tcW w:type="dxa" w:w="32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Qué parte del código está protegida contra regresiones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color w:val="1F2933"/>
          <w:sz w:val="22"/>
          <w:szCs w:val="22"/>
        </w:rPr>
        <w:t xml:space="preserve">La cobertura excluye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rPr>
          <w:color w:val="1F2933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CalculatorFrame</w:t>
      </w:r>
      <w:r>
        <w:rPr>
          <w:color w:val="1F2933"/>
          <w:sz w:val="22"/>
          <w:szCs w:val="22"/>
        </w:rPr>
        <w:t xml:space="preserve">, los mismos adaptadores de entrada/salida que ya excluye JaCoCo, para mantener una sola política de medición.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7. Cómo se integra todo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Una persona sube un cambio (push o pull request).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GitHub Actions ejecuta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./gradlew clean test acceptanceTest jacocoTestReport sonar</w:t>
      </w:r>
      <w:r>
        <w:rPr>
          <w:color w:val="1F29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Las pruebas unitarias y de aceptación deben pasar; JaCoCo genera la cobertura combinada.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El análisis se envía a SonarCloud y se evalúa el Quality Gate; con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sonar.qualitygate.wait=true</w:t>
      </w:r>
      <w:r>
        <w:rPr>
          <w:color w:val="1F2933"/>
          <w:sz w:val="22"/>
          <w:szCs w:val="22"/>
        </w:rPr>
        <w:t xml:space="preserve"> el pipeline falla si no se cumple.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1F2933"/>
          <w:sz w:val="22"/>
          <w:szCs w:val="22"/>
        </w:rPr>
        <w:t xml:space="preserve">El reporte de Karate queda como artefacto descargable de la ejecución.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8. Beneficios, límites y próximos pasos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Beneficios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Los criterios de aceptación quedan </w:t>
      </w:r>
      <w:r>
        <w:rPr>
          <w:b/>
          <w:bCs/>
          <w:color w:val="1F2933"/>
          <w:sz w:val="22"/>
          <w:szCs w:val="22"/>
        </w:rPr>
        <w:t xml:space="preserve">documentados y ejecutables</w:t>
      </w:r>
      <w:r>
        <w:rPr>
          <w:color w:val="1F2933"/>
          <w:sz w:val="22"/>
          <w:szCs w:val="22"/>
        </w:rPr>
        <w:t xml:space="preserve">, entendibles sin leer Java.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Un cambio de comportamiento visible para el usuario rompe una prueba concreta, no pasa inadvertido.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La calidad deja de depender de la memoria del equipo: la define un gate automático.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Límites actuales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Las pruebas de aceptación </w:t>
      </w:r>
      <w:r>
        <w:rPr>
          <w:b/>
          <w:bCs/>
          <w:color w:val="1F2933"/>
          <w:sz w:val="22"/>
          <w:szCs w:val="22"/>
        </w:rPr>
        <w:t xml:space="preserve">no se ejecutaron en el entorno donde se escribieron</w:t>
      </w:r>
      <w:r>
        <w:rPr>
          <w:color w:val="1F2933"/>
          <w:sz w:val="22"/>
          <w:szCs w:val="22"/>
        </w:rPr>
        <w:t xml:space="preserve"> (sin acceso a Maven Central). Los valores esperados sí se verificaron contra el código real con un arnés equivalente en Java: las 130 ejecuciones coincidieron. La primera corrida real de Karate y de Sonar debe hacerse en un equipo con internet.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Los umbrales de complejidad total (250 y 120) son iniciales: conviene ajustarlos tras el primer análisis.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933"/>
          <w:sz w:val="22"/>
          <w:szCs w:val="22"/>
        </w:rPr>
        <w:t xml:space="preserve">El proyecto aún no es un repositorio Git; SonarCloud con GitHub requiere publicarlo primero.</w:t>
      </w:r>
    </w:p>
    <w:p>
      <w:pPr>
        <w:pStyle w:val="Heading3"/>
        <w:spacing w:after="60" w:before="160"/>
      </w:pPr>
      <w:r>
        <w:rPr>
          <w:b/>
          <w:bCs/>
          <w:color w:val="5B6770"/>
          <w:sz w:val="23"/>
          <w:szCs w:val="23"/>
        </w:rPr>
        <w:t xml:space="preserve">Próximos pasos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Publicar el proyecto en GitHub y crear el proyecto en SonarCloud.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Ejecutar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./gradlew acceptanceTest</w:t>
      </w:r>
      <w:r>
        <w:rPr>
          <w:color w:val="1F2933"/>
          <w:sz w:val="22"/>
          <w:szCs w:val="22"/>
        </w:rPr>
        <w:t xml:space="preserve"> y revisar el reporte de Karate.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Ejecutar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sonar/setup-sonarcloud.sh</w:t>
      </w:r>
      <w:r>
        <w:rPr>
          <w:color w:val="1F2933"/>
          <w:sz w:val="22"/>
          <w:szCs w:val="22"/>
        </w:rPr>
        <w:t xml:space="preserve"> (o seguir la guía paso a paso) para crear el gate y el profile.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color w:val="1F2933"/>
          <w:sz w:val="22"/>
          <w:szCs w:val="22"/>
        </w:rPr>
        <w:t xml:space="preserve">Calibrar los umbrales con los valores reales del primer análisis.</w:t>
      </w:r>
    </w:p>
    <w:p>
      <w:pPr>
        <w:pStyle w:val="Heading1"/>
        <w:spacing w:after="140" w:before="360"/>
      </w:pPr>
      <w:r>
        <w:rPr>
          <w:b/>
          <w:bCs/>
          <w:color w:val="1F5E8C"/>
          <w:sz w:val="32"/>
          <w:szCs w:val="32"/>
        </w:rPr>
        <w:t xml:space="preserve">9.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1F5E8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Prueba de aceptación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Verifica que el sistema cumple lo que el usuario espera, de punta a punta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Gherkin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Lenguaje Dado/Cuando/Entonces para describir comportamientos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Karate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Framework que ejecuta escenarios Gherkin e invoca código Java, APIs o interfaces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Driver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Clase puente que traduce una acción del usuario en llamadas al sistema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Gate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Conjunto de condiciones que decide si un análisis pasa o falla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Quality Profile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Conjunto de reglas (y umbrales) que Sonar aplica al código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Código nuevo</w:t>
            </w:r>
          </w:p>
        </w:tc>
        <w:tc>
          <w:tcPr>
            <w:tcW w:type="dxa" w:w="69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3"/>
                <w:sz w:val="20"/>
                <w:szCs w:val="20"/>
              </w:rPr>
              <w:t xml:space="preserve">Lo que cambió desde la rama o versión de referencia; el gate lo exige más estrictamente</w:t>
            </w:r>
          </w:p>
        </w:tc>
      </w:tr>
    </w:tbl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8"/>
        <w:szCs w:val="18"/>
      </w:rPr>
      <w:t xml:space="preserve">calculadora-calidad · página </w:t>
    </w:r>
    <w:r>
      <w:rPr>
        <w:color w:val="5B67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Calibri" w:cs="Calibri" w:eastAsia="Calibri" w:hAnsi="Calibr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Calidad de la calculadora</dc:title>
  <dc:creator>Calidad de Software</dc:creator>
  <cp:lastModifiedBy>Un-named</cp:lastModifiedBy>
  <cp:revision>1</cp:revision>
  <dcterms:created xsi:type="dcterms:W3CDTF">2026-10-19T02:59:49.754Z</dcterms:created>
  <dcterms:modified xsi:type="dcterms:W3CDTF">2026-10-19T02:59:49.754Z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