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CONTRATO-PROMESSA DE COMPRA E VENDA DE IMÓVEL</w:t>
      </w:r>
    </w:p>
    <w:p>
      <w:r>
        <w:rPr>
          <w:b/>
        </w:rPr>
        <w:t>ENTRE:</w:t>
      </w:r>
      <w:r>
        <w:tab/>
      </w:r>
    </w:p>
    <w:p>
      <w:r>
        <w:rPr>
          <w:b/>
        </w:rPr>
        <w:t>{{vendedor_nome}}</w:t>
      </w:r>
      <w:r>
        <w:t xml:space="preserve">, {{vendedor_estado_civil}}, natural da freguesia de {{vendedor_freguesia_naturalidade}}, concelho de {{vendedor_concelho_naturalidade}}, contribuinte fiscal n.º {{vendedor_nif:nif}}, titular do Cartão de Cidadão n.º {{vendedor_cc:cc}}, válido até {{vendedor_cc_validade:data}}, com residência em {{vendedor_morada}}, doravante designado por </w:t>
      </w:r>
      <w:r>
        <w:rPr>
          <w:b/>
        </w:rPr>
        <w:t>Promitente-Vendedor</w:t>
      </w:r>
      <w:r>
        <w:t>;</w:t>
      </w:r>
      <w:r>
        <w:tab/>
      </w:r>
    </w:p>
    <w:p>
      <w:r>
        <w:t>E</w:t>
      </w:r>
      <w:r>
        <w:tab/>
      </w:r>
    </w:p>
    <w:p>
      <w:r>
        <w:rPr>
          <w:b/>
        </w:rPr>
        <w:t>{{comprador_nome}}</w:t>
      </w:r>
      <w:r>
        <w:t xml:space="preserve">, {{comprador_estado_civil}}, natural da freguesia de {{comprador_freguesia_naturalidade}}, concelho de {{comprador_concelho_naturalidade}}, contribuinte fiscal n.º {{comprador_nif:nif}}, titular do Cartão de Cidadão n.º {{comprador_cc:cc}}, válido até {{comprador_cc_validade:data}}, com residência em {{comprador_morada}}, doravante designado por </w:t>
      </w:r>
      <w:r>
        <w:rPr>
          <w:b/>
        </w:rPr>
        <w:t>Promitente-Comprador</w:t>
      </w:r>
      <w:r>
        <w:t>;</w:t>
      </w:r>
      <w:r>
        <w:tab/>
      </w:r>
    </w:p>
    <w:p>
      <w:r>
        <w:t>O Promitente-Vendedor e o Promitente-Comprador, adiante designados em conjunto por Partes, celebram, livre e conscientemente, o presente contrato-promessa de compra e venda, que se rege pelas cláusulas seguintes:</w:t>
      </w:r>
      <w:r>
        <w:tab/>
      </w:r>
    </w:p>
    <w:p>
      <w:pPr>
        <w:pStyle w:val="Clausula"/>
      </w:pPr>
      <w:r>
        <w:t>CLÁUSULA {{cl cl_imovel}}</w:t>
      </w:r>
    </w:p>
    <w:p>
      <w:pPr>
        <w:pStyle w:val="Clausula"/>
      </w:pPr>
      <w:r>
        <w:t>(Imóvel)</w:t>
      </w:r>
    </w:p>
    <w:p>
      <w:r>
        <w:rPr>
          <w:b/>
        </w:rPr>
        <w:t xml:space="preserve">{{pt}}. </w:t>
      </w:r>
      <w:r>
        <w:t>O Promitente-Vendedor é dono e legítimo possuidor da fração autónoma designada pela letra {{imovel_fracao}}, destinada a habitação e composta por {{imovel_composicao}}, situada em {{imovel_morada}}, freguesia de {{imovel_freguesia}}, concelho de {{imovel_concelho}}, descrita na Conservatória do Registo Predial de {{imovel_conservatoria}} sob o n.º {{imovel_descricao_registo}} e inscrita na matriz predial urbana da mesma freguesia sob o artigo {{imovel_artigo_matricial}} (adiante, o Imóvel).</w:t>
      </w:r>
    </w:p>
    <w:p>
      <w:r>
        <w:rPr>
          <w:b/>
        </w:rPr>
        <w:t xml:space="preserve">{{pt}}. </w:t>
      </w:r>
      <w:r>
        <w:t>O Imóvel dispõe de certificado de desempenho energético n.º {{imovel_certificado_energetico}}, válido até {{imovel_certificado_validade:data}}.</w:t>
      </w:r>
    </w:p>
    <w:p>
      <w:r>
        <w:rPr>
          <w:b/>
        </w:rPr>
        <w:t xml:space="preserve">{{pt licenca_utilizacao}}. </w:t>
      </w:r>
      <w:r>
        <w:t>O Imóvel dispõe de licença de utilização n.º {{imovel_licenca_utilizacao}}, emitida em {{imovel_licenca_data:data}} pela Câmara Municipal de {{imovel_licenca_camara}}.</w:t>
      </w:r>
    </w:p>
    <w:p>
      <w:r>
        <w:t>{{#se onus}}</w:t>
      </w:r>
    </w:p>
    <w:p>
      <w:r>
        <w:rPr>
          <w:b/>
        </w:rPr>
        <w:t xml:space="preserve">{{pt onus_lista}}. </w:t>
      </w:r>
      <w:r>
        <w:t>O Imóvel encontra-se onerado pelos seguintes ónus e encargos: {{onus_descricao}}.</w:t>
      </w:r>
    </w:p>
    <w:p>
      <w:r>
        <w:t>{{/se}}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(Objeto)</w:t>
      </w:r>
    </w:p>
    <w:p>
      <w:r>
        <w:rPr>
          <w:b/>
        </w:rPr>
        <w:t xml:space="preserve">{{pt}}. </w:t>
      </w:r>
      <w:r>
        <w:t>Pelo presente contrato, o Promitente-Vendedor promete vender ao Promitente-Comprador, e este promete comprar-lhe, o Imóvel identificado na {{ref:cl_imovel}}, através de compra e venda a formalizar por escritura pública ou documento particular autenticado (adiante, o Contrato Definitivo).</w:t>
      </w:r>
    </w:p>
    <w:p>
      <w:r>
        <w:rPr>
          <w:b/>
        </w:rPr>
        <w:t xml:space="preserve">{{pt}}. </w:t>
      </w:r>
      <w:r>
        <w:t>O Imóvel será transmitido livre de ónus e encargos e, salvo estipulação em contrário, devoluto de pessoas e bens.</w:t>
      </w:r>
    </w:p>
    <w:p>
      <w:r>
        <w:t>{{#se onus}}</w:t>
      </w:r>
    </w:p>
    <w:p>
      <w:r>
        <w:rPr>
          <w:b/>
        </w:rPr>
        <w:t xml:space="preserve">{{pt}}. </w:t>
      </w:r>
      <w:r>
        <w:t>Quanto aos ónus e encargos indicados no {{ref:onus_lista}}, o Promitente-Vendedor obriga-se a diligenciar pelo seu cancelamento até à celebração do Contrato Definitivo, para que a transmissão ocorra livre de qualquer ónus ou encargo.</w:t>
      </w:r>
    </w:p>
    <w:p>
      <w:r>
        <w:t>{{/se}}</w:t>
      </w:r>
    </w:p>
    <w:p>
      <w:r>
        <w:rPr>
          <w:b/>
        </w:rPr>
        <w:t xml:space="preserve">{{pt}}. </w:t>
      </w:r>
      <w:r>
        <w:t>O Imóvel é vendido no estado físico e jurídico em que se encontra. O Promitente-Comprador declara que o visitou, que conhece o seu estado e que analisou a documentação que o Promitente-Vendedor previamente lhe facultou.</w:t>
      </w:r>
    </w:p>
    <w:p>
      <w:r>
        <w:rPr>
          <w:b/>
        </w:rPr>
        <w:t xml:space="preserve">{{pt}}. </w:t>
      </w:r>
      <w:r>
        <w:t>O Promitente-Comprador reconhece que o preço acordado tem em conta o estado atual do Imóvel. Por isso, não poderá invocar defeitos aparentes, nem divergências entre a composição do prédio nos documentos oficiais e a realidade existente, como motivo para recusar o Contrato Definitivo, pedir a redução do preço ou anular o negócio, ficando ressalvados os direitos que a lei lhe atribua em caso de dolo do Promitente-Vendedor e os direitos que possa exercer contra terceiros, designadamente os responsáveis pela construção.</w:t>
      </w:r>
    </w:p>
    <w:p>
      <w:r>
        <w:t>{{#se arrendado}}</w:t>
      </w:r>
    </w:p>
    <w:p>
      <w:r>
        <w:rPr>
          <w:b/>
        </w:rPr>
        <w:t xml:space="preserve">{{pt}}. </w:t>
      </w:r>
      <w:r>
        <w:t>O Promitente-Vendedor declara que, relativamente ao Imóvel, foi celebrado contrato de arrendamento em {{arrendamento_data:data}}, o qual pode condicionar o valor da renda inicial de novos arrendamentos nos termos do regime legal aplicável, e que as suas condições relevantes (arrendatário, tipo de contrato, prazo e valor da última renda) são as seguintes: {{arrendamento_condicoes}}.</w:t>
      </w:r>
    </w:p>
    <w:p>
      <w:r>
        <w:t>{{#senao}}</w:t>
      </w:r>
    </w:p>
    <w:p>
      <w:r>
        <w:rPr>
          <w:b/>
        </w:rPr>
        <w:t xml:space="preserve">{{pt}}. </w:t>
      </w:r>
      <w:r>
        <w:t>O Promitente-Vendedor declara que, relativamente ao Imóvel, não foi celebrado qualquer contrato de arrendamento que possa condicionar, nos termos do regime legal aplicável, o valor da renda inicial de novos arrendamentos.</w:t>
      </w:r>
    </w:p>
    <w:p>
      <w:r>
        <w:t>{{/se}}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(Preço)</w:t>
      </w:r>
    </w:p>
    <w:p>
      <w:r>
        <w:rPr>
          <w:b/>
        </w:rPr>
        <w:t xml:space="preserve">{{pt}}. </w:t>
      </w:r>
      <w:r>
        <w:t>O preço da compra e venda é de {{preco_total:eur}} ({{preco_total:eur|extenso}}), a pagar do seguinte modo:</w:t>
      </w:r>
    </w:p>
    <w:p>
      <w:r>
        <w:t>{{al}}) a título de sinal e princípio de pagamento, {{sinal_valor:eur}} ({{sinal_valor:eur|extenso}}), que o Promitente-Comprador paga nesta data, por transferência bancária da conta com o IBAN {{comprador_iban:iban}}, do banco {{comprador_banco}}, para a conta do Promitente-Vendedor com o IBAN {{vendedor_iban:iban}}, do banco {{vendedor_banco}}, valendo este contrato como recibo e quitação dessa quantia;</w:t>
      </w:r>
    </w:p>
    <w:p>
      <w:r>
        <w:t>{{#se reforco}}</w:t>
      </w:r>
    </w:p>
    <w:p>
      <w:r>
        <w:t>{{al}}) a título de reforço do sinal, {{reforco_valor:eur}} ({{reforco_valor:eur|extenso}}), até ao dia {{reforco_data:data}}, pela mesma via da alínea anterior;</w:t>
      </w:r>
    </w:p>
    <w:p>
      <w:r>
        <w:t>{{/se}}</w:t>
      </w:r>
    </w:p>
    <w:p>
      <w:r>
        <w:t>{{al}}) o remanescente, no valor de {{remanescente_valor:eur}} ({{remanescente_valor:eur|extenso}}), no ato do Contrato Definitivo, por cheque bancário, cheque visado ou transferência bancária.</w:t>
      </w:r>
    </w:p>
    <w:p>
      <w:r>
        <w:t>{{#se financiamento}}</w:t>
      </w:r>
    </w:p>
    <w:p>
      <w:r>
        <w:rPr>
          <w:b/>
        </w:rPr>
        <w:t xml:space="preserve">{{pt}}. </w:t>
      </w:r>
      <w:r>
        <w:t>A celebração do Contrato Definitivo depende da aprovação, até ao dia {{financiamento_prazo:data}}, de financiamento bancário na modalidade de crédito à habitação, obrigando-se o Promitente-Comprador a apresentar o pedido com diligência e a informar o Promitente-Vendedor do respetivo resultado.</w:t>
      </w:r>
    </w:p>
    <w:p>
      <w:r>
        <w:rPr>
          <w:b/>
        </w:rPr>
        <w:t xml:space="preserve">{{pt}}. </w:t>
      </w:r>
      <w:r>
        <w:t>Se o financiamento for recusado ou não for concedido na modalidade referida, este contrato-promessa fica sem efeito e o Promitente-Vendedor restitui ao Promitente-Comprador, em singelo, o sinal e os reforços recebidos.</w:t>
      </w:r>
    </w:p>
    <w:p>
      <w:r>
        <w:rPr>
          <w:b/>
        </w:rPr>
        <w:t xml:space="preserve">{{pt}}. </w:t>
      </w:r>
      <w:r>
        <w:t>O contrato-promessa fica igualmente sem efeito, com restituição em singelo nos mesmos termos, se a avaliação bancária do Imóvel for inferior ao preço fixado neste contrato.</w:t>
      </w:r>
    </w:p>
    <w:p>
      <w:r>
        <w:t>{{/se}}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(Prazo)</w:t>
      </w:r>
    </w:p>
    <w:p>
      <w:r>
        <w:rPr>
          <w:b/>
        </w:rPr>
        <w:t xml:space="preserve">{{pt prazo_escritura}}. </w:t>
      </w:r>
      <w:r>
        <w:t>O Contrato Definitivo será celebrado até ao dia {{escritura_data_limite:data}}.</w:t>
      </w:r>
    </w:p>
    <w:p>
      <w:r>
        <w:rPr>
          <w:b/>
        </w:rPr>
        <w:t xml:space="preserve">{{pt}}. </w:t>
      </w:r>
      <w:r>
        <w:t>O Promitente-Comprador comunica ao Promitente-Vendedor o dia, a hora e o local da celebração do Contrato Definitivo, por carta registada enviada para o domicílio convencionado, com a antecedência mínima de {{aviso_dias:int}} dias úteis. A comunicação considera-se recebida no terceiro dia útil seguinte ao do registo da expedição da carta.</w:t>
      </w:r>
    </w:p>
    <w:p>
      <w:r>
        <w:t>{{#se onus}}</w:t>
      </w:r>
    </w:p>
    <w:p>
      <w:r>
        <w:rPr>
          <w:b/>
        </w:rPr>
        <w:t xml:space="preserve">{{pt}}. </w:t>
      </w:r>
      <w:r>
        <w:t>Se, no termo do prazo previsto no {{ref:prazo_escritura}}, ainda subsistirem os ónus e encargos indicados no {{ref:onus_lista}}, o prazo é prorrogado por, no máximo, {{onus_prorrogacao_dias:int}} dias, para que o Promitente-Vendedor obtenha o respetivo cancelamento ou o documento que o permita. Terminado esse período sem cancelamento e por motivo que não lhe seja imputável, o Promitente-Vendedor restitui o sinal em singelo; se o motivo lhe for imputável, aplica-se a {{ref:cl_incumprimento}}.</w:t>
      </w:r>
    </w:p>
    <w:p>
      <w:r>
        <w:t>{{/se}}</w:t>
      </w:r>
    </w:p>
    <w:p>
      <w:pPr>
        <w:pStyle w:val="Clausula"/>
      </w:pPr>
      <w:r>
        <w:t>CLÁUSULA {{cl cl_incumprimento}}</w:t>
      </w:r>
    </w:p>
    <w:p>
      <w:pPr>
        <w:pStyle w:val="Clausula"/>
      </w:pPr>
      <w:r>
        <w:t>(Incumprimento)</w:t>
      </w:r>
    </w:p>
    <w:p>
      <w:r>
        <w:rPr>
          <w:b/>
        </w:rPr>
        <w:t xml:space="preserve">{{pt}}. </w:t>
      </w:r>
      <w:r>
        <w:t>Se o incumprimento definitivo for imputável ao Promitente-Vendedor, o Promitente-Comprador pode optar entre:</w:t>
      </w:r>
    </w:p>
    <w:p>
      <w:r>
        <w:t>{{al}}) exigir a restituição, em dobro, do sinal e dos reforços que tenha pago, nos termos do regime legal do sinal, nada mais podendo pedir a título de indemnização; ou</w:t>
      </w:r>
    </w:p>
    <w:p>
      <w:r>
        <w:t>{{al}}) requerer a execução específica, nos termos do {{ref:execucao_especifica}}.</w:t>
      </w:r>
    </w:p>
    <w:p>
      <w:r>
        <w:rPr>
          <w:b/>
        </w:rPr>
        <w:t xml:space="preserve">{{pt}}. </w:t>
      </w:r>
      <w:r>
        <w:t>Se o incumprimento definitivo for imputável ao Promitente-Comprador, o Promitente-Vendedor pode resolver o contrato, sem outras formalidades, e fazer seus o sinal e os reforços recebidos, desde que, depois de notificado por escrito para cumprir num prazo de {{incumprimento_prazo_dias:int}} dias, o Promitente-Comprador não regularize a situação.</w:t>
      </w:r>
    </w:p>
    <w:p>
      <w:r>
        <w:rPr>
          <w:b/>
        </w:rPr>
        <w:t xml:space="preserve">{{pt}}. </w:t>
      </w:r>
      <w:r>
        <w:t>Constituem, entre outras, situações de incumprimento definitivo:</w:t>
      </w:r>
    </w:p>
    <w:p>
      <w:r>
        <w:t>{{al}}) a falta injustificada de comparência de qualquer das Partes na celebração do Contrato Definitivo, devidamente convocada;</w:t>
      </w:r>
    </w:p>
    <w:p>
      <w:r>
        <w:t>{{al}}) a não apresentação, nessa data, dos documentos ou do meio de pagamento necessários à celebração;</w:t>
      </w:r>
    </w:p>
    <w:p>
      <w:r>
        <w:t>{{al}}) a recusa em celebrar o Contrato Definitivo.</w:t>
      </w:r>
    </w:p>
    <w:p>
      <w:r>
        <w:rPr>
          <w:b/>
        </w:rPr>
        <w:t xml:space="preserve">{{pt execucao_especifica}}. </w:t>
      </w:r>
      <w:r>
        <w:t>As Partes acordam expressamente que, em caso de incumprimento, pode ser requerida a execução específica do contrato prevista no artigo 830.º do Código Civil, afastando a presunção legal em contrário que decorreria da existência de sinal.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(Tradição)</w:t>
      </w:r>
    </w:p>
    <w:p>
      <w:r>
        <w:rPr>
          <w:b/>
        </w:rPr>
        <w:t xml:space="preserve">{{pt}}. </w:t>
      </w:r>
      <w:r>
        <w:t>As Partes declaram que, na data deste contrato, não há tradição do Imóvel. A tradição só ocorrerá com a celebração do Contrato Definitivo e o pagamento integral do preço, mantendo-se o Imóvel, até lá, na posse do Promitente-Vendedor.</w:t>
      </w:r>
    </w:p>
    <w:p>
      <w:r>
        <w:rPr>
          <w:b/>
        </w:rPr>
        <w:t xml:space="preserve">{{pt}}. </w:t>
      </w:r>
      <w:r>
        <w:t>Se o Promitente-Comprador ocupar o Imóvel sem autorização, permitir a sua ocupação por terceiros, duplicar as chaves ou alterar ou forçar a fechadura, o Promitente-Vendedor pode substituir a fechadura e considerar o contrato definitivamente incumprido, ao abrigo da resolução convencionada nos termos do artigo 432.º do Código Civil, com as consequências previstas na {{ref:cl_incumprimento}} e sem prejuízo de outras, incluindo de natureza criminal.</w:t>
      </w:r>
    </w:p>
    <w:p>
      <w:r>
        <w:rPr>
          <w:b/>
        </w:rPr>
        <w:t xml:space="preserve">{{pt}}. </w:t>
      </w:r>
      <w:r>
        <w:t>O Promitente-Comprador fica informado de que o Imóvel foi visitado por outros interessados e de que podem existir outras cópias da chave, pelo que se recomenda a substituição da fechadura após a entrega das chaves.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(Documentação)</w:t>
      </w:r>
    </w:p>
    <w:p>
      <w:r>
        <w:rPr>
          <w:b/>
        </w:rPr>
        <w:t xml:space="preserve">{{pt}}. </w:t>
      </w:r>
      <w:r>
        <w:t>O Promitente-Vendedor entrega ao Promitente-Comprador os documentos e as informações que lhe cabe fornecer para a celebração do Contrato Definitivo no prazo máximo de {{documentos_prazo_dias:int}} dias úteis a contar do pedido que este lhe faça.</w:t>
      </w:r>
    </w:p>
    <w:p>
      <w:r>
        <w:rPr>
          <w:b/>
        </w:rPr>
        <w:t xml:space="preserve">{{pt}}. </w:t>
      </w:r>
      <w:r>
        <w:t>O disposto no ponto anterior não se aplica quando o atraso se deva a entidades terceiras ou a outra causa que não seja imputável ao Promitente-Vendedor.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(Impostos, Despesas e Encargos)</w:t>
      </w:r>
    </w:p>
    <w:p>
      <w:r>
        <w:rPr>
          <w:b/>
        </w:rPr>
        <w:t xml:space="preserve">{{pt}}. </w:t>
      </w:r>
      <w:r>
        <w:t>Ficam a cargo do Promitente-Comprador as despesas e os impostos relativos a este contrato e ao Contrato Definitivo, incluindo os atos notariais, registais e fiscais.</w:t>
      </w:r>
    </w:p>
    <w:p>
      <w:r>
        <w:rPr>
          <w:b/>
        </w:rPr>
        <w:t xml:space="preserve">{{pt}}. </w:t>
      </w:r>
      <w:r>
        <w:t>Excetuam-se as despesas com a obtenção dos documentos respeitantes ao Promitente-Vendedor, que ficam a seu cargo.</w:t>
      </w:r>
    </w:p>
    <w:p>
      <w:r>
        <w:t>{{#se onus}}</w:t>
      </w:r>
    </w:p>
    <w:p>
      <w:r>
        <w:rPr>
          <w:b/>
        </w:rPr>
        <w:t xml:space="preserve">{{pt}}. </w:t>
      </w:r>
      <w:r>
        <w:t>Ficam também a cargo do Promitente-Vendedor as despesas com o cancelamento dos ónus e encargos indicados no {{ref:onus_lista}}.</w:t>
      </w:r>
    </w:p>
    <w:p>
      <w:r>
        <w:t>{{/se}}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(Cessão da posição)</w:t>
      </w:r>
    </w:p>
    <w:p>
      <w:r>
        <w:t>A posição contratual de qualquer das Partes não pode ser cedida a terceiro sem o acordo prévio e escrito da outra Parte.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(Direito de preferência)</w:t>
      </w:r>
    </w:p>
    <w:p>
      <w:r>
        <w:t>Se algum titular de direito de preferência, legal ou convencional, o exercer relativamente ao Imóvel, este contrato fica sem efeito e o Promitente-Vendedor restitui ao Promitente-Comprador, em singelo, o sinal e os reforços recebidos, sem que qualquer das Partes possa exigir indemnização por esse facto, salvo dolo. O Promitente-Vendedor obriga-se a efetuar as notificações que a lei imponha aos titulares desse direito.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(Condomínio)</w:t>
      </w:r>
    </w:p>
    <w:p>
      <w:r>
        <w:rPr>
          <w:b/>
        </w:rPr>
        <w:t xml:space="preserve">{{pt}}. </w:t>
      </w:r>
      <w:r>
        <w:t>O Promitente-Comprador suporta as despesas de conservação e fruição das partes comuns e as de pagamento de serviços de interesse comum do condomínio relativas ao período posterior à celebração do Contrato Definitivo.</w:t>
      </w:r>
    </w:p>
    <w:p>
      <w:r>
        <w:rPr>
          <w:b/>
        </w:rPr>
        <w:t xml:space="preserve">{{pt}}. </w:t>
      </w:r>
      <w:r>
        <w:t>O Promitente-Vendedor suporta as despesas de condomínio relativas ao período anterior a essa celebração.</w:t>
      </w:r>
    </w:p>
    <w:p>
      <w:r>
        <w:rPr>
          <w:b/>
        </w:rPr>
        <w:t xml:space="preserve">{{pt}}. </w:t>
      </w:r>
      <w:r>
        <w:t>Sendo o Imóvel fração de prédio em propriedade horizontal, o Promitente-Vendedor entrega ao Promitente-Comprador, no prazo máximo de {{condominio_prazo_dias:int}} dias a contar da data deste contrato, declaração escrita do administrador do condomínio que indique os encargos em vigor relativos à fração, com a sua natureza, montante e prazos de pagamento, e as dívidas existentes, com a sua natureza, montante e datas de constituição e vencimento, nos termos da lei aplicável.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(Domicílio convencionado e comunicações)</w:t>
      </w:r>
    </w:p>
    <w:p>
      <w:r>
        <w:rPr>
          <w:b/>
        </w:rPr>
        <w:t xml:space="preserve">{{pt}}. </w:t>
      </w:r>
      <w:r>
        <w:t>Para todas as comunicações relativas a este contrato, as Partes fixam como domicílio convencionado as moradas indicadas na sua identificação.</w:t>
      </w:r>
    </w:p>
    <w:p>
      <w:r>
        <w:rPr>
          <w:b/>
        </w:rPr>
        <w:t xml:space="preserve">{{pt}}. </w:t>
      </w:r>
      <w:r>
        <w:t>O envio de carta registada para essas moradas constitui prova suficiente da comunicação, incluindo para efeitos de incumprimento definitivo.</w:t>
      </w:r>
    </w:p>
    <w:p>
      <w:r>
        <w:rPr>
          <w:b/>
        </w:rPr>
        <w:t xml:space="preserve">{{pt}}. </w:t>
      </w:r>
      <w:r>
        <w:t>A alteração de morada deve ser comunicada à outra Parte no prazo máximo de {{domicilio_prazo_dias:int}} dias seguidos; na falta de comunicação, são válidas e eficazes as comunicações enviadas para a morada anterior.</w:t>
      </w:r>
    </w:p>
    <w:p>
      <w:r>
        <w:rPr>
          <w:b/>
        </w:rPr>
        <w:t xml:space="preserve">{{pt}}. </w:t>
      </w:r>
      <w:r>
        <w:t>Sem prejuízo das comunicações que a lei ou este contrato exijam por carta registada, com ou sem aviso de receção, as restantes podem ser feitas para os seguintes endereços eletrónicos:</w:t>
      </w:r>
    </w:p>
    <w:p>
      <w:r>
        <w:t>{{al}}) Promitente-Vendedor: {{vendedor_email}};</w:t>
      </w:r>
    </w:p>
    <w:p>
      <w:r>
        <w:t>{{al}}) Promitente-Comprador: {{comprador_email}}.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(Alterações ao contrato)</w:t>
      </w:r>
    </w:p>
    <w:p>
      <w:r>
        <w:t>Este contrato exprime o acordo integral das Partes quanto ao seu objeto e só pode ser alterado ou revogado por documento escrito e assinado por ambas. As suas cláusulas formam um todo e têm igual relevância para o cumprimento do contrato.</w:t>
      </w:r>
    </w:p>
    <w:p>
      <w:r>
        <w:t>{{#se mediacao}}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(Mediação Imobiliária)</w:t>
      </w:r>
    </w:p>
    <w:p>
      <w:r>
        <w:t>As Partes declaram que este negócio contou com a intervenção da empresa de mediação imobiliária {{mediadora_nome}}, NIPC {{mediadora_nipc:nipc}}, titular da licença AMI n.º {{mediadora_licenca_ami}}.</w:t>
      </w:r>
    </w:p>
    <w:p>
      <w:r>
        <w:t>{{/se}}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(Reconhecimento)</w:t>
      </w:r>
    </w:p>
    <w:p>
      <w:r>
        <w:rPr>
          <w:b/>
        </w:rPr>
        <w:t xml:space="preserve">{{pt}}. </w:t>
      </w:r>
      <w:r>
        <w:t>As Partes declaram ter sido informadas de que a lei exige, para a validade do contrato-promessa de compra e venda de imóvel, documento assinado pelos promitentes com reconhecimento presencial das assinaturas e certificação da existência da licença de utilização ou de construção.</w:t>
      </w:r>
    </w:p>
    <w:p>
      <w:r>
        <w:t>{{#se reconhecimento_presencial}}</w:t>
      </w:r>
    </w:p>
    <w:p>
      <w:r>
        <w:rPr>
          <w:b/>
        </w:rPr>
        <w:t xml:space="preserve">{{pt}}. </w:t>
      </w:r>
      <w:r>
        <w:t>As assinaturas deste contrato são reconhecidas presencialmente por {{reconhecimento_entidade}}, que certifica a licença de utilização referida no {{ref:licenca_utilizacao}}.</w:t>
      </w:r>
    </w:p>
    <w:p>
      <w:r>
        <w:t>{{#senao}}</w:t>
      </w:r>
    </w:p>
    <w:p>
      <w:r>
        <w:rPr>
          <w:b/>
        </w:rPr>
        <w:t xml:space="preserve">{{pt}}. </w:t>
      </w:r>
      <w:r>
        <w:t>Cientes da exigência legal referida no ponto anterior, as Partes acordam em não proceder ao reconhecimento presencial das assinaturas, ficando o contrato sujeito ao regime legal aplicável a essa omissão.</w:t>
      </w:r>
    </w:p>
    <w:p>
      <w:r>
        <w:t>{{/se}}</w:t>
      </w:r>
    </w:p>
    <w:p>
      <w:pPr>
        <w:pStyle w:val="Clausula"/>
      </w:pPr>
      <w:r>
        <w:t>CLÁUSULA {{cl}}</w:t>
      </w:r>
    </w:p>
    <w:p>
      <w:pPr>
        <w:pStyle w:val="Clausula"/>
      </w:pPr>
      <w:r>
        <w:t>(Foro)</w:t>
      </w:r>
    </w:p>
    <w:p>
      <w:r>
        <w:t>Para resolver qualquer litígio relativo à interpretação, validade, execução ou incumprimento deste contrato, as Partes escolhem o foro da comarca de {{foro_comarca}}, com renúncia a qualquer outro.</w:t>
      </w:r>
    </w:p>
    <w:p>
      <w:r>
        <w:t>O presente contrato é feito em duas vias, de igual valor, ficando um exemplar em poder de cada Parte.</w:t>
      </w:r>
    </w:p>
    <w:p>
      <w:r>
        <w:t>Depois de o lerem e por estarem de acordo com o seu conteúdo, as Partes assinam-no.</w:t>
      </w:r>
    </w:p>
    <w:p>
      <w:r>
        <w:t>{{contrato_local}}, {{contrato_data:data}}</w:t>
      </w:r>
    </w:p>
    <w:p>
      <w:r>
        <w:t>O Promitente-Vendedor</w:t>
      </w:r>
    </w:p>
    <w:p>
      <w:pPr>
        <w:jc w:val="left"/>
      </w:pPr>
      <w:r>
        <w:t>____________________________________________</w:t>
      </w:r>
    </w:p>
    <w:p>
      <w:r>
        <w:t>O Promitente-Comprador</w:t>
      </w:r>
    </w:p>
    <w:p>
      <w:pPr>
        <w:jc w:val="left"/>
      </w:pPr>
      <w:r>
        <w:t>____________________________________________</w:t>
      </w:r>
    </w:p>
    <w:sectPr w:rsidR="00FC693F" w:rsidRPr="0006063C" w:rsidSect="00034616">
      <w:footerReference w:type="default" r:id="rId9"/>
      <w:pgSz w:w="11906" w:h="16838"/>
      <w:pgMar w:top="1134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20"/>
      </w:rPr>
      <w:t xml:space="preserve">Página </w:t>
    </w:r>
    <w:r>
      <w:rPr>
        <w:rFonts w:ascii="Calibri" w:hAnsi="Calibri"/>
        <w:sz w:val="20"/>
      </w:rPr>
      <w:fldChar w:fldCharType="begin"/>
    </w:r>
    <w:r>
      <w:rPr>
        <w:rFonts w:ascii="Calibri" w:hAnsi="Calibri"/>
        <w:sz w:val="20"/>
      </w:rPr>
      <w:instrText xml:space="preserve"> PAGE </w:instrText>
    </w:r>
    <w:r>
      <w:rPr>
        <w:rFonts w:ascii="Calibri" w:hAnsi="Calibri"/>
        <w:sz w:val="20"/>
      </w:rPr>
      <w:fldChar w:fldCharType="separate"/>
    </w:r>
    <w:r>
      <w:rPr>
        <w:rFonts w:ascii="Calibri" w:hAnsi="Calibri"/>
        <w:sz w:val="20"/>
      </w:rPr>
      <w:t>1</w:t>
    </w:r>
    <w:r>
      <w:rPr>
        <w:rFonts w:ascii="Calibri" w:hAnsi="Calibri"/>
        <w:sz w:val="20"/>
      </w:rPr>
      <w:fldChar w:fldCharType="end"/>
    </w:r>
    <w:r>
      <w:rPr>
        <w:rFonts w:ascii="Calibri" w:hAnsi="Calibri"/>
        <w:sz w:val="20"/>
      </w:rPr>
      <w:t xml:space="preserve"> de </w:t>
    </w:r>
    <w:r>
      <w:rPr>
        <w:rFonts w:ascii="Calibri" w:hAnsi="Calibri"/>
        <w:sz w:val="20"/>
      </w:rPr>
      <w:fldChar w:fldCharType="begin"/>
    </w:r>
    <w:r>
      <w:rPr>
        <w:rFonts w:ascii="Calibri" w:hAnsi="Calibri"/>
        <w:sz w:val="20"/>
      </w:rPr>
      <w:instrText xml:space="preserve"> NUMPAGES </w:instrText>
    </w:r>
    <w:r>
      <w:rPr>
        <w:rFonts w:ascii="Calibri" w:hAnsi="Calibri"/>
        <w:sz w:val="20"/>
      </w:rPr>
      <w:fldChar w:fldCharType="separate"/>
    </w:r>
    <w:r>
      <w:rPr>
        <w:rFonts w:ascii="Calibri" w:hAnsi="Calibri"/>
        <w:sz w:val="20"/>
      </w:rPr>
      <w:t>1</w:t>
    </w:r>
    <w:r>
      <w:rPr>
        <w:rFonts w:ascii="Calibri" w:hAnsi="Calibri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tabs>
        <w:tab w:pos="9015" w:val="left" w:leader="hyphen"/>
      </w:tabs>
      <w:spacing w:before="80" w:after="120" w:line="360" w:lineRule="auto"/>
      <w:jc w:val="both"/>
    </w:pPr>
    <w:rPr>
      <w:rFonts w:ascii="Helvetica" w:hAnsi="Helvetica" w:cs="Helvetica" w:eastAsia="Helvetica"/>
      <w:sz w:val="24"/>
      <w:lang w:val="pt-PT" w:eastAsia="pt-P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  <w:jc w:val="center"/>
    </w:pPr>
    <w:rPr>
      <w:rFonts w:ascii="Helvetica" w:hAnsi="Helvetica" w:cs="Helvetica" w:eastAsia="Helvetica"/>
      <w:b/>
      <w:spacing w:val="5"/>
      <w:kern w:val="28"/>
      <w:sz w:val="32"/>
      <w:szCs w:val="52"/>
      <w:lang w:val="pt-PT" w:eastAsia="pt-P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ula">
    <w:name w:val="Clausula"/>
    <w:basedOn w:val="Normal"/>
    <w:next w:val="Normal"/>
    <w:pPr>
      <w:keepNext/>
      <w:spacing w:after="0" w:line="240" w:lineRule="auto"/>
      <w:jc w:val="center"/>
    </w:pPr>
    <w:rPr>
      <w:rFonts w:ascii="Helvetica" w:hAnsi="Helvetica" w:cs="Helvetica" w:eastAsia="Helvetica"/>
      <w:b/>
      <w:sz w:val="24"/>
      <w:lang w:val="pt-PT" w:eastAsia="pt-PT"/>
      <w:spacing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