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1C85" w14:textId="77777777" w:rsidR="001436C6" w:rsidRDefault="001436C6"/>
    <w:p w14:paraId="7CDB1AD1" w14:textId="77777777" w:rsidR="001436C6" w:rsidRDefault="001436C6"/>
    <w:p w14:paraId="7CA0B18B" w14:textId="77777777" w:rsidR="001436C6" w:rsidRDefault="001436C6"/>
    <w:p w14:paraId="3BC817CF" w14:textId="77777777" w:rsidR="001436C6" w:rsidRDefault="00664574">
      <w:pPr>
        <w:jc w:val="center"/>
      </w:pPr>
      <w:r>
        <w:rPr>
          <w:rFonts w:eastAsia="SimHei"/>
          <w:b/>
          <w:sz w:val="36"/>
        </w:rPr>
        <w:t xml:space="preserve">2026 </w:t>
      </w:r>
      <w:r>
        <w:rPr>
          <w:rFonts w:eastAsia="SimHei"/>
          <w:b/>
          <w:sz w:val="36"/>
        </w:rPr>
        <w:t>年《概率论与随机过程》小组作业</w:t>
      </w:r>
    </w:p>
    <w:p w14:paraId="064632D9" w14:textId="77777777" w:rsidR="001436C6" w:rsidRDefault="001436C6">
      <w:pPr>
        <w:jc w:val="center"/>
      </w:pPr>
    </w:p>
    <w:p w14:paraId="4E196FB8" w14:textId="77777777" w:rsidR="001436C6" w:rsidRDefault="00664574">
      <w:pPr>
        <w:jc w:val="center"/>
      </w:pPr>
      <w:r>
        <w:rPr>
          <w:rFonts w:eastAsia="SimHei"/>
          <w:b/>
          <w:sz w:val="36"/>
        </w:rPr>
        <w:t>题目：大型活动安防中的随机到达、排队拥堵与巡逻发现：高阶叙事性模拟</w:t>
      </w:r>
    </w:p>
    <w:p w14:paraId="40DFCB39" w14:textId="77777777" w:rsidR="001436C6" w:rsidRDefault="001436C6">
      <w:pPr>
        <w:jc w:val="center"/>
      </w:pPr>
    </w:p>
    <w:p w14:paraId="64841A54" w14:textId="77777777" w:rsidR="001436C6" w:rsidRDefault="00664574">
      <w:pPr>
        <w:jc w:val="center"/>
      </w:pPr>
      <w:r>
        <w:rPr>
          <w:sz w:val="28"/>
        </w:rPr>
        <w:t>学院：国际学院</w:t>
      </w:r>
    </w:p>
    <w:p w14:paraId="3AF2F370" w14:textId="77777777" w:rsidR="001436C6" w:rsidRDefault="00664574">
      <w:pPr>
        <w:jc w:val="center"/>
      </w:pPr>
      <w:r>
        <w:rPr>
          <w:sz w:val="28"/>
        </w:rPr>
        <w:t>年级：</w:t>
      </w:r>
      <w:r>
        <w:rPr>
          <w:sz w:val="28"/>
        </w:rPr>
        <w:t>2024</w:t>
      </w:r>
      <w:r>
        <w:rPr>
          <w:sz w:val="28"/>
        </w:rPr>
        <w:t>级</w:t>
      </w:r>
    </w:p>
    <w:p w14:paraId="1571F13F" w14:textId="77777777" w:rsidR="001436C6" w:rsidRDefault="00664574">
      <w:pPr>
        <w:jc w:val="center"/>
      </w:pPr>
      <w:r>
        <w:rPr>
          <w:sz w:val="28"/>
        </w:rPr>
        <w:t>小组编号：第</w:t>
      </w:r>
      <w:r>
        <w:rPr>
          <w:sz w:val="28"/>
        </w:rPr>
        <w:t xml:space="preserve"> 8 </w:t>
      </w:r>
      <w:r>
        <w:rPr>
          <w:sz w:val="28"/>
        </w:rPr>
        <w:t>组</w:t>
      </w:r>
    </w:p>
    <w:p w14:paraId="4F40C465" w14:textId="77777777" w:rsidR="001436C6" w:rsidRDefault="00664574">
      <w:pPr>
        <w:jc w:val="center"/>
      </w:pPr>
      <w:r>
        <w:rPr>
          <w:sz w:val="28"/>
        </w:rPr>
        <w:t>成员：</w:t>
      </w:r>
      <w:r>
        <w:rPr>
          <w:sz w:val="28"/>
        </w:rPr>
        <w:t xml:space="preserve">2024213209 </w:t>
      </w:r>
      <w:r>
        <w:rPr>
          <w:sz w:val="28"/>
        </w:rPr>
        <w:t>王方宇（模型推导与报告撰写）</w:t>
      </w:r>
    </w:p>
    <w:p w14:paraId="02BB2D9D" w14:textId="77777777" w:rsidR="001436C6" w:rsidRDefault="00664574">
      <w:pPr>
        <w:jc w:val="center"/>
      </w:pPr>
      <w:r>
        <w:rPr>
          <w:sz w:val="28"/>
        </w:rPr>
        <w:t xml:space="preserve">      2024213181 </w:t>
      </w:r>
      <w:r>
        <w:rPr>
          <w:sz w:val="28"/>
        </w:rPr>
        <w:t>黄骏杰（交互网页与仿真实现）</w:t>
      </w:r>
    </w:p>
    <w:p w14:paraId="61D1881F" w14:textId="77777777" w:rsidR="001436C6" w:rsidRDefault="00664574">
      <w:pPr>
        <w:jc w:val="center"/>
      </w:pPr>
      <w:r>
        <w:rPr>
          <w:sz w:val="28"/>
        </w:rPr>
        <w:t xml:space="preserve">      2024213211 </w:t>
      </w:r>
      <w:r>
        <w:rPr>
          <w:sz w:val="28"/>
        </w:rPr>
        <w:t>刘益泽（图表分析与资料整理）</w:t>
      </w:r>
    </w:p>
    <w:p w14:paraId="3E5FEDEC" w14:textId="77777777" w:rsidR="001436C6" w:rsidRDefault="00664574">
      <w:pPr>
        <w:jc w:val="center"/>
      </w:pPr>
      <w:r>
        <w:rPr>
          <w:sz w:val="28"/>
        </w:rPr>
        <w:t xml:space="preserve">      2024213201 </w:t>
      </w:r>
      <w:r>
        <w:rPr>
          <w:sz w:val="28"/>
        </w:rPr>
        <w:t>李克轩（展示设计与复核）</w:t>
      </w:r>
    </w:p>
    <w:p w14:paraId="01374D5B" w14:textId="77777777" w:rsidR="001436C6" w:rsidRDefault="00664574">
      <w:pPr>
        <w:jc w:val="center"/>
      </w:pPr>
      <w:r>
        <w:rPr>
          <w:sz w:val="28"/>
        </w:rPr>
        <w:t>指导教师：李丽华</w:t>
      </w:r>
    </w:p>
    <w:p w14:paraId="419F4EA3" w14:textId="77777777" w:rsidR="001436C6" w:rsidRDefault="00664574">
      <w:pPr>
        <w:jc w:val="center"/>
      </w:pPr>
      <w:r>
        <w:rPr>
          <w:sz w:val="28"/>
        </w:rPr>
        <w:t>二〇二六年五月</w:t>
      </w:r>
    </w:p>
    <w:p w14:paraId="17988DFF" w14:textId="77777777" w:rsidR="001436C6" w:rsidRDefault="00664574">
      <w:r>
        <w:br w:type="page"/>
      </w:r>
    </w:p>
    <w:p w14:paraId="528C3937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lastRenderedPageBreak/>
        <w:t>摘</w:t>
      </w:r>
      <w:r>
        <w:rPr>
          <w:rFonts w:eastAsia="SimHei"/>
          <w:b/>
          <w:sz w:val="28"/>
        </w:rPr>
        <w:t xml:space="preserve"> </w:t>
      </w:r>
      <w:r>
        <w:rPr>
          <w:rFonts w:eastAsia="SimHei"/>
          <w:b/>
          <w:sz w:val="28"/>
        </w:rPr>
        <w:t>要</w:t>
      </w:r>
    </w:p>
    <w:p w14:paraId="687BDB0E" w14:textId="77777777" w:rsidR="001436C6" w:rsidRDefault="00664574">
      <w:pPr>
        <w:spacing w:after="120" w:line="360" w:lineRule="auto"/>
        <w:ind w:firstLine="420"/>
      </w:pPr>
      <w:r>
        <w:t>大型演唱会等密集性活动面临入场拥堵、报警误判和巡逻响应三类核心安防风险。本文以概率论与随机过程为工具，围绕</w:t>
      </w:r>
      <w:r>
        <w:t>“</w:t>
      </w:r>
      <w:r>
        <w:t>随机到达</w:t>
      </w:r>
      <w:r>
        <w:t>—</w:t>
      </w:r>
      <w:r>
        <w:t>门区排队</w:t>
      </w:r>
      <w:r>
        <w:t>—</w:t>
      </w:r>
      <w:r>
        <w:t>报警可信度</w:t>
      </w:r>
      <w:r>
        <w:t>—</w:t>
      </w:r>
      <w:r>
        <w:t>场内巡逻</w:t>
      </w:r>
      <w:r>
        <w:t>”</w:t>
      </w:r>
      <w:r>
        <w:t>构建了一套高阶叙事性仿真框架，并配套两套交互系统（纯前端叙事版与</w:t>
      </w:r>
      <w:r>
        <w:t xml:space="preserve"> React </w:t>
      </w:r>
      <w:r>
        <w:t>数据仪表板版）加以可视化呈现。观众入场过程采用非齐次泊松过程刻画双峰波形，安检口服务以离散</w:t>
      </w:r>
      <w:r>
        <w:t xml:space="preserve"> M/M/c </w:t>
      </w:r>
      <w:r>
        <w:t>排队近似，报警可信度用贝叶斯后验概率揭示低基率效应，场内巡逻则转化为二维随机游走的首达时问题。基准场景（</w:t>
      </w:r>
      <w:r>
        <w:t xml:space="preserve">36 </w:t>
      </w:r>
      <w:r>
        <w:t>通道、集中度</w:t>
      </w:r>
      <w:r>
        <w:t xml:space="preserve"> 1.20</w:t>
      </w:r>
      <w:r>
        <w:t>）下，</w:t>
      </w:r>
      <w:r>
        <w:t xml:space="preserve">300 </w:t>
      </w:r>
      <w:r>
        <w:t>次蒙特卡洛模拟显示最大队列超过</w:t>
      </w:r>
      <w:r>
        <w:t xml:space="preserve"> 2500 </w:t>
      </w:r>
      <w:r>
        <w:t>人阈值的概率为</w:t>
      </w:r>
      <w:r>
        <w:t xml:space="preserve"> 26.7%</w:t>
      </w:r>
      <w:r>
        <w:t>，平均最大队列约</w:t>
      </w:r>
      <w:r>
        <w:t xml:space="preserve"> 2359 </w:t>
      </w:r>
      <w:r>
        <w:t>人，</w:t>
      </w:r>
      <w:r>
        <w:t xml:space="preserve">90 </w:t>
      </w:r>
      <w:r>
        <w:t>分位最大队列达到</w:t>
      </w:r>
      <w:r>
        <w:t xml:space="preserve"> 2679 </w:t>
      </w:r>
      <w:r>
        <w:t>人；识别系统在</w:t>
      </w:r>
      <w:r>
        <w:t xml:space="preserve"> 95% </w:t>
      </w:r>
      <w:r>
        <w:t>灵敏度与</w:t>
      </w:r>
      <w:r>
        <w:t xml:space="preserve"> 0.5% </w:t>
      </w:r>
      <w:r>
        <w:t>误报率下，报警后验概率仅约</w:t>
      </w:r>
      <w:r>
        <w:t xml:space="preserve"> 13.7%</w:t>
      </w:r>
      <w:r>
        <w:t>，单场误报核查耗费约</w:t>
      </w:r>
      <w:r>
        <w:t xml:space="preserve"> 200 </w:t>
      </w:r>
      <w:r>
        <w:t>警员小时。结果表明，单次仿真的平均值会系统性地低估尾部风险；错峰入场、通道冗余、降低误报与热点巡逻的组合策略在四个维度上均优于单一措施，为大型活动安防的量化决策提供了可复现的参考依据。</w:t>
      </w:r>
    </w:p>
    <w:p w14:paraId="728F8D63" w14:textId="77777777" w:rsidR="001436C6" w:rsidRDefault="00664574">
      <w:pPr>
        <w:spacing w:after="120" w:line="360" w:lineRule="auto"/>
      </w:pPr>
      <w:r>
        <w:t>关键词：非齐次泊松过程；</w:t>
      </w:r>
      <w:r>
        <w:t xml:space="preserve">M/M/c </w:t>
      </w:r>
      <w:r>
        <w:t>排队论；贝叶斯后验概率；随机游走首达时；蒙特卡洛模拟；大型活动安防</w:t>
      </w:r>
    </w:p>
    <w:p w14:paraId="082FFEFD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t>目录</w:t>
      </w:r>
    </w:p>
    <w:p w14:paraId="3455D24E" w14:textId="77777777" w:rsidR="001436C6" w:rsidRDefault="00664574">
      <w:pPr>
        <w:spacing w:after="120" w:line="360" w:lineRule="auto"/>
      </w:pPr>
      <w:r>
        <w:t>第一章</w:t>
      </w:r>
      <w:r>
        <w:t xml:space="preserve"> </w:t>
      </w:r>
      <w:r>
        <w:t>绪论</w:t>
      </w:r>
    </w:p>
    <w:p w14:paraId="5B71BC1F" w14:textId="77777777" w:rsidR="001436C6" w:rsidRDefault="00664574">
      <w:pPr>
        <w:spacing w:after="120" w:line="360" w:lineRule="auto"/>
      </w:pPr>
      <w:r>
        <w:t>第二章</w:t>
      </w:r>
      <w:r>
        <w:t xml:space="preserve"> </w:t>
      </w:r>
      <w:r>
        <w:t>相关理论与模型构建</w:t>
      </w:r>
    </w:p>
    <w:p w14:paraId="354ADD89" w14:textId="77777777" w:rsidR="001436C6" w:rsidRDefault="00664574">
      <w:pPr>
        <w:spacing w:after="120" w:line="360" w:lineRule="auto"/>
      </w:pPr>
      <w:r>
        <w:t>第三章</w:t>
      </w:r>
      <w:r>
        <w:t xml:space="preserve"> </w:t>
      </w:r>
      <w:r>
        <w:t>叙事性模拟设计与交互实现</w:t>
      </w:r>
    </w:p>
    <w:p w14:paraId="1421964E" w14:textId="77777777" w:rsidR="001436C6" w:rsidRDefault="00664574">
      <w:pPr>
        <w:spacing w:after="120" w:line="360" w:lineRule="auto"/>
      </w:pPr>
      <w:r>
        <w:t>第四章</w:t>
      </w:r>
      <w:r>
        <w:t xml:space="preserve"> </w:t>
      </w:r>
      <w:r>
        <w:t>模拟结果与概率解释</w:t>
      </w:r>
    </w:p>
    <w:p w14:paraId="678FF764" w14:textId="77777777" w:rsidR="001436C6" w:rsidRDefault="00664574">
      <w:pPr>
        <w:spacing w:after="120" w:line="360" w:lineRule="auto"/>
      </w:pPr>
      <w:r>
        <w:t>第五章</w:t>
      </w:r>
      <w:r>
        <w:t xml:space="preserve"> </w:t>
      </w:r>
      <w:r>
        <w:t>安防策略建议与方案比较</w:t>
      </w:r>
    </w:p>
    <w:p w14:paraId="191294FE" w14:textId="77777777" w:rsidR="001436C6" w:rsidRDefault="00664574">
      <w:pPr>
        <w:spacing w:after="120" w:line="360" w:lineRule="auto"/>
      </w:pPr>
      <w:r>
        <w:t>第六章</w:t>
      </w:r>
      <w:r>
        <w:t xml:space="preserve"> </w:t>
      </w:r>
      <w:r>
        <w:t>学习反思报告</w:t>
      </w:r>
    </w:p>
    <w:p w14:paraId="78EA89B2" w14:textId="77777777" w:rsidR="001436C6" w:rsidRDefault="00664574">
      <w:pPr>
        <w:spacing w:after="120" w:line="360" w:lineRule="auto"/>
      </w:pPr>
      <w:r>
        <w:t>参考文献</w:t>
      </w:r>
    </w:p>
    <w:p w14:paraId="58B15F0F" w14:textId="77777777" w:rsidR="001436C6" w:rsidRDefault="00664574">
      <w:pPr>
        <w:spacing w:after="120" w:line="360" w:lineRule="auto"/>
      </w:pPr>
      <w:r>
        <w:t>附录（代码与运行说明）</w:t>
      </w:r>
    </w:p>
    <w:p w14:paraId="2798A3C8" w14:textId="77777777" w:rsidR="001436C6" w:rsidRDefault="00664574">
      <w:r>
        <w:br w:type="page"/>
      </w:r>
    </w:p>
    <w:p w14:paraId="25D007A0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lastRenderedPageBreak/>
        <w:t>第一章</w:t>
      </w:r>
      <w:r>
        <w:rPr>
          <w:rFonts w:eastAsia="SimHei"/>
          <w:b/>
          <w:sz w:val="28"/>
        </w:rPr>
        <w:t xml:space="preserve"> </w:t>
      </w:r>
      <w:r>
        <w:rPr>
          <w:rFonts w:eastAsia="SimHei"/>
          <w:b/>
          <w:sz w:val="28"/>
        </w:rPr>
        <w:t>绪论</w:t>
      </w:r>
    </w:p>
    <w:p w14:paraId="38C1420B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1.1 </w:t>
      </w:r>
      <w:r>
        <w:rPr>
          <w:rFonts w:eastAsia="SimHei"/>
          <w:b/>
          <w:sz w:val="26"/>
        </w:rPr>
        <w:t>研究背景</w:t>
      </w:r>
    </w:p>
    <w:p w14:paraId="690F6D52" w14:textId="77777777" w:rsidR="001436C6" w:rsidRDefault="00664574">
      <w:pPr>
        <w:spacing w:after="120" w:line="360" w:lineRule="auto"/>
        <w:ind w:firstLine="420"/>
      </w:pPr>
      <w:r>
        <w:t>近年来，大型演唱会、体育赛事和节庆活动的规模持续扩大，单场观众数量动辄超过数万人。安防压力通常在开场前</w:t>
      </w:r>
      <w:r>
        <w:t xml:space="preserve"> 30 </w:t>
      </w:r>
      <w:r>
        <w:t>至</w:t>
      </w:r>
      <w:r>
        <w:t xml:space="preserve"> 60 </w:t>
      </w:r>
      <w:r>
        <w:t>分钟内骤然集中，形成入场波峰。实际风险并不只来自总人数，而来自人群到达的随机波动、安检服务能力的不确定性、识别报警系统的低基率误判，以及巡逻队伍在二维空间中的搜索效率。若只使用平均人数或静态图表描述，很容易忽略队列突然积累、误报大量占用警力和异常点迟迟未被发现等尾部风险。</w:t>
      </w:r>
    </w:p>
    <w:p w14:paraId="0FE1CE04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1.2 </w:t>
      </w:r>
      <w:r>
        <w:rPr>
          <w:rFonts w:eastAsia="SimHei"/>
          <w:b/>
          <w:sz w:val="26"/>
        </w:rPr>
        <w:t>探究目标</w:t>
      </w:r>
    </w:p>
    <w:p w14:paraId="64A92028" w14:textId="77777777" w:rsidR="001436C6" w:rsidRDefault="00664574">
      <w:pPr>
        <w:spacing w:after="120" w:line="360" w:lineRule="auto"/>
        <w:ind w:firstLine="420"/>
      </w:pPr>
      <w:r>
        <w:t>本项目选择</w:t>
      </w:r>
      <w:r>
        <w:t>“</w:t>
      </w:r>
      <w:r>
        <w:t>大型活动安防</w:t>
      </w:r>
      <w:r>
        <w:t>”</w:t>
      </w:r>
      <w:r>
        <w:t>作为小切口，目标不是复刻真实场馆的全部复杂性，而是用概率论与随机过程中的典型工具讲清一个完整决策故事：观众如何随机到达，队列如何积累并形成拥堵风险，报警信号如何在低基率下被解读，巡逻如何以随机游走方式搜索异常，以及如何从参数对比中提炼安防优化策略。交互作品对应作业说明中</w:t>
      </w:r>
      <w:r>
        <w:t>“</w:t>
      </w:r>
      <w:r>
        <w:t>高阶：叙事性模拟</w:t>
      </w:r>
      <w:r>
        <w:t>”</w:t>
      </w:r>
      <w:r>
        <w:t>的要求，将理论推导、动态仿真、关键指标和可调控件整合为两套</w:t>
      </w:r>
      <w:r>
        <w:t xml:space="preserve"> Web </w:t>
      </w:r>
      <w:r>
        <w:t>应用，形成可探索的量化分析报告。</w:t>
      </w:r>
    </w:p>
    <w:p w14:paraId="47437AEB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t>第二章</w:t>
      </w:r>
      <w:r>
        <w:rPr>
          <w:rFonts w:eastAsia="SimHei"/>
          <w:b/>
          <w:sz w:val="28"/>
        </w:rPr>
        <w:t xml:space="preserve"> </w:t>
      </w:r>
      <w:r>
        <w:rPr>
          <w:rFonts w:eastAsia="SimHei"/>
          <w:b/>
          <w:sz w:val="28"/>
        </w:rPr>
        <w:t>相关理论与模型构建</w:t>
      </w:r>
    </w:p>
    <w:p w14:paraId="02CF61CA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2.1 </w:t>
      </w:r>
      <w:r>
        <w:rPr>
          <w:rFonts w:eastAsia="SimHei"/>
          <w:b/>
          <w:sz w:val="26"/>
        </w:rPr>
        <w:t>非齐次泊松到达过程</w:t>
      </w:r>
    </w:p>
    <w:p w14:paraId="68E742BE" w14:textId="77777777" w:rsidR="001436C6" w:rsidRDefault="00664574">
      <w:pPr>
        <w:spacing w:after="120" w:line="360" w:lineRule="auto"/>
        <w:ind w:firstLine="420"/>
      </w:pPr>
      <w:r>
        <w:t>在实际大型活动中，观众到达大门的时间分布并不是均匀的，而是随着开场时间的临近呈现出强烈的波动性与时间相关性。为了精确刻画这一非平稳随机过程，本项目采用非齐次泊松过程（</w:t>
      </w:r>
      <w:r>
        <w:t>Non-homogeneous Poisson Process, NHPP</w:t>
      </w:r>
      <w:r>
        <w:t>）进行建模。设</w:t>
      </w:r>
      <w:r>
        <w:t xml:space="preserve"> A(t) </w:t>
      </w:r>
      <w:r>
        <w:t>为从开门（</w:t>
      </w:r>
      <w:r>
        <w:t>t=0</w:t>
      </w:r>
      <w:r>
        <w:t>）到第</w:t>
      </w:r>
      <w:r>
        <w:t xml:space="preserve"> t </w:t>
      </w:r>
      <w:r>
        <w:t>分钟累计到达的观众总数。由于到达率随时间变化，我们定义一个随时间变化的时变强度函数</w:t>
      </w:r>
      <w:r>
        <w:t xml:space="preserve"> λ(t) ≥ 0</w:t>
      </w:r>
      <w:r>
        <w:t>。根据非齐次泊松过程的数学定义，在任意时间区间</w:t>
      </w:r>
      <w:r>
        <w:t xml:space="preserve"> (t_1, t_2] </w:t>
      </w:r>
      <w:r>
        <w:t>内，到达人数增量服从泊松分布，其概率质量函数为：</w:t>
      </w:r>
    </w:p>
    <w:p w14:paraId="0AF8745B" w14:textId="5399E1DC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/>
            </w:rPr>
            <m:t>P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</w:rPr>
                <m:t>- N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/>
                </w:rPr>
                <m:t>= k</m:t>
              </m:r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Λ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="Cambria Math" w:hAnsi="Cambria Math"/>
                    </w:rPr>
                    <m:t xml:space="preserve">· 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/>
                        </w:rPr>
                        <m:t>-Λ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/>
                            </w:rPr>
                            <m:t xml:space="preserve">, 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num>
            <m:den/>
          </m:f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k!</m:t>
              </m:r>
            </m:e>
          </m:d>
          <m:r>
            <w:rPr>
              <w:rFonts w:ascii="Cambria Math" w:eastAsia="Cambria Math" w:hAnsi="Cambria Math"/>
            </w:rPr>
            <m:t xml:space="preserve"> 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k = 0, 1, 2, …</m:t>
              </m:r>
            </m:e>
          </m:d>
        </m:oMath>
      </m:oMathPara>
    </w:p>
    <w:p w14:paraId="78947ECD" w14:textId="77777777" w:rsidR="001436C6" w:rsidRDefault="00664574">
      <w:pPr>
        <w:spacing w:after="120" w:line="360" w:lineRule="auto"/>
        <w:ind w:firstLine="420"/>
      </w:pPr>
      <w:r>
        <w:t>其中，累计到达人数的期望值（即均值积分）为：</w:t>
      </w:r>
    </w:p>
    <w:p w14:paraId="73D18411" w14:textId="284F04D8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 w:hint="eastAsia"/>
            </w:rPr>
            <w:lastRenderedPageBreak/>
            <m:t>Λ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Cambria Math" w:hAnsi="Cambria Math"/>
            </w:rPr>
            <m:t xml:space="preserve">= </m:t>
          </m:r>
          <m:nary>
            <m:naryPr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eastAsia="Cambria Math" w:hAnsi="Cambria Math"/>
                </w:rPr>
                <m:t>λ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u</m:t>
                  </m:r>
                </m:e>
              </m:d>
              <m:r>
                <w:rPr>
                  <w:rFonts w:ascii="Cambria Math" w:eastAsia="Cambria Math" w:hAnsi="Cambria Math"/>
                </w:rPr>
                <m:t>du</m:t>
              </m:r>
            </m:e>
          </m:nary>
        </m:oMath>
      </m:oMathPara>
    </w:p>
    <w:p w14:paraId="47C47B48" w14:textId="77777777" w:rsidR="001436C6" w:rsidRDefault="00664574">
      <w:pPr>
        <w:spacing w:after="120" w:line="360" w:lineRule="auto"/>
        <w:ind w:firstLine="420"/>
      </w:pPr>
      <w:r>
        <w:t>且在不重叠的时间区间内，新到达的人数增量相互独立。在本项目中，为了模拟演唱会前观众的到达特征（包含早到峰和临场峰），我们将强度函数</w:t>
      </w:r>
      <w:r>
        <w:t xml:space="preserve"> λ(t) </w:t>
      </w:r>
      <w:r>
        <w:t>构造为背景常数与两个高斯钟形分布（双峰分布）的加权叠加：</w:t>
      </w:r>
    </w:p>
    <w:p w14:paraId="57BA63C7" w14:textId="5E766BF9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 w:hint="eastAsia"/>
            </w:rPr>
            <m:t>λ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t</m:t>
              </m:r>
            </m:e>
          </m:d>
          <m:r>
            <w:rPr>
              <w:rFonts w:ascii="Cambria Math" w:eastAsia="Cambria Math" w:hAnsi="Cambria Math"/>
            </w:rPr>
            <m:t xml:space="preserve">= C · 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0</m:t>
                  </m:r>
                </m:sub>
              </m:sSub>
              <m:r>
                <w:rPr>
                  <w:rFonts w:ascii="Cambria Math" w:eastAsia="Cambria Math" w:hAnsi="Cambria Math"/>
                </w:rPr>
                <m:t xml:space="preserve">+ γ · 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/>
                        </w:rPr>
                        <m:t xml:space="preserve">-0.5 · 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="Cambria Math" w:hAnsi="Cambria Math"/>
                    </w:rPr>
                    <m:t xml:space="preserve">+ 0.72 · </m:t>
                  </m:r>
                  <m:sSup>
                    <m:sSup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/>
                        </w:rPr>
                        <m:t xml:space="preserve">-0.5 · 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Cambria Math" w:hAnsi="Cambria Math"/>
                                    </w:rPr>
                                    <m:t>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e>
          </m:d>
        </m:oMath>
      </m:oMathPara>
    </w:p>
    <w:p w14:paraId="2492B557" w14:textId="77777777" w:rsidR="001436C6" w:rsidRDefault="00664574">
      <w:pPr>
        <w:spacing w:after="120" w:line="360" w:lineRule="auto"/>
        <w:ind w:firstLine="420"/>
      </w:pPr>
      <w:r>
        <w:t>其中背景强度</w:t>
      </w:r>
      <w:r>
        <w:t xml:space="preserve"> λ₀ = 0.22</w:t>
      </w:r>
      <w:r>
        <w:t>，到达集中度为</w:t>
      </w:r>
      <w:r>
        <w:t xml:space="preserve"> γ</w:t>
      </w:r>
      <w:r>
        <w:t>，早到峰均值</w:t>
      </w:r>
      <w:r>
        <w:t xml:space="preserve"> μ₁ = 68 </w:t>
      </w:r>
      <w:r>
        <w:t>分钟，标准差</w:t>
      </w:r>
      <w:r>
        <w:t xml:space="preserve"> σ₁ = 18 </w:t>
      </w:r>
      <w:r>
        <w:t>分钟；临场峰均值</w:t>
      </w:r>
      <w:r>
        <w:t xml:space="preserve"> μ₂ = 102 </w:t>
      </w:r>
      <w:r>
        <w:t>分钟，标准差</w:t>
      </w:r>
      <w:r>
        <w:t xml:space="preserve"> σ₂ = 9 </w:t>
      </w:r>
      <w:r>
        <w:t>分钟。归一化系数</w:t>
      </w:r>
      <w:r>
        <w:t xml:space="preserve"> C </w:t>
      </w:r>
      <w:r>
        <w:t>用于确保在</w:t>
      </w:r>
      <w:r>
        <w:t xml:space="preserve"> t = 120 </w:t>
      </w:r>
      <w:r>
        <w:t>分钟时总观众数期望值为</w:t>
      </w:r>
      <w:r>
        <w:t xml:space="preserve"> 60000</w:t>
      </w:r>
      <w:r>
        <w:t>，即积分约束条件。系统模拟时，采用</w:t>
      </w:r>
      <w:r>
        <w:t xml:space="preserve"> Lewis &amp; Shedler (1979) </w:t>
      </w:r>
      <w:r>
        <w:t>的接受</w:t>
      </w:r>
      <w:r>
        <w:t>-</w:t>
      </w:r>
      <w:r>
        <w:t>拒绝减薄算法（</w:t>
      </w:r>
      <w:r>
        <w:t>Thinning Algorithm</w:t>
      </w:r>
      <w:r>
        <w:t>）生成随机到达路径，从而精确复现非平稳泊松增量的物理性质。</w:t>
      </w:r>
    </w:p>
    <w:p w14:paraId="2B43A199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2.2 </w:t>
      </w:r>
      <w:r>
        <w:rPr>
          <w:rFonts w:eastAsia="SimHei"/>
          <w:b/>
          <w:sz w:val="26"/>
        </w:rPr>
        <w:t>门区排队模型（离散</w:t>
      </w:r>
      <w:r>
        <w:rPr>
          <w:rFonts w:eastAsia="SimHei"/>
          <w:b/>
          <w:sz w:val="26"/>
        </w:rPr>
        <w:t xml:space="preserve"> M/M/c </w:t>
      </w:r>
      <w:r>
        <w:rPr>
          <w:rFonts w:eastAsia="SimHei"/>
          <w:b/>
          <w:sz w:val="26"/>
        </w:rPr>
        <w:t>近似）</w:t>
      </w:r>
    </w:p>
    <w:p w14:paraId="5C9B4000" w14:textId="77777777" w:rsidR="001436C6" w:rsidRDefault="00664574">
      <w:pPr>
        <w:spacing w:after="120" w:line="360" w:lineRule="auto"/>
        <w:ind w:firstLine="420"/>
      </w:pPr>
      <w:r>
        <w:t>安检区设置</w:t>
      </w:r>
      <w:r>
        <w:t xml:space="preserve"> c </w:t>
      </w:r>
      <w:r>
        <w:t>个并行通道，单通道平均服务率为</w:t>
      </w:r>
      <w:r>
        <w:t xml:space="preserve"> μ </w:t>
      </w:r>
      <w:r>
        <w:t>人</w:t>
      </w:r>
      <w:r>
        <w:t>/</w:t>
      </w:r>
      <w:r>
        <w:t>分钟。如果使用经典的连续时间</w:t>
      </w:r>
      <w:r>
        <w:t xml:space="preserve"> M_t/M/c </w:t>
      </w:r>
      <w:r>
        <w:t>排队模型，描述系统瞬时队长概率分布</w:t>
      </w:r>
      <w:r>
        <w:t xml:space="preserve"> P_n(t) = P(Q(t) = n) </w:t>
      </w:r>
      <w:r>
        <w:t>的是一组无穷维一阶线性微分方程组（即</w:t>
      </w:r>
      <w:r>
        <w:t xml:space="preserve"> Kolmogorov </w:t>
      </w:r>
      <w:r>
        <w:t>向前方程）：</w:t>
      </w:r>
    </w:p>
    <w:p w14:paraId="4AF31C89" w14:textId="71020348" w:rsidR="001436C6" w:rsidRDefault="00B06958">
      <w:pPr>
        <w:spacing w:line="360" w:lineRule="auto"/>
        <w:jc w:val="center"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0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d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dt</m:t>
              </m:r>
            </m:den>
          </m:f>
          <m:r>
            <w:rPr>
              <w:rFonts w:ascii="Cambria Math" w:eastAsia="Cambria Math" w:hAnsi="Cambria Math"/>
            </w:rPr>
            <m:t>= -λ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</w:rPr>
                <m:t>0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Cambria Math" w:hAnsi="Cambria Math"/>
            </w:rPr>
            <m:t xml:space="preserve">+ μ 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</w:rPr>
                <m:t>1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</m:sub>
          </m:sSub>
        </m:oMath>
      </m:oMathPara>
    </w:p>
    <w:p w14:paraId="6B9A9A1F" w14:textId="3CD02161" w:rsidR="001436C6" w:rsidRDefault="00B06958">
      <w:pPr>
        <w:spacing w:line="360" w:lineRule="auto"/>
        <w:jc w:val="center"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d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dt</m:t>
              </m:r>
            </m:den>
          </m:f>
          <m:r>
            <w:rPr>
              <w:rFonts w:ascii="Cambria Math" w:eastAsia="Cambria Math" w:hAnsi="Cambria Math"/>
            </w:rPr>
            <m:t>= λ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n-1</m:t>
                  </m:r>
                </m:e>
              </m:d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Cambria Math" w:hAnsi="Cambria Math"/>
            </w:rPr>
            <m:t xml:space="preserve">-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λ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/>
                </w:rPr>
                <m:t>+ n μ</m:t>
              </m:r>
            </m:e>
          </m:d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Cambria Math" w:hAnsi="Cambria Math"/>
            </w:rPr>
            <m:t xml:space="preserve">+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n+1</m:t>
              </m:r>
            </m:e>
          </m:d>
          <m:r>
            <w:rPr>
              <w:rFonts w:ascii="Cambria Math" w:eastAsia="Cambria Math" w:hAnsi="Cambria Math"/>
            </w:rPr>
            <m:t xml:space="preserve">μ 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Cambria Math" w:hAnsi="Cambria Math"/>
            </w:rPr>
            <m:t xml:space="preserve">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 xml:space="preserve">1 </m:t>
              </m:r>
              <m:r>
                <w:rPr>
                  <w:rFonts w:ascii="Cambria Math" w:eastAsia="Cambria Math" w:hAnsi="Cambria Math" w:hint="eastAsia"/>
                </w:rPr>
                <m:t>≤</m:t>
              </m:r>
              <m:r>
                <w:rPr>
                  <w:rFonts w:ascii="Cambria Math" w:eastAsia="Cambria Math" w:hAnsi="Cambria Math"/>
                </w:rPr>
                <m:t xml:space="preserve"> n &lt; c</m:t>
              </m:r>
            </m:e>
          </m:d>
        </m:oMath>
      </m:oMathPara>
    </w:p>
    <w:p w14:paraId="251775C0" w14:textId="5806D811" w:rsidR="001436C6" w:rsidRDefault="00B06958">
      <w:pPr>
        <w:spacing w:line="360" w:lineRule="auto"/>
        <w:jc w:val="center"/>
      </w:pPr>
      <m:oMathPara>
        <m:oMath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d>
                </m:sub>
              </m:sSub>
            </m:num>
            <m:den>
              <m:r>
                <w:rPr>
                  <w:rFonts w:ascii="Cambria Math" w:eastAsia="Cambria Math" w:hAnsi="Cambria Math"/>
                </w:rPr>
                <m:t>dt</m:t>
              </m:r>
            </m:den>
          </m:f>
          <m:r>
            <w:rPr>
              <w:rFonts w:ascii="Cambria Math" w:eastAsia="Cambria Math" w:hAnsi="Cambria Math"/>
            </w:rPr>
            <m:t>= λ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n-1</m:t>
                  </m:r>
                </m:e>
              </m:d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Cambria Math" w:hAnsi="Cambria Math"/>
            </w:rPr>
            <m:t xml:space="preserve">-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λ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/>
                </w:rPr>
                <m:t>+ c μ</m:t>
              </m:r>
            </m:e>
          </m:d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Cambria Math" w:hAnsi="Cambria Math"/>
            </w:rPr>
            <m:t xml:space="preserve">+ c μ </m:t>
          </m:r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Cambria Math" w:hAnsi="Cambria Math"/>
            </w:rPr>
            <m:t xml:space="preserve">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 xml:space="preserve">n </m:t>
              </m:r>
              <m:r>
                <w:rPr>
                  <w:rFonts w:ascii="Cambria Math" w:eastAsia="Cambria Math" w:hAnsi="Cambria Math" w:hint="eastAsia"/>
                </w:rPr>
                <m:t>≥</m:t>
              </m:r>
              <m:r>
                <w:rPr>
                  <w:rFonts w:ascii="Cambria Math" w:eastAsia="Cambria Math" w:hAnsi="Cambria Math"/>
                </w:rPr>
                <m:t xml:space="preserve"> c</m:t>
              </m:r>
            </m:e>
          </m:d>
        </m:oMath>
      </m:oMathPara>
    </w:p>
    <w:p w14:paraId="100CFC2D" w14:textId="77777777" w:rsidR="001436C6" w:rsidRDefault="00664574">
      <w:pPr>
        <w:spacing w:after="120" w:line="360" w:lineRule="auto"/>
        <w:ind w:firstLine="420"/>
      </w:pPr>
      <w:r>
        <w:t>该系统在到达率</w:t>
      </w:r>
      <w:r>
        <w:t xml:space="preserve"> λ(t) </w:t>
      </w:r>
      <w:r>
        <w:t>随时间变化时极难解析求解。为了计算可行性并支持实时队长演化，我们将系统在时间轴上离散化（步长</w:t>
      </w:r>
      <w:r>
        <w:t xml:space="preserve"> Δt = 1 </w:t>
      </w:r>
      <w:r>
        <w:t>分钟）。设第</w:t>
      </w:r>
      <w:r>
        <w:t xml:space="preserve"> t </w:t>
      </w:r>
      <w:r>
        <w:t>分钟到达数为</w:t>
      </w:r>
      <w:r>
        <w:t xml:space="preserve"> A(t) ~ Poisson(λ(t)Δt)</w:t>
      </w:r>
      <w:r>
        <w:t>，系统在该分钟的最大服务潜力为</w:t>
      </w:r>
      <w:r>
        <w:t xml:space="preserve"> S(t) ~ Poisson(cμΔt)</w:t>
      </w:r>
      <w:r>
        <w:t>。则队长的迭代关系为：</w:t>
      </w:r>
    </w:p>
    <w:p w14:paraId="5D331161" w14:textId="2FA2A7C3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/>
            </w:rPr>
            <m:t>Q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t+1</m:t>
              </m:r>
            </m:e>
          </m:d>
          <m:r>
            <w:rPr>
              <w:rFonts w:ascii="Cambria Math" w:eastAsia="Cambria Math" w:hAnsi="Cambria Math"/>
            </w:rPr>
            <m:t>=</m:t>
          </m:r>
          <m:func>
            <m:funcPr>
              <m:ctrlPr>
                <w:rPr>
                  <w:rFonts w:ascii="Cambria Math" w:eastAsia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max</m:t>
              </m:r>
              <m:ctrlPr>
                <w:rPr>
                  <w:rFonts w:ascii="Cambria Math" w:eastAsia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0, Q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+ A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- S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</m:oMath>
      </m:oMathPara>
    </w:p>
    <w:p w14:paraId="0B2E9793" w14:textId="77777777" w:rsidR="001436C6" w:rsidRDefault="00664574">
      <w:pPr>
        <w:spacing w:after="120" w:line="360" w:lineRule="auto"/>
        <w:ind w:firstLine="420"/>
      </w:pPr>
      <w:r>
        <w:lastRenderedPageBreak/>
        <w:t>该公式描述了一个在</w:t>
      </w:r>
      <w:r>
        <w:t xml:space="preserve"> 0 </w:t>
      </w:r>
      <w:r>
        <w:t>处具有反射边界的非齐次一维随机游走。为了度量系统风险，我们通过</w:t>
      </w:r>
      <w:r>
        <w:t xml:space="preserve"> 300 </w:t>
      </w:r>
      <w:r>
        <w:t>次蒙特卡洛独立模拟来计算尾部拥堵风险概率</w:t>
      </w:r>
      <w:r>
        <w:t xml:space="preserve"> P(max Q(t) &gt; L)</w:t>
      </w:r>
      <w:r>
        <w:t>，以作为安全管理决策的依据。</w:t>
      </w:r>
    </w:p>
    <w:p w14:paraId="15799402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2.3 </w:t>
      </w:r>
      <w:r>
        <w:rPr>
          <w:rFonts w:eastAsia="SimHei"/>
          <w:b/>
          <w:sz w:val="26"/>
        </w:rPr>
        <w:t>报警可信度的贝叶斯解释</w:t>
      </w:r>
    </w:p>
    <w:p w14:paraId="742FCDA4" w14:textId="77777777" w:rsidR="001436C6" w:rsidRDefault="00664574">
      <w:pPr>
        <w:spacing w:after="120" w:line="360" w:lineRule="auto"/>
        <w:ind w:firstLine="420"/>
      </w:pPr>
      <w:r>
        <w:t>设</w:t>
      </w:r>
      <w:r>
        <w:t xml:space="preserve"> T </w:t>
      </w:r>
      <w:r>
        <w:t>表示</w:t>
      </w:r>
      <w:r>
        <w:t>“</w:t>
      </w:r>
      <w:r>
        <w:t>该个体为真实风险人员</w:t>
      </w:r>
      <w:r>
        <w:t>”</w:t>
      </w:r>
      <w:r>
        <w:t>，</w:t>
      </w:r>
      <w:r>
        <w:t xml:space="preserve">B </w:t>
      </w:r>
      <w:r>
        <w:t>表示</w:t>
      </w:r>
      <w:r>
        <w:t>“</w:t>
      </w:r>
      <w:r>
        <w:t>系统发出报警</w:t>
      </w:r>
      <w:r>
        <w:t>”</w:t>
      </w:r>
      <w:r>
        <w:t>。在低基率场景下，即使灵敏度较高，报警的后验概率也远低于直觉。应用贝叶斯公式得：</w:t>
      </w:r>
    </w:p>
    <w:p w14:paraId="68F10044" w14:textId="66B94759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/>
            </w:rPr>
            <m:t>P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T</m:t>
              </m:r>
            </m:e>
            <m:e>
              <m:r>
                <w:rPr>
                  <w:rFonts w:ascii="Cambria Math" w:eastAsia="Cambria Math" w:hAnsi="Cambria Math"/>
                </w:rPr>
                <m:t>B</m:t>
              </m:r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B</m:t>
                      </m:r>
                    </m:e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· P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d>
                </m:e>
              </m:d>
            </m:num>
            <m:den/>
          </m:f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P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/>
                </w:rPr>
                <m:t>· P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  <m:r>
                <w:rPr>
                  <w:rFonts w:ascii="Cambria Math" w:eastAsia="Cambria Math" w:hAnsi="Cambria Math"/>
                </w:rPr>
                <m:t>+ P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B</m:t>
                  </m:r>
                </m:e>
                <m:e>
                  <m:acc>
                    <m:accPr>
                      <m:chr m:val="̄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acc>
                </m:e>
              </m:d>
              <m:r>
                <w:rPr>
                  <w:rFonts w:ascii="Cambria Math" w:eastAsia="Cambria Math" w:hAnsi="Cambria Math"/>
                </w:rPr>
                <m:t>· P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acc>
                    <m:accPr>
                      <m:chr m:val="̄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</m:acc>
                </m:e>
              </m:d>
            </m:e>
          </m:d>
        </m:oMath>
      </m:oMathPara>
    </w:p>
    <w:p w14:paraId="00A41BEE" w14:textId="77777777" w:rsidR="001436C6" w:rsidRDefault="00664574">
      <w:pPr>
        <w:spacing w:after="120" w:line="360" w:lineRule="auto"/>
        <w:ind w:firstLine="420"/>
      </w:pPr>
      <w:r>
        <w:t>若总观众数</w:t>
      </w:r>
      <w:r>
        <w:t xml:space="preserve"> N = 60000</w:t>
      </w:r>
      <w:r>
        <w:t>，风险个体数</w:t>
      </w:r>
      <w:r>
        <w:t xml:space="preserve"> N_T = 50</w:t>
      </w:r>
      <w:r>
        <w:t>，则先验概率</w:t>
      </w:r>
      <w:r>
        <w:t xml:space="preserve"> P(T) = 50/60000 ≈ 0.0833%</w:t>
      </w:r>
      <w:r>
        <w:t>。系统灵敏度</w:t>
      </w:r>
      <w:r>
        <w:t xml:space="preserve"> α = P(B|T) = 95%</w:t>
      </w:r>
      <w:r>
        <w:t>，误报率</w:t>
      </w:r>
      <w:r>
        <w:t xml:space="preserve"> β = P(B|T̄) = 0.5%</w:t>
      </w:r>
      <w:r>
        <w:t>。代入计算：</w:t>
      </w:r>
    </w:p>
    <w:p w14:paraId="32D02A2A" w14:textId="53BE122A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/>
            </w:rPr>
            <m:t>P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T</m:t>
              </m:r>
            </m:e>
            <m:e>
              <m:r>
                <w:rPr>
                  <w:rFonts w:ascii="Cambria Math" w:eastAsia="Cambria Math" w:hAnsi="Cambria Math"/>
                </w:rPr>
                <m:t>B</m:t>
              </m:r>
            </m:e>
          </m:d>
          <m:r>
            <w:rPr>
              <w:rFonts w:ascii="Cambria Math" w:eastAsia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0.95 × 0.000833</m:t>
                  </m:r>
                </m:e>
              </m:d>
            </m:num>
            <m:den/>
          </m:f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0.95 × 0.000833 + 0.005 × 0.999167</m:t>
              </m:r>
            </m:e>
          </m:d>
          <m:r>
            <w:rPr>
              <w:rFonts w:ascii="Cambria Math" w:eastAsia="Cambria Math" w:hAnsi="Cambria Math" w:hint="eastAsia"/>
            </w:rPr>
            <m:t>≈</m:t>
          </m:r>
          <m:r>
            <w:rPr>
              <w:rFonts w:ascii="Cambria Math" w:eastAsia="Cambria Math" w:hAnsi="Cambria Math"/>
            </w:rPr>
            <m:t xml:space="preserve"> 13.7%</m:t>
          </m:r>
        </m:oMath>
      </m:oMathPara>
    </w:p>
    <w:p w14:paraId="76EE69A4" w14:textId="77777777" w:rsidR="001436C6" w:rsidRDefault="00664574">
      <w:pPr>
        <w:spacing w:after="120" w:line="360" w:lineRule="auto"/>
        <w:ind w:firstLine="420"/>
      </w:pPr>
      <w:r>
        <w:t>这意味着报警中绝大多数是误报。设每次误报需派遣</w:t>
      </w:r>
      <w:r>
        <w:t xml:space="preserve"> k = 2 </w:t>
      </w:r>
      <w:r>
        <w:t>名警员，核查耗时</w:t>
      </w:r>
      <w:r>
        <w:t xml:space="preserve"> t_check = 20 </w:t>
      </w:r>
      <w:r>
        <w:t>分钟（即</w:t>
      </w:r>
      <w:r>
        <w:t xml:space="preserve"> 1/3 </w:t>
      </w:r>
      <w:r>
        <w:t>小时），则整场活动因误报带来的警力核查成本（警员小时）计算为：</w:t>
      </w:r>
    </w:p>
    <w:p w14:paraId="3357C2DC" w14:textId="3BF02ED2" w:rsidR="001436C6" w:rsidRDefault="00B06958">
      <w:pPr>
        <w:spacing w:line="360" w:lineRule="auto"/>
        <w:jc w:val="center"/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H</m:t>
              </m:r>
            </m:e>
            <m:sub>
              <m:r>
                <w:rPr>
                  <w:rFonts w:ascii="Cambria Math" w:eastAsia="Cambria Math" w:hAnsi="Cambria Math"/>
                </w:rPr>
                <m:t>review</m:t>
              </m:r>
            </m:sub>
          </m:sSub>
          <m:r>
            <w:rPr>
              <w:rFonts w:ascii="Cambria Math" w:eastAsia="Cambria Math" w:hAnsi="Cambria Math"/>
            </w:rPr>
            <m:t>= E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false</m:t>
                  </m:r>
                </m:sub>
              </m:sSub>
            </m:e>
          </m:d>
          <m:r>
            <w:rPr>
              <w:rFonts w:ascii="Cambria Math" w:eastAsia="Cambria Math" w:hAnsi="Cambria Math"/>
            </w:rPr>
            <m:t xml:space="preserve">× k ×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check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/>
                    </w:rPr>
                    <m:t>60</m:t>
                  </m:r>
                </m:den>
              </m:f>
            </m:e>
          </m:d>
          <m:r>
            <w:rPr>
              <w:rFonts w:ascii="Cambria Math" w:eastAsia="Cambria Math" w:hAnsi="Cambria Math"/>
            </w:rPr>
            <m:t xml:space="preserve">=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 xml:space="preserve">N - 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="Cambria Math" w:hAnsi="Cambria Math"/>
            </w:rPr>
            <m:t xml:space="preserve">· β × 2 ×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eastAsia="Cambria Math" w:hAnsi="Cambria Math"/>
                    </w:rPr>
                    <m:t>60</m:t>
                  </m:r>
                </m:den>
              </m:f>
            </m:e>
          </m:d>
          <m:r>
            <w:rPr>
              <w:rFonts w:ascii="Cambria Math" w:eastAsia="Cambria Math" w:hAnsi="Cambria Math" w:hint="eastAsia"/>
            </w:rPr>
            <m:t>≈</m:t>
          </m:r>
          <m:r>
            <w:rPr>
              <w:rFonts w:ascii="Cambria Math" w:eastAsia="Cambria Math" w:hAnsi="Cambria Math"/>
            </w:rPr>
            <m:t xml:space="preserve"> 199.8 </m:t>
          </m:r>
          <m:r>
            <w:rPr>
              <w:rFonts w:ascii="Cambria Math" w:hAnsi="Cambria Math" w:cs="SimSun" w:hint="eastAsia"/>
            </w:rPr>
            <m:t>警员小时</m:t>
          </m:r>
        </m:oMath>
      </m:oMathPara>
    </w:p>
    <w:p w14:paraId="48DB40F9" w14:textId="77777777" w:rsidR="001436C6" w:rsidRDefault="00664574">
      <w:pPr>
        <w:spacing w:after="120" w:line="360" w:lineRule="auto"/>
        <w:ind w:firstLine="420"/>
      </w:pPr>
      <w:r>
        <w:t>公式解释了低基率效应下警力浪费的根本原因，并证明降低误报率的边际收益远高于提升灵敏度。</w:t>
      </w:r>
    </w:p>
    <w:p w14:paraId="1E585C23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2.4 </w:t>
      </w:r>
      <w:r>
        <w:rPr>
          <w:rFonts w:eastAsia="SimHei"/>
          <w:b/>
          <w:sz w:val="26"/>
        </w:rPr>
        <w:t>巡逻搜索与随机游走首达时</w:t>
      </w:r>
    </w:p>
    <w:p w14:paraId="3ED36FB9" w14:textId="77777777" w:rsidR="001436C6" w:rsidRDefault="00664574">
      <w:pPr>
        <w:spacing w:after="120" w:line="360" w:lineRule="auto"/>
        <w:ind w:firstLine="420"/>
      </w:pPr>
      <w:r>
        <w:t>将场馆内部抽象为</w:t>
      </w:r>
      <w:r>
        <w:t xml:space="preserve"> W × H </w:t>
      </w:r>
      <w:r>
        <w:t>（</w:t>
      </w:r>
      <w:r>
        <w:t>12×8</w:t>
      </w:r>
      <w:r>
        <w:t>）的二维网格，</w:t>
      </w:r>
      <w:r>
        <w:t xml:space="preserve">N_P </w:t>
      </w:r>
      <w:r>
        <w:t>支独立的巡逻队初始位置分布在入口和角落。设目标异常事件位于网格</w:t>
      </w:r>
      <w:r>
        <w:t xml:space="preserve"> x* = (8, 5)</w:t>
      </w:r>
      <w:r>
        <w:t>。首次被任一巡逻小组发现的时间定义为首达时随机变量</w:t>
      </w:r>
      <w:r>
        <w:t xml:space="preserve"> τ</w:t>
      </w:r>
      <w:r>
        <w:t>：</w:t>
      </w:r>
    </w:p>
    <w:p w14:paraId="5071F136" w14:textId="3FF369A8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 w:hint="eastAsia"/>
            </w:rPr>
            <m:t>τ</m:t>
          </m:r>
          <m:r>
            <w:rPr>
              <w:rFonts w:ascii="Cambria Math" w:eastAsia="Cambria Math" w:hAnsi="Cambria Math"/>
            </w:rPr>
            <m:t xml:space="preserve"> =</m:t>
          </m:r>
          <m:func>
            <m:funcPr>
              <m:ctrlPr>
                <w:rPr>
                  <w:rFonts w:ascii="Cambria Math" w:eastAsia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inf</m:t>
              </m:r>
              <m:ctrlPr>
                <w:rPr>
                  <w:rFonts w:ascii="Cambria Math" w:eastAsia="Cambria Math" w:hAnsi="Cambria Math"/>
                  <w:i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 xml:space="preserve"> t </m:t>
                  </m:r>
                  <m:r>
                    <w:rPr>
                      <w:rFonts w:ascii="Cambria Math" w:eastAsia="Cambria Math" w:hAnsi="Cambria Math" w:hint="eastAsia"/>
                    </w:rPr>
                    <m:t>≥</m:t>
                  </m:r>
                  <m:r>
                    <w:rPr>
                      <w:rFonts w:ascii="Cambria Math" w:eastAsia="Cambria Math" w:hAnsi="Cambria Math"/>
                    </w:rPr>
                    <m:t xml:space="preserve"> 0 : </m:t>
                  </m:r>
                  <m:r>
                    <w:rPr>
                      <w:rFonts w:ascii="Cambria Math" w:eastAsia="Cambria Math" w:hAnsi="Cambria Math" w:cs="Cambria Math"/>
                    </w:rPr>
                    <m:t>∃</m:t>
                  </m:r>
                  <m:r>
                    <w:rPr>
                      <w:rFonts w:ascii="Cambria Math" w:eastAsia="Cambria Math" w:hAnsi="Cambria Math"/>
                    </w:rPr>
                    <m:t xml:space="preserve"> i </m:t>
                  </m:r>
                  <m:r>
                    <w:rPr>
                      <w:rFonts w:ascii="Cambria Math" w:eastAsia="Cambria Math" w:hAnsi="Cambria Math" w:hint="eastAsia"/>
                    </w:rPr>
                    <m:t>∈</m:t>
                  </m:r>
                  <m:r>
                    <w:rPr>
                      <w:rFonts w:ascii="Cambria Math" w:eastAsia="Cambria Math" w:hAnsi="Cambria Math"/>
                    </w:rPr>
                    <m:t xml:space="preserve">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 xml:space="preserve">1, 2, …,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  <m:r>
                    <w:rPr>
                      <w:rFonts w:ascii="Cambria Math" w:eastAsia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/>
                            </w:rPr>
                            <m:t>t</m:t>
                          </m:r>
                        </m:e>
                      </m:d>
                    </m:sub>
                  </m:sSub>
                  <m:r>
                    <w:rPr>
                      <w:rFonts w:ascii="Cambria Math" w:eastAsia="Cambria Math" w:hAnsi="Cambria Math"/>
                    </w:rPr>
                    <m:t xml:space="preserve">= x* </m:t>
                  </m:r>
                </m:e>
              </m:d>
            </m:e>
          </m:func>
        </m:oMath>
      </m:oMathPara>
    </w:p>
    <w:p w14:paraId="3E3F78C3" w14:textId="77777777" w:rsidR="001436C6" w:rsidRDefault="00664574">
      <w:pPr>
        <w:spacing w:after="120" w:line="360" w:lineRule="auto"/>
        <w:ind w:firstLine="420"/>
      </w:pPr>
      <w:r>
        <w:t>每支队伍以偏向度</w:t>
      </w:r>
      <w:r>
        <w:t xml:space="preserve"> p </w:t>
      </w:r>
      <w:r>
        <w:t>（曼哈顿距离减小方向）或以</w:t>
      </w:r>
      <w:r>
        <w:t xml:space="preserve"> 1-p </w:t>
      </w:r>
      <w:r>
        <w:t>随机进行网格移动，其位置状态转移满足马尔可夫链性质。单支队伍的期望首达时间</w:t>
      </w:r>
      <w:r>
        <w:t xml:space="preserve"> v(x) = E[τ | X_0 = x] </w:t>
      </w:r>
      <w:r>
        <w:t>满足如下离散差分方程系统（泊松方程）：</w:t>
      </w:r>
    </w:p>
    <w:p w14:paraId="2408AA02" w14:textId="57FF6D0C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/>
            </w:rPr>
            <w:lastRenderedPageBreak/>
            <m:t>v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x*</m:t>
              </m:r>
            </m:e>
          </m:d>
          <m:r>
            <w:rPr>
              <w:rFonts w:ascii="Cambria Math" w:eastAsia="Cambria Math" w:hAnsi="Cambria Math"/>
            </w:rPr>
            <m:t>= 0,   v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x</m:t>
              </m:r>
            </m:e>
          </m:d>
          <m:r>
            <w:rPr>
              <w:rFonts w:ascii="Cambria Math" w:eastAsia="Cambria Math" w:hAnsi="Cambria Math"/>
            </w:rPr>
            <m:t xml:space="preserve">= 1 + </m:t>
          </m:r>
          <m:nary>
            <m:naryPr>
              <m:chr m:val="∑"/>
              <m:supHide m:val="1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 xml:space="preserve">y </m:t>
              </m:r>
              <m:r>
                <w:rPr>
                  <w:rFonts w:ascii="Cambria Math" w:eastAsia="Cambria Math" w:hAnsi="Cambria Math" w:hint="eastAsia"/>
                </w:rPr>
                <m:t>∈</m:t>
              </m:r>
              <m:r>
                <w:rPr>
                  <w:rFonts w:ascii="Cambria Math" w:eastAsia="Cambria Math" w:hAnsi="Cambria Math"/>
                </w:rPr>
                <m:t xml:space="preserve"> S</m:t>
              </m:r>
            </m:sub>
            <m:sup/>
            <m:e>
              <m:r>
                <w:rPr>
                  <w:rFonts w:ascii="Cambria Math" w:eastAsia="Cambria Math" w:hAnsi="Cambria Math"/>
                </w:rPr>
                <m:t>P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x, y</m:t>
                  </m:r>
                </m:e>
              </m:d>
              <m:r>
                <w:rPr>
                  <w:rFonts w:ascii="Cambria Math" w:eastAsia="Cambria Math" w:hAnsi="Cambria Math"/>
                </w:rPr>
                <m:t>v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y</m:t>
                  </m:r>
                </m:e>
              </m:d>
            </m:e>
          </m:nary>
          <m:r>
            <w:rPr>
              <w:rFonts w:ascii="Cambria Math" w:eastAsia="Cambria Math" w:hAnsi="Cambria Math"/>
            </w:rPr>
            <m:t xml:space="preserve"> 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∀</m:t>
              </m:r>
              <m:r>
                <w:rPr>
                  <w:rFonts w:ascii="Cambria Math" w:eastAsia="Cambria Math" w:hAnsi="Cambria Math"/>
                </w:rPr>
                <m:t xml:space="preserve"> x </m:t>
              </m:r>
              <m:r>
                <w:rPr>
                  <w:rFonts w:ascii="Cambria Math" w:eastAsia="Cambria Math" w:hAnsi="Cambria Math" w:hint="eastAsia"/>
                </w:rPr>
                <m:t>≠</m:t>
              </m:r>
              <m:r>
                <w:rPr>
                  <w:rFonts w:ascii="Cambria Math" w:eastAsia="Cambria Math" w:hAnsi="Cambria Math"/>
                </w:rPr>
                <m:t xml:space="preserve"> x*</m:t>
              </m:r>
            </m:e>
          </m:d>
        </m:oMath>
      </m:oMathPara>
    </w:p>
    <w:p w14:paraId="7B6EC80B" w14:textId="77777777" w:rsidR="001436C6" w:rsidRDefault="00664574">
      <w:pPr>
        <w:spacing w:after="120" w:line="360" w:lineRule="auto"/>
        <w:ind w:firstLine="420"/>
      </w:pPr>
      <w:r>
        <w:t>多支队伍独立搜索时，相当于多个独立过程的竞争危险率。偏向度</w:t>
      </w:r>
      <w:r>
        <w:t xml:space="preserve"> p </w:t>
      </w:r>
      <w:r>
        <w:t>可以改变转移矩阵的谱性质，不仅压缩了首达时间的中位数，也大幅缩短了其</w:t>
      </w:r>
      <w:r>
        <w:t xml:space="preserve"> 90% </w:t>
      </w:r>
      <w:r>
        <w:t>分位的右尾风险。</w:t>
      </w:r>
    </w:p>
    <w:p w14:paraId="63FD4C79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t>第三章</w:t>
      </w:r>
      <w:r>
        <w:rPr>
          <w:rFonts w:eastAsia="SimHei"/>
          <w:b/>
          <w:sz w:val="28"/>
        </w:rPr>
        <w:t xml:space="preserve"> </w:t>
      </w:r>
      <w:r>
        <w:rPr>
          <w:rFonts w:eastAsia="SimHei"/>
          <w:b/>
          <w:sz w:val="28"/>
        </w:rPr>
        <w:t>叙事性模拟设计与交互实现</w:t>
      </w:r>
    </w:p>
    <w:p w14:paraId="076BAF2D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3.1 </w:t>
      </w:r>
      <w:r>
        <w:rPr>
          <w:rFonts w:eastAsia="SimHei"/>
          <w:b/>
          <w:sz w:val="26"/>
        </w:rPr>
        <w:t>故事线设计</w:t>
      </w:r>
    </w:p>
    <w:p w14:paraId="492C166E" w14:textId="77777777" w:rsidR="001436C6" w:rsidRDefault="00664574">
      <w:pPr>
        <w:spacing w:after="120" w:line="360" w:lineRule="auto"/>
        <w:ind w:firstLine="420"/>
      </w:pPr>
      <w:r>
        <w:t>交互作品按五幕叙事结构展开，每一幕对应一个核心概率概念，避免将图表堆叠为静态展示。第一幕：展示非均匀到达的人流双峰</w:t>
      </w:r>
      <w:r>
        <w:t>——</w:t>
      </w:r>
      <w:r>
        <w:t>通过实时动态曲线让用户感受到</w:t>
      </w:r>
      <w:r>
        <w:t>'</w:t>
      </w:r>
      <w:r>
        <w:t>随机到达并非匀速</w:t>
      </w:r>
      <w:r>
        <w:t>'</w:t>
      </w:r>
      <w:r>
        <w:t>；第二幕：展示服务能力不足时队列如何逐步积累，强调单次路径可能掩盖尾部风险；第三幕：用贝叶斯后验概率解释为何即使识别准确率较高，报警仍以误报为主；第四幕：将场内巡逻可视化为在网格上移动的随机游走路径，展示热点偏向的搜索加速效果；第五幕：以并排表格和参数对比形式综合呈现四种安防方案的量化差异，形成从风险识别到策略选择的完整闭环。</w:t>
      </w:r>
    </w:p>
    <w:p w14:paraId="3B6565EF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3.2 </w:t>
      </w:r>
      <w:r>
        <w:rPr>
          <w:rFonts w:eastAsia="SimHei"/>
          <w:b/>
          <w:sz w:val="26"/>
        </w:rPr>
        <w:t>参数设置</w:t>
      </w:r>
    </w:p>
    <w:p w14:paraId="3C0451D9" w14:textId="77777777" w:rsidR="001436C6" w:rsidRDefault="00664574">
      <w:pPr>
        <w:spacing w:after="120" w:line="360" w:lineRule="auto"/>
        <w:ind w:firstLine="420"/>
      </w:pPr>
      <w:r>
        <w:t>下表列出仿真中所有可调参数的基准值及其含义，用户可在交互界面中实时修改这些参数并观察各指标的响应变化。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436C6" w14:paraId="36B65539" w14:textId="77777777">
        <w:tc>
          <w:tcPr>
            <w:tcW w:w="3120" w:type="dxa"/>
            <w:shd w:val="clear" w:color="auto" w:fill="E8F3EF"/>
          </w:tcPr>
          <w:p w14:paraId="0CC4CB60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参数</w:t>
            </w:r>
          </w:p>
        </w:tc>
        <w:tc>
          <w:tcPr>
            <w:tcW w:w="3120" w:type="dxa"/>
            <w:shd w:val="clear" w:color="auto" w:fill="E8F3EF"/>
          </w:tcPr>
          <w:p w14:paraId="74BAD7AC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基准值</w:t>
            </w:r>
          </w:p>
        </w:tc>
        <w:tc>
          <w:tcPr>
            <w:tcW w:w="3120" w:type="dxa"/>
            <w:shd w:val="clear" w:color="auto" w:fill="E8F3EF"/>
          </w:tcPr>
          <w:p w14:paraId="3EF0CB5C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含义</w:t>
            </w:r>
          </w:p>
        </w:tc>
      </w:tr>
      <w:tr w:rsidR="001436C6" w14:paraId="5D511A31" w14:textId="77777777">
        <w:tc>
          <w:tcPr>
            <w:tcW w:w="3120" w:type="dxa"/>
          </w:tcPr>
          <w:p w14:paraId="0BF04C85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总观众数</w:t>
            </w:r>
          </w:p>
        </w:tc>
        <w:tc>
          <w:tcPr>
            <w:tcW w:w="3120" w:type="dxa"/>
          </w:tcPr>
          <w:p w14:paraId="1CB43182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60 000</w:t>
            </w:r>
          </w:p>
        </w:tc>
        <w:tc>
          <w:tcPr>
            <w:tcW w:w="3120" w:type="dxa"/>
          </w:tcPr>
          <w:p w14:paraId="47DBFBA1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进入场馆的总人数规模</w:t>
            </w:r>
          </w:p>
        </w:tc>
      </w:tr>
      <w:tr w:rsidR="001436C6" w14:paraId="70CDE7E3" w14:textId="77777777">
        <w:tc>
          <w:tcPr>
            <w:tcW w:w="3120" w:type="dxa"/>
          </w:tcPr>
          <w:p w14:paraId="0B66A751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开放时长</w:t>
            </w:r>
          </w:p>
        </w:tc>
        <w:tc>
          <w:tcPr>
            <w:tcW w:w="3120" w:type="dxa"/>
          </w:tcPr>
          <w:p w14:paraId="7C2D75E9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 xml:space="preserve">120 </w:t>
            </w:r>
            <w:r>
              <w:rPr>
                <w:sz w:val="21"/>
              </w:rPr>
              <w:t>分钟</w:t>
            </w:r>
          </w:p>
        </w:tc>
        <w:tc>
          <w:tcPr>
            <w:tcW w:w="3120" w:type="dxa"/>
          </w:tcPr>
          <w:p w14:paraId="77116147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开场前两小时开始入场</w:t>
            </w:r>
          </w:p>
        </w:tc>
      </w:tr>
      <w:tr w:rsidR="001436C6" w14:paraId="68AFB7EC" w14:textId="77777777">
        <w:tc>
          <w:tcPr>
            <w:tcW w:w="3120" w:type="dxa"/>
          </w:tcPr>
          <w:p w14:paraId="2645DC7D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安检通道</w:t>
            </w:r>
          </w:p>
        </w:tc>
        <w:tc>
          <w:tcPr>
            <w:tcW w:w="3120" w:type="dxa"/>
          </w:tcPr>
          <w:p w14:paraId="612865F9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 xml:space="preserve">36 </w:t>
            </w:r>
            <w:r>
              <w:rPr>
                <w:sz w:val="21"/>
              </w:rPr>
              <w:t>个</w:t>
            </w:r>
          </w:p>
        </w:tc>
        <w:tc>
          <w:tcPr>
            <w:tcW w:w="3120" w:type="dxa"/>
          </w:tcPr>
          <w:p w14:paraId="65DCF4FF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并行服务台数量（</w:t>
            </w:r>
            <w:r>
              <w:rPr>
                <w:sz w:val="21"/>
              </w:rPr>
              <w:t>c</w:t>
            </w:r>
            <w:r>
              <w:rPr>
                <w:sz w:val="21"/>
              </w:rPr>
              <w:t>）</w:t>
            </w:r>
          </w:p>
        </w:tc>
      </w:tr>
      <w:tr w:rsidR="001436C6" w14:paraId="368A6F46" w14:textId="77777777">
        <w:tc>
          <w:tcPr>
            <w:tcW w:w="3120" w:type="dxa"/>
          </w:tcPr>
          <w:p w14:paraId="382FB80B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单通道效率</w:t>
            </w:r>
          </w:p>
        </w:tc>
        <w:tc>
          <w:tcPr>
            <w:tcW w:w="3120" w:type="dxa"/>
          </w:tcPr>
          <w:p w14:paraId="19B459A3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 xml:space="preserve">20 </w:t>
            </w:r>
            <w:r>
              <w:rPr>
                <w:sz w:val="21"/>
              </w:rPr>
              <w:t>人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分钟</w:t>
            </w:r>
          </w:p>
        </w:tc>
        <w:tc>
          <w:tcPr>
            <w:tcW w:w="3120" w:type="dxa"/>
          </w:tcPr>
          <w:p w14:paraId="36DF7B50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平均服务能力（</w:t>
            </w:r>
            <w:r>
              <w:rPr>
                <w:sz w:val="21"/>
              </w:rPr>
              <w:t>μ</w:t>
            </w:r>
            <w:r>
              <w:rPr>
                <w:sz w:val="21"/>
              </w:rPr>
              <w:t>）</w:t>
            </w:r>
          </w:p>
        </w:tc>
      </w:tr>
      <w:tr w:rsidR="001436C6" w14:paraId="69F05FB8" w14:textId="77777777">
        <w:tc>
          <w:tcPr>
            <w:tcW w:w="3120" w:type="dxa"/>
          </w:tcPr>
          <w:p w14:paraId="77DBA7A5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拥堵阈值</w:t>
            </w:r>
          </w:p>
        </w:tc>
        <w:tc>
          <w:tcPr>
            <w:tcW w:w="3120" w:type="dxa"/>
          </w:tcPr>
          <w:p w14:paraId="40BB4F44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 xml:space="preserve">2 500 </w:t>
            </w:r>
            <w:r>
              <w:rPr>
                <w:sz w:val="21"/>
              </w:rPr>
              <w:t>人</w:t>
            </w:r>
          </w:p>
        </w:tc>
        <w:tc>
          <w:tcPr>
            <w:tcW w:w="3120" w:type="dxa"/>
          </w:tcPr>
          <w:p w14:paraId="6CDCB3F3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需启动疏导预案的队列规模（</w:t>
            </w:r>
            <w:r>
              <w:rPr>
                <w:sz w:val="21"/>
              </w:rPr>
              <w:t>L</w:t>
            </w:r>
            <w:r>
              <w:rPr>
                <w:sz w:val="21"/>
              </w:rPr>
              <w:t>）</w:t>
            </w:r>
          </w:p>
        </w:tc>
      </w:tr>
      <w:tr w:rsidR="001436C6" w14:paraId="33DAAF13" w14:textId="77777777">
        <w:tc>
          <w:tcPr>
            <w:tcW w:w="3120" w:type="dxa"/>
          </w:tcPr>
          <w:p w14:paraId="45950C28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风险个体占比</w:t>
            </w:r>
          </w:p>
        </w:tc>
        <w:tc>
          <w:tcPr>
            <w:tcW w:w="3120" w:type="dxa"/>
          </w:tcPr>
          <w:p w14:paraId="02002D1B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50 / 60 000</w:t>
            </w:r>
          </w:p>
        </w:tc>
        <w:tc>
          <w:tcPr>
            <w:tcW w:w="3120" w:type="dxa"/>
          </w:tcPr>
          <w:p w14:paraId="5BCF1EBA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低基率报警场景</w:t>
            </w:r>
            <w:r>
              <w:rPr>
                <w:sz w:val="21"/>
              </w:rPr>
              <w:t xml:space="preserve"> P(T)</w:t>
            </w:r>
          </w:p>
        </w:tc>
      </w:tr>
      <w:tr w:rsidR="001436C6" w14:paraId="4367B4CA" w14:textId="77777777">
        <w:tc>
          <w:tcPr>
            <w:tcW w:w="3120" w:type="dxa"/>
          </w:tcPr>
          <w:p w14:paraId="677B2CCA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灵敏度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误报率</w:t>
            </w:r>
          </w:p>
        </w:tc>
        <w:tc>
          <w:tcPr>
            <w:tcW w:w="3120" w:type="dxa"/>
          </w:tcPr>
          <w:p w14:paraId="7B7226C2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95% / 0.5%</w:t>
            </w:r>
          </w:p>
        </w:tc>
        <w:tc>
          <w:tcPr>
            <w:tcW w:w="3120" w:type="dxa"/>
          </w:tcPr>
          <w:p w14:paraId="6545D776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识别系统参数</w:t>
            </w:r>
            <w:r>
              <w:rPr>
                <w:sz w:val="21"/>
              </w:rPr>
              <w:t xml:space="preserve"> P(B|T) / P(B|T̄)</w:t>
            </w:r>
          </w:p>
        </w:tc>
      </w:tr>
      <w:tr w:rsidR="001436C6" w14:paraId="0B317879" w14:textId="77777777">
        <w:tc>
          <w:tcPr>
            <w:tcW w:w="3120" w:type="dxa"/>
          </w:tcPr>
          <w:p w14:paraId="7C8F8AF0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巡逻小组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热点偏向</w:t>
            </w:r>
          </w:p>
        </w:tc>
        <w:tc>
          <w:tcPr>
            <w:tcW w:w="3120" w:type="dxa"/>
          </w:tcPr>
          <w:p w14:paraId="29D2060F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 xml:space="preserve">6 </w:t>
            </w:r>
            <w:r>
              <w:rPr>
                <w:sz w:val="21"/>
              </w:rPr>
              <w:t>组</w:t>
            </w:r>
            <w:r>
              <w:rPr>
                <w:sz w:val="21"/>
              </w:rPr>
              <w:t xml:space="preserve"> / 55%</w:t>
            </w:r>
          </w:p>
        </w:tc>
        <w:tc>
          <w:tcPr>
            <w:tcW w:w="3120" w:type="dxa"/>
          </w:tcPr>
          <w:p w14:paraId="793F4470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随机游走搜索能力</w:t>
            </w:r>
          </w:p>
        </w:tc>
      </w:tr>
    </w:tbl>
    <w:p w14:paraId="03E77022" w14:textId="77777777" w:rsidR="001436C6" w:rsidRDefault="001436C6"/>
    <w:p w14:paraId="60C58857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3.3 </w:t>
      </w:r>
      <w:r>
        <w:rPr>
          <w:rFonts w:eastAsia="SimHei"/>
          <w:b/>
          <w:sz w:val="26"/>
        </w:rPr>
        <w:t>叙事版交互作品（</w:t>
      </w:r>
      <w:r>
        <w:rPr>
          <w:rFonts w:eastAsia="SimHei"/>
          <w:b/>
          <w:sz w:val="26"/>
        </w:rPr>
        <w:t>interactive/index.html</w:t>
      </w:r>
      <w:r>
        <w:rPr>
          <w:rFonts w:eastAsia="SimHei"/>
          <w:b/>
          <w:sz w:val="26"/>
        </w:rPr>
        <w:t>）</w:t>
      </w:r>
    </w:p>
    <w:p w14:paraId="150C5018" w14:textId="77777777" w:rsidR="001436C6" w:rsidRDefault="00664574">
      <w:pPr>
        <w:spacing w:after="120" w:line="360" w:lineRule="auto"/>
        <w:ind w:firstLine="420"/>
      </w:pPr>
      <w:r>
        <w:lastRenderedPageBreak/>
        <w:t>叙事版交互作品采用纯</w:t>
      </w:r>
      <w:r>
        <w:t xml:space="preserve"> HTML + CSS + JavaScript </w:t>
      </w:r>
      <w:r>
        <w:t>开发，无需安装任何依赖，直接在浏览器中打开</w:t>
      </w:r>
      <w:r>
        <w:t xml:space="preserve"> interactive/index.html </w:t>
      </w:r>
      <w:r>
        <w:t>即可使用。页面结构采用左右双栏布局：左侧叙事面板以分幕引导的方式逐步呈现概率模型的现实含义，右侧</w:t>
      </w:r>
      <w:r>
        <w:t xml:space="preserve"> Canvas </w:t>
      </w:r>
      <w:r>
        <w:t>区域动态绘制到达曲线、队列演化轨迹、巡逻路径和方案对比柱图。顶部六张指标卡实时显示当前参数下的关键数值，包括最大队列、拥堵概率、平均等待时间、报警后验概率、巡逻首达中位数和误报核查警员小时。用户通过底部滑杆调整参数后，系统立即在浏览器内重新运行蒙特卡洛模拟，使</w:t>
      </w:r>
      <w:r>
        <w:t>'</w:t>
      </w:r>
      <w:r>
        <w:t>参数改变</w:t>
      </w:r>
      <w:r>
        <w:t>-</w:t>
      </w:r>
      <w:r>
        <w:t>风险响应</w:t>
      </w:r>
      <w:r>
        <w:t>-</w:t>
      </w:r>
      <w:r>
        <w:t>策略解释</w:t>
      </w:r>
      <w:r>
        <w:t>'</w:t>
      </w:r>
      <w:r>
        <w:t>的因果链路直观可见。</w:t>
      </w:r>
    </w:p>
    <w:p w14:paraId="14695E12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3.4 </w:t>
      </w:r>
      <w:r>
        <w:rPr>
          <w:rFonts w:eastAsia="SimHei"/>
          <w:b/>
          <w:sz w:val="26"/>
        </w:rPr>
        <w:t>数据仪表板版（</w:t>
      </w:r>
      <w:r>
        <w:rPr>
          <w:rFonts w:eastAsia="SimHei"/>
          <w:b/>
          <w:sz w:val="26"/>
        </w:rPr>
        <w:t>webapp/</w:t>
      </w:r>
      <w:r>
        <w:rPr>
          <w:rFonts w:eastAsia="SimHei"/>
          <w:b/>
          <w:sz w:val="26"/>
        </w:rPr>
        <w:t>）</w:t>
      </w:r>
    </w:p>
    <w:p w14:paraId="294A989B" w14:textId="77777777" w:rsidR="001436C6" w:rsidRDefault="00664574">
      <w:pPr>
        <w:spacing w:after="120" w:line="360" w:lineRule="auto"/>
        <w:ind w:firstLine="420"/>
      </w:pPr>
      <w:r>
        <w:t>数据仪表板版采用</w:t>
      </w:r>
      <w:r>
        <w:t xml:space="preserve"> React + Vite </w:t>
      </w:r>
      <w:r>
        <w:t>技术栈开发，提供更系统化的多场景比较功能。仪表板将五个分析模块组织为可切换的选项卡，并以深色玻璃拟态风格呈现，配合渐变动效和微交互提升专业感。与叙事版互补：叙事版侧重引导用户逐步理解每个概率概念，仪表板版则适合在同一屏幕内对不同方案的多项指标进行横向比较。运行方式：在</w:t>
      </w:r>
      <w:r>
        <w:t xml:space="preserve"> webapp/ </w:t>
      </w:r>
      <w:r>
        <w:t>目录下执行</w:t>
      </w:r>
      <w:r>
        <w:t xml:space="preserve"> npm install </w:t>
      </w:r>
      <w:r>
        <w:t>后运行</w:t>
      </w:r>
      <w:r>
        <w:t xml:space="preserve"> npm run dev</w:t>
      </w:r>
      <w:r>
        <w:t>，浏览器访问本地开发服务器即可使用完整功能。</w:t>
      </w:r>
    </w:p>
    <w:p w14:paraId="2DCD3166" w14:textId="77777777" w:rsidR="001436C6" w:rsidRDefault="00664574">
      <w:pPr>
        <w:spacing w:after="120" w:line="360" w:lineRule="auto"/>
        <w:ind w:firstLine="420"/>
      </w:pPr>
      <w:r>
        <w:t>两套交互系统在数学模型和参数定义上完全对齐，所有随机种子均固定为</w:t>
      </w:r>
      <w:r>
        <w:t xml:space="preserve"> 202405</w:t>
      </w:r>
      <w:r>
        <w:t>，保证相同参数设置下两版的数值结论一致，方便对照验证。</w:t>
      </w:r>
    </w:p>
    <w:p w14:paraId="33ECEDA6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t>第四章</w:t>
      </w:r>
      <w:r>
        <w:rPr>
          <w:rFonts w:eastAsia="SimHei"/>
          <w:b/>
          <w:sz w:val="28"/>
        </w:rPr>
        <w:t xml:space="preserve"> </w:t>
      </w:r>
      <w:r>
        <w:rPr>
          <w:rFonts w:eastAsia="SimHei"/>
          <w:b/>
          <w:sz w:val="28"/>
        </w:rPr>
        <w:t>模拟结果与概率解释</w:t>
      </w:r>
    </w:p>
    <w:p w14:paraId="2365B9BF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4.1 </w:t>
      </w:r>
      <w:r>
        <w:rPr>
          <w:rFonts w:eastAsia="SimHei"/>
          <w:b/>
          <w:sz w:val="26"/>
        </w:rPr>
        <w:t>基准方案的单次路径与尾部风险</w:t>
      </w:r>
    </w:p>
    <w:p w14:paraId="10938FF5" w14:textId="77777777" w:rsidR="001436C6" w:rsidRDefault="00664574">
      <w:r>
        <w:rPr>
          <w:noProof/>
        </w:rPr>
        <w:lastRenderedPageBreak/>
        <w:drawing>
          <wp:inline distT="0" distB="0" distL="0" distR="0" wp14:anchorId="61EEBF79" wp14:editId="1F347A99">
            <wp:extent cx="5394960" cy="3596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ival_queue_sto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6CFE" w14:textId="77777777" w:rsidR="001436C6" w:rsidRDefault="00664574">
      <w:pPr>
        <w:spacing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1  </w:t>
      </w:r>
      <w:r>
        <w:rPr>
          <w:sz w:val="21"/>
        </w:rPr>
        <w:t>非齐次泊松到达、平均服务能力与队列演化（种子</w:t>
      </w:r>
      <w:r>
        <w:rPr>
          <w:sz w:val="21"/>
        </w:rPr>
        <w:t xml:space="preserve"> 202405</w:t>
      </w:r>
      <w:r>
        <w:rPr>
          <w:sz w:val="21"/>
        </w:rPr>
        <w:t>）</w:t>
      </w:r>
    </w:p>
    <w:p w14:paraId="79900E95" w14:textId="77777777" w:rsidR="001436C6" w:rsidRDefault="00664574">
      <w:pPr>
        <w:spacing w:after="120" w:line="360" w:lineRule="auto"/>
        <w:ind w:firstLine="420"/>
      </w:pPr>
      <w:r>
        <w:t>图</w:t>
      </w:r>
      <w:r>
        <w:t xml:space="preserve"> 1 </w:t>
      </w:r>
      <w:r>
        <w:t>展示了基准参数下一条固定随机路径（种子</w:t>
      </w:r>
      <w:r>
        <w:t xml:space="preserve"> 202405</w:t>
      </w:r>
      <w:r>
        <w:t>）的演化过程。在该路径中，最大队列为</w:t>
      </w:r>
      <w:r>
        <w:t xml:space="preserve"> 2065 </w:t>
      </w:r>
      <w:r>
        <w:t>人，加权平均等待时间约</w:t>
      </w:r>
      <w:r>
        <w:t xml:space="preserve"> 1.35 </w:t>
      </w:r>
      <w:r>
        <w:t>分钟，全程未触发</w:t>
      </w:r>
      <w:r>
        <w:t xml:space="preserve"> 2500 </w:t>
      </w:r>
      <w:r>
        <w:t>人拥堵阈值。然而这一</w:t>
      </w:r>
      <w:r>
        <w:t>'</w:t>
      </w:r>
      <w:r>
        <w:t>平静</w:t>
      </w:r>
      <w:r>
        <w:t>'</w:t>
      </w:r>
      <w:r>
        <w:t>的单次结果具有相当大的误导性：对</w:t>
      </w:r>
      <w:r>
        <w:t xml:space="preserve"> 300 </w:t>
      </w:r>
      <w:r>
        <w:t>次独立蒙特卡洛模拟进行统计后，最大队列超过阈值的风险概率为</w:t>
      </w:r>
      <w:r>
        <w:t xml:space="preserve"> 26.7%</w:t>
      </w:r>
      <w:r>
        <w:t>，平均最大队列达到</w:t>
      </w:r>
      <w:r>
        <w:t xml:space="preserve"> 2359 </w:t>
      </w:r>
      <w:r>
        <w:t>人，</w:t>
      </w:r>
      <w:r>
        <w:t xml:space="preserve">90 </w:t>
      </w:r>
      <w:r>
        <w:t>分位最大队列更高达</w:t>
      </w:r>
      <w:r>
        <w:t xml:space="preserve"> 2679 </w:t>
      </w:r>
      <w:r>
        <w:t>人。单次仿真与蒙特卡洛估计之间的显著差距说明：安防设计必须以尾部概率而非期望值作为决策依据，否则极易低估真实风险。</w:t>
      </w:r>
    </w:p>
    <w:p w14:paraId="268C60D1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4.2 </w:t>
      </w:r>
      <w:r>
        <w:rPr>
          <w:rFonts w:eastAsia="SimHei"/>
          <w:b/>
          <w:sz w:val="26"/>
        </w:rPr>
        <w:t>通道数与到达集中度的敏感性分析</w:t>
      </w:r>
    </w:p>
    <w:p w14:paraId="726B00F9" w14:textId="77777777" w:rsidR="001436C6" w:rsidRDefault="00664574">
      <w:r>
        <w:rPr>
          <w:noProof/>
        </w:rPr>
        <w:lastRenderedPageBreak/>
        <w:drawing>
          <wp:inline distT="0" distB="0" distL="0" distR="0" wp14:anchorId="3B4FF9CD" wp14:editId="062F0C7C">
            <wp:extent cx="5394960" cy="31602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ue_risk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4280" w14:textId="77777777" w:rsidR="001436C6" w:rsidRDefault="00664574">
      <w:pPr>
        <w:spacing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2  </w:t>
      </w:r>
      <w:r>
        <w:rPr>
          <w:sz w:val="21"/>
        </w:rPr>
        <w:t>不同通道数与到达集中度组合下的拥堵概率热力图</w:t>
      </w:r>
    </w:p>
    <w:p w14:paraId="4730EDA9" w14:textId="77777777" w:rsidR="001436C6" w:rsidRDefault="00664574">
      <w:pPr>
        <w:spacing w:after="120" w:line="360" w:lineRule="auto"/>
        <w:ind w:firstLine="420"/>
      </w:pPr>
      <w:r>
        <w:t>图</w:t>
      </w:r>
      <w:r>
        <w:t xml:space="preserve"> 2 </w:t>
      </w:r>
      <w:r>
        <w:t>以热力图形式展示了通道数（</w:t>
      </w:r>
      <w:r>
        <w:t>34</w:t>
      </w:r>
      <w:r>
        <w:t>～</w:t>
      </w:r>
      <w:r>
        <w:t xml:space="preserve">58 </w:t>
      </w:r>
      <w:r>
        <w:t>个）与到达集中度（</w:t>
      </w:r>
      <w:r>
        <w:t>0.80</w:t>
      </w:r>
      <w:r>
        <w:t>～</w:t>
      </w:r>
      <w:r>
        <w:t>1.80</w:t>
      </w:r>
      <w:r>
        <w:t>）两个参数正交扫描时的拥堵风险概率。结果表明，拥堵风险对到达集中度的敏感程度显著高于对通道数的敏感程度：当集中度从</w:t>
      </w:r>
      <w:r>
        <w:t xml:space="preserve"> 0.80 </w:t>
      </w:r>
      <w:r>
        <w:t>升至</w:t>
      </w:r>
      <w:r>
        <w:t xml:space="preserve"> 1.60 </w:t>
      </w:r>
      <w:r>
        <w:t>时，即使通道数保持在较高水平（</w:t>
      </w:r>
      <w:r>
        <w:t xml:space="preserve">50 </w:t>
      </w:r>
      <w:r>
        <w:t>个），拥堵风险仍可从接近</w:t>
      </w:r>
      <w:r>
        <w:t xml:space="preserve"> 0% </w:t>
      </w:r>
      <w:r>
        <w:t>升至</w:t>
      </w:r>
      <w:r>
        <w:t xml:space="preserve"> 40% </w:t>
      </w:r>
      <w:r>
        <w:t>以上。这一规律揭示了</w:t>
      </w:r>
      <w:r>
        <w:t>'</w:t>
      </w:r>
      <w:r>
        <w:t>错峰入场</w:t>
      </w:r>
      <w:r>
        <w:t>'</w:t>
      </w:r>
      <w:r>
        <w:t>的优先级应高于</w:t>
      </w:r>
      <w:r>
        <w:t>'</w:t>
      </w:r>
      <w:r>
        <w:t>单纯扩充通道</w:t>
      </w:r>
      <w:r>
        <w:t>'</w:t>
      </w:r>
      <w:r>
        <w:t>：通过票面分时、预约入场等方式压低集中度，可以在不增加任何硬件成本的前提下大幅降低拥堵风险。两项措施配合使用时（组合优化方案），效果最为显著。</w:t>
      </w:r>
    </w:p>
    <w:p w14:paraId="3B1A38F9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4.3 </w:t>
      </w:r>
      <w:r>
        <w:rPr>
          <w:rFonts w:eastAsia="SimHei"/>
          <w:b/>
          <w:sz w:val="26"/>
        </w:rPr>
        <w:t>报警系统中的低基率效应</w:t>
      </w:r>
    </w:p>
    <w:p w14:paraId="7808745B" w14:textId="77777777" w:rsidR="001436C6" w:rsidRDefault="00664574">
      <w:r>
        <w:rPr>
          <w:noProof/>
        </w:rPr>
        <w:lastRenderedPageBreak/>
        <w:drawing>
          <wp:inline distT="0" distB="0" distL="0" distR="0" wp14:anchorId="55FEB0CF" wp14:editId="26D1E525">
            <wp:extent cx="5394960" cy="31602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yes_alert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C755" w14:textId="77777777" w:rsidR="001436C6" w:rsidRDefault="00664574">
      <w:pPr>
        <w:spacing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3  </w:t>
      </w:r>
      <w:r>
        <w:rPr>
          <w:sz w:val="21"/>
        </w:rPr>
        <w:t>误报率对报警后验概率与警力核查成本的双轴影响</w:t>
      </w:r>
    </w:p>
    <w:p w14:paraId="704006E1" w14:textId="77777777" w:rsidR="001436C6" w:rsidRDefault="00664574">
      <w:pPr>
        <w:spacing w:after="120" w:line="360" w:lineRule="auto"/>
        <w:ind w:firstLine="420"/>
      </w:pPr>
      <w:r>
        <w:t>图</w:t>
      </w:r>
      <w:r>
        <w:t xml:space="preserve"> 3 </w:t>
      </w:r>
      <w:r>
        <w:t>以双纵轴方式展示了误报率在</w:t>
      </w:r>
      <w:r>
        <w:t xml:space="preserve"> 0.05%</w:t>
      </w:r>
      <w:r>
        <w:t>～</w:t>
      </w:r>
      <w:r>
        <w:t xml:space="preserve">2% </w:t>
      </w:r>
      <w:r>
        <w:t>区间内变化时，报警后验概率</w:t>
      </w:r>
      <w:r>
        <w:t xml:space="preserve"> P(T|B) </w:t>
      </w:r>
      <w:r>
        <w:t>与警员核查小时数的同步变化趋势。基准参数下（误报率</w:t>
      </w:r>
      <w:r>
        <w:t xml:space="preserve"> 0.5%</w:t>
      </w:r>
      <w:r>
        <w:t>），预期真实报警</w:t>
      </w:r>
      <w:r>
        <w:t xml:space="preserve"> 47.5 </w:t>
      </w:r>
      <w:r>
        <w:t>次，误报约</w:t>
      </w:r>
      <w:r>
        <w:t xml:space="preserve"> 299.8 </w:t>
      </w:r>
      <w:r>
        <w:t>次，后验概率仅</w:t>
      </w:r>
      <w:r>
        <w:t xml:space="preserve"> 13.7%</w:t>
      </w:r>
      <w:r>
        <w:t>，误报核查耗费约</w:t>
      </w:r>
      <w:r>
        <w:t xml:space="preserve"> 200 </w:t>
      </w:r>
      <w:r>
        <w:t>警员小时。曲线显示，当误报率从</w:t>
      </w:r>
      <w:r>
        <w:t xml:space="preserve"> 0.5% </w:t>
      </w:r>
      <w:r>
        <w:t>降至</w:t>
      </w:r>
      <w:r>
        <w:t xml:space="preserve"> 0.1% </w:t>
      </w:r>
      <w:r>
        <w:t>时，后验概率可提升至</w:t>
      </w:r>
      <w:r>
        <w:t xml:space="preserve"> 40% </w:t>
      </w:r>
      <w:r>
        <w:t>以上，核查成本同步下降约</w:t>
      </w:r>
      <w:r>
        <w:t xml:space="preserve"> 80%</w:t>
      </w:r>
      <w:r>
        <w:t>。这一结果提示，在系统部署阶段提高识别精度（降低误报率）比事后增加人工核查力量更具成本效益。</w:t>
      </w:r>
    </w:p>
    <w:p w14:paraId="6354E171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6"/>
        </w:rPr>
        <w:t xml:space="preserve">4.4 </w:t>
      </w:r>
      <w:r>
        <w:rPr>
          <w:rFonts w:eastAsia="SimHei"/>
          <w:b/>
          <w:sz w:val="26"/>
        </w:rPr>
        <w:t>巡逻偏向对首达时的影响</w:t>
      </w:r>
    </w:p>
    <w:p w14:paraId="4A59A80F" w14:textId="77777777" w:rsidR="001436C6" w:rsidRDefault="00664574">
      <w:r>
        <w:rPr>
          <w:noProof/>
        </w:rPr>
        <w:lastRenderedPageBreak/>
        <w:drawing>
          <wp:inline distT="0" distB="0" distL="0" distR="0" wp14:anchorId="5D507E27" wp14:editId="74048378">
            <wp:extent cx="5394960" cy="31602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rol_hit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1286" w14:textId="77777777" w:rsidR="001436C6" w:rsidRDefault="00664574">
      <w:pPr>
        <w:spacing w:after="160"/>
        <w:jc w:val="center"/>
      </w:pPr>
      <w:r>
        <w:rPr>
          <w:sz w:val="21"/>
        </w:rPr>
        <w:t>图</w:t>
      </w:r>
      <w:r>
        <w:rPr>
          <w:sz w:val="21"/>
        </w:rPr>
        <w:t xml:space="preserve"> 4  </w:t>
      </w:r>
      <w:r>
        <w:rPr>
          <w:sz w:val="21"/>
        </w:rPr>
        <w:t>近随机巡逻与热点偏向巡逻的首达时分布对比（</w:t>
      </w:r>
      <w:r>
        <w:rPr>
          <w:sz w:val="21"/>
        </w:rPr>
        <w:t xml:space="preserve">300 </w:t>
      </w:r>
      <w:r>
        <w:rPr>
          <w:sz w:val="21"/>
        </w:rPr>
        <w:t>次模拟）</w:t>
      </w:r>
    </w:p>
    <w:p w14:paraId="14809F09" w14:textId="77777777" w:rsidR="001436C6" w:rsidRDefault="00664574">
      <w:pPr>
        <w:spacing w:after="120" w:line="360" w:lineRule="auto"/>
        <w:ind w:firstLine="420"/>
      </w:pPr>
      <w:r>
        <w:t>图</w:t>
      </w:r>
      <w:r>
        <w:t xml:space="preserve"> 4 </w:t>
      </w:r>
      <w:r>
        <w:t>对比了</w:t>
      </w:r>
      <w:r>
        <w:t xml:space="preserve"> 6 </w:t>
      </w:r>
      <w:r>
        <w:t>组巡逻队在近随机（偏向概率</w:t>
      </w:r>
      <w:r>
        <w:t xml:space="preserve"> 10%</w:t>
      </w:r>
      <w:r>
        <w:t>）与热点偏向（偏向概率</w:t>
      </w:r>
      <w:r>
        <w:t xml:space="preserve"> 55%</w:t>
      </w:r>
      <w:r>
        <w:t>）两种策略下的首达时分布（各</w:t>
      </w:r>
      <w:r>
        <w:t xml:space="preserve"> 300 </w:t>
      </w:r>
      <w:r>
        <w:t>次模拟）。近随机巡逻的首达时中位数约为</w:t>
      </w:r>
      <w:r>
        <w:t xml:space="preserve"> 12 </w:t>
      </w:r>
      <w:r>
        <w:t>分钟，分布较为分散；热点偏向巡逻的中位数降至约</w:t>
      </w:r>
      <w:r>
        <w:t xml:space="preserve"> 5 </w:t>
      </w:r>
      <w:r>
        <w:t>分钟，</w:t>
      </w:r>
      <w:r>
        <w:t xml:space="preserve">90 </w:t>
      </w:r>
      <w:r>
        <w:t>分位约为</w:t>
      </w:r>
      <w:r>
        <w:t xml:space="preserve"> 8 </w:t>
      </w:r>
      <w:r>
        <w:t>分钟，分布明显向左收紧。从安防角度看，中位数代表</w:t>
      </w:r>
      <w:r>
        <w:t>'</w:t>
      </w:r>
      <w:r>
        <w:t>多数情况下的发现速度</w:t>
      </w:r>
      <w:r>
        <w:t>'</w:t>
      </w:r>
      <w:r>
        <w:t>，而</w:t>
      </w:r>
      <w:r>
        <w:t xml:space="preserve"> 90 </w:t>
      </w:r>
      <w:r>
        <w:t>分位代表</w:t>
      </w:r>
      <w:r>
        <w:t>'</w:t>
      </w:r>
      <w:r>
        <w:t>极端情况下最迟发现时间</w:t>
      </w:r>
      <w:r>
        <w:t>'</w:t>
      </w:r>
      <w:r>
        <w:t>。热点偏向在两项指标上均有明显优势，说明在已知拥堵热区、入口密度和报警位置的前提下，有限的信息引导可以将搜索效率大幅提升，而无需增加巡逻队数量。</w:t>
      </w:r>
    </w:p>
    <w:p w14:paraId="2561D597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t>第五章</w:t>
      </w:r>
      <w:r>
        <w:rPr>
          <w:rFonts w:eastAsia="SimHei"/>
          <w:b/>
          <w:sz w:val="28"/>
        </w:rPr>
        <w:t xml:space="preserve"> </w:t>
      </w:r>
      <w:r>
        <w:rPr>
          <w:rFonts w:eastAsia="SimHei"/>
          <w:b/>
          <w:sz w:val="28"/>
        </w:rPr>
        <w:t>安防策略建议与方案比较</w:t>
      </w:r>
    </w:p>
    <w:p w14:paraId="354BD9F9" w14:textId="77777777" w:rsidR="001436C6" w:rsidRDefault="00664574">
      <w:pPr>
        <w:spacing w:after="120" w:line="360" w:lineRule="auto"/>
        <w:ind w:firstLine="420"/>
      </w:pPr>
      <w:r>
        <w:t>基于前述模拟结果，本章对四种典型安防方案进行量化比较（均使用</w:t>
      </w:r>
      <w:r>
        <w:t xml:space="preserve"> 300 </w:t>
      </w:r>
      <w:r>
        <w:t>次蒙特卡洛模拟，种子</w:t>
      </w:r>
      <w:r>
        <w:t xml:space="preserve"> 202405</w:t>
      </w:r>
      <w:r>
        <w:t>）。各方案从通道数、到达集中度、拥堵概率、平均最大队列、平均等待时间、巡逻首达中位数、报警后验概率和误报核查小时数八个维度进行评估，结果见下表。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1436C6" w14:paraId="593C6800" w14:textId="77777777">
        <w:tc>
          <w:tcPr>
            <w:tcW w:w="1040" w:type="dxa"/>
            <w:shd w:val="clear" w:color="auto" w:fill="E8F3EF"/>
          </w:tcPr>
          <w:p w14:paraId="39F5F050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方案</w:t>
            </w:r>
          </w:p>
        </w:tc>
        <w:tc>
          <w:tcPr>
            <w:tcW w:w="1040" w:type="dxa"/>
            <w:shd w:val="clear" w:color="auto" w:fill="E8F3EF"/>
          </w:tcPr>
          <w:p w14:paraId="2B10F226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通道数</w:t>
            </w:r>
          </w:p>
        </w:tc>
        <w:tc>
          <w:tcPr>
            <w:tcW w:w="1040" w:type="dxa"/>
            <w:shd w:val="clear" w:color="auto" w:fill="E8F3EF"/>
          </w:tcPr>
          <w:p w14:paraId="4426616A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集中度</w:t>
            </w:r>
          </w:p>
        </w:tc>
        <w:tc>
          <w:tcPr>
            <w:tcW w:w="1040" w:type="dxa"/>
            <w:shd w:val="clear" w:color="auto" w:fill="E8F3EF"/>
          </w:tcPr>
          <w:p w14:paraId="0F73EF89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拥堵概率</w:t>
            </w:r>
          </w:p>
        </w:tc>
        <w:tc>
          <w:tcPr>
            <w:tcW w:w="1040" w:type="dxa"/>
            <w:shd w:val="clear" w:color="auto" w:fill="E8F3EF"/>
          </w:tcPr>
          <w:p w14:paraId="6DB90DF1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平均最大队列</w:t>
            </w:r>
            <w:r>
              <w:rPr>
                <w:rFonts w:eastAsia="SimHei"/>
                <w:b/>
                <w:sz w:val="21"/>
              </w:rPr>
              <w:br/>
              <w:t>(</w:t>
            </w:r>
            <w:r>
              <w:rPr>
                <w:rFonts w:eastAsia="SimHei"/>
                <w:b/>
                <w:sz w:val="21"/>
              </w:rPr>
              <w:t>人</w:t>
            </w:r>
            <w:r>
              <w:rPr>
                <w:rFonts w:eastAsia="SimHei"/>
                <w:b/>
                <w:sz w:val="21"/>
              </w:rPr>
              <w:t>)</w:t>
            </w:r>
          </w:p>
        </w:tc>
        <w:tc>
          <w:tcPr>
            <w:tcW w:w="1040" w:type="dxa"/>
            <w:shd w:val="clear" w:color="auto" w:fill="E8F3EF"/>
          </w:tcPr>
          <w:p w14:paraId="6F58D913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平均等待</w:t>
            </w:r>
            <w:r>
              <w:rPr>
                <w:rFonts w:eastAsia="SimHei"/>
                <w:b/>
                <w:sz w:val="21"/>
              </w:rPr>
              <w:br/>
              <w:t>(</w:t>
            </w:r>
            <w:r>
              <w:rPr>
                <w:rFonts w:eastAsia="SimHei"/>
                <w:b/>
                <w:sz w:val="21"/>
              </w:rPr>
              <w:t>分钟</w:t>
            </w:r>
            <w:r>
              <w:rPr>
                <w:rFonts w:eastAsia="SimHei"/>
                <w:b/>
                <w:sz w:val="21"/>
              </w:rPr>
              <w:t>)</w:t>
            </w:r>
          </w:p>
        </w:tc>
        <w:tc>
          <w:tcPr>
            <w:tcW w:w="1040" w:type="dxa"/>
            <w:shd w:val="clear" w:color="auto" w:fill="E8F3EF"/>
          </w:tcPr>
          <w:p w14:paraId="3E8C97ED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巡逻首达</w:t>
            </w:r>
            <w:r>
              <w:rPr>
                <w:rFonts w:eastAsia="SimHei"/>
                <w:b/>
                <w:sz w:val="21"/>
              </w:rPr>
              <w:br/>
            </w:r>
            <w:r>
              <w:rPr>
                <w:rFonts w:eastAsia="SimHei"/>
                <w:b/>
                <w:sz w:val="21"/>
              </w:rPr>
              <w:t>中位数</w:t>
            </w:r>
            <w:r>
              <w:rPr>
                <w:rFonts w:eastAsia="SimHei"/>
                <w:b/>
                <w:sz w:val="21"/>
              </w:rPr>
              <w:t>(</w:t>
            </w:r>
            <w:r>
              <w:rPr>
                <w:rFonts w:eastAsia="SimHei"/>
                <w:b/>
                <w:sz w:val="21"/>
              </w:rPr>
              <w:t>分</w:t>
            </w:r>
            <w:r>
              <w:rPr>
                <w:rFonts w:eastAsia="SimHei"/>
                <w:b/>
                <w:sz w:val="21"/>
              </w:rPr>
              <w:t>)</w:t>
            </w:r>
          </w:p>
        </w:tc>
        <w:tc>
          <w:tcPr>
            <w:tcW w:w="1040" w:type="dxa"/>
            <w:shd w:val="clear" w:color="auto" w:fill="E8F3EF"/>
          </w:tcPr>
          <w:p w14:paraId="32AD39D6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报警</w:t>
            </w:r>
            <w:r>
              <w:rPr>
                <w:rFonts w:eastAsia="SimHei"/>
                <w:b/>
                <w:sz w:val="21"/>
              </w:rPr>
              <w:br/>
            </w:r>
            <w:r>
              <w:rPr>
                <w:rFonts w:eastAsia="SimHei"/>
                <w:b/>
                <w:sz w:val="21"/>
              </w:rPr>
              <w:t>可信度</w:t>
            </w:r>
          </w:p>
        </w:tc>
        <w:tc>
          <w:tcPr>
            <w:tcW w:w="1040" w:type="dxa"/>
            <w:shd w:val="clear" w:color="auto" w:fill="E8F3EF"/>
          </w:tcPr>
          <w:p w14:paraId="3A909F4F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误报核查</w:t>
            </w:r>
            <w:r>
              <w:rPr>
                <w:rFonts w:eastAsia="SimHei"/>
                <w:b/>
                <w:sz w:val="21"/>
              </w:rPr>
              <w:br/>
              <w:t>(</w:t>
            </w:r>
            <w:r>
              <w:rPr>
                <w:rFonts w:eastAsia="SimHei"/>
                <w:b/>
                <w:sz w:val="21"/>
              </w:rPr>
              <w:t>警员小时</w:t>
            </w:r>
            <w:r>
              <w:rPr>
                <w:rFonts w:eastAsia="SimHei"/>
                <w:b/>
                <w:sz w:val="21"/>
              </w:rPr>
              <w:t>)</w:t>
            </w:r>
          </w:p>
        </w:tc>
      </w:tr>
      <w:tr w:rsidR="001436C6" w14:paraId="54D7A5EF" w14:textId="77777777">
        <w:tc>
          <w:tcPr>
            <w:tcW w:w="1040" w:type="dxa"/>
          </w:tcPr>
          <w:p w14:paraId="7D6E9AB8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基准方</w:t>
            </w:r>
            <w:r>
              <w:rPr>
                <w:sz w:val="21"/>
              </w:rPr>
              <w:lastRenderedPageBreak/>
              <w:t>案</w:t>
            </w:r>
          </w:p>
        </w:tc>
        <w:tc>
          <w:tcPr>
            <w:tcW w:w="1040" w:type="dxa"/>
          </w:tcPr>
          <w:p w14:paraId="17327311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lastRenderedPageBreak/>
              <w:t>36</w:t>
            </w:r>
          </w:p>
        </w:tc>
        <w:tc>
          <w:tcPr>
            <w:tcW w:w="1040" w:type="dxa"/>
          </w:tcPr>
          <w:p w14:paraId="05750E26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1.20</w:t>
            </w:r>
          </w:p>
        </w:tc>
        <w:tc>
          <w:tcPr>
            <w:tcW w:w="1040" w:type="dxa"/>
          </w:tcPr>
          <w:p w14:paraId="76AC7967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26.7%</w:t>
            </w:r>
          </w:p>
        </w:tc>
        <w:tc>
          <w:tcPr>
            <w:tcW w:w="1040" w:type="dxa"/>
          </w:tcPr>
          <w:p w14:paraId="51BA6E0F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2359</w:t>
            </w:r>
          </w:p>
        </w:tc>
        <w:tc>
          <w:tcPr>
            <w:tcW w:w="1040" w:type="dxa"/>
          </w:tcPr>
          <w:p w14:paraId="781D2936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1.55</w:t>
            </w:r>
          </w:p>
        </w:tc>
        <w:tc>
          <w:tcPr>
            <w:tcW w:w="1040" w:type="dxa"/>
          </w:tcPr>
          <w:p w14:paraId="11C2EED0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5</w:t>
            </w:r>
          </w:p>
        </w:tc>
        <w:tc>
          <w:tcPr>
            <w:tcW w:w="1040" w:type="dxa"/>
          </w:tcPr>
          <w:p w14:paraId="7E504E24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13.7%</w:t>
            </w:r>
          </w:p>
        </w:tc>
        <w:tc>
          <w:tcPr>
            <w:tcW w:w="1040" w:type="dxa"/>
          </w:tcPr>
          <w:p w14:paraId="69D2BE33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200</w:t>
            </w:r>
          </w:p>
        </w:tc>
      </w:tr>
      <w:tr w:rsidR="001436C6" w14:paraId="6A693F23" w14:textId="77777777">
        <w:tc>
          <w:tcPr>
            <w:tcW w:w="1040" w:type="dxa"/>
          </w:tcPr>
          <w:p w14:paraId="7005A1E1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错峰入场</w:t>
            </w:r>
          </w:p>
        </w:tc>
        <w:tc>
          <w:tcPr>
            <w:tcW w:w="1040" w:type="dxa"/>
          </w:tcPr>
          <w:p w14:paraId="23202FB3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36</w:t>
            </w:r>
          </w:p>
        </w:tc>
        <w:tc>
          <w:tcPr>
            <w:tcW w:w="1040" w:type="dxa"/>
          </w:tcPr>
          <w:p w14:paraId="24D29C5A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0.82</w:t>
            </w:r>
          </w:p>
        </w:tc>
        <w:tc>
          <w:tcPr>
            <w:tcW w:w="1040" w:type="dxa"/>
          </w:tcPr>
          <w:p w14:paraId="3EC4F69F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0.0%</w:t>
            </w:r>
          </w:p>
        </w:tc>
        <w:tc>
          <w:tcPr>
            <w:tcW w:w="1040" w:type="dxa"/>
          </w:tcPr>
          <w:p w14:paraId="25360802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1366</w:t>
            </w:r>
          </w:p>
        </w:tc>
        <w:tc>
          <w:tcPr>
            <w:tcW w:w="1040" w:type="dxa"/>
          </w:tcPr>
          <w:p w14:paraId="24DDEAD4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0.72</w:t>
            </w:r>
          </w:p>
        </w:tc>
        <w:tc>
          <w:tcPr>
            <w:tcW w:w="1040" w:type="dxa"/>
          </w:tcPr>
          <w:p w14:paraId="70868009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5</w:t>
            </w:r>
          </w:p>
        </w:tc>
        <w:tc>
          <w:tcPr>
            <w:tcW w:w="1040" w:type="dxa"/>
          </w:tcPr>
          <w:p w14:paraId="72EABBDF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13.7%</w:t>
            </w:r>
          </w:p>
        </w:tc>
        <w:tc>
          <w:tcPr>
            <w:tcW w:w="1040" w:type="dxa"/>
          </w:tcPr>
          <w:p w14:paraId="32365BB7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200</w:t>
            </w:r>
          </w:p>
        </w:tc>
      </w:tr>
      <w:tr w:rsidR="001436C6" w14:paraId="72DE71CC" w14:textId="77777777">
        <w:tc>
          <w:tcPr>
            <w:tcW w:w="1040" w:type="dxa"/>
          </w:tcPr>
          <w:p w14:paraId="62A822BD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增开通道</w:t>
            </w:r>
          </w:p>
        </w:tc>
        <w:tc>
          <w:tcPr>
            <w:tcW w:w="1040" w:type="dxa"/>
          </w:tcPr>
          <w:p w14:paraId="6749A49E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44</w:t>
            </w:r>
          </w:p>
        </w:tc>
        <w:tc>
          <w:tcPr>
            <w:tcW w:w="1040" w:type="dxa"/>
          </w:tcPr>
          <w:p w14:paraId="0F3D3A30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1.20</w:t>
            </w:r>
          </w:p>
        </w:tc>
        <w:tc>
          <w:tcPr>
            <w:tcW w:w="1040" w:type="dxa"/>
          </w:tcPr>
          <w:p w14:paraId="3AEDEF6C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0.0%</w:t>
            </w:r>
          </w:p>
        </w:tc>
        <w:tc>
          <w:tcPr>
            <w:tcW w:w="1040" w:type="dxa"/>
          </w:tcPr>
          <w:p w14:paraId="5506CD9C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42</w:t>
            </w:r>
          </w:p>
        </w:tc>
        <w:tc>
          <w:tcPr>
            <w:tcW w:w="1040" w:type="dxa"/>
          </w:tcPr>
          <w:p w14:paraId="010ACF8A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0.00</w:t>
            </w:r>
          </w:p>
        </w:tc>
        <w:tc>
          <w:tcPr>
            <w:tcW w:w="1040" w:type="dxa"/>
          </w:tcPr>
          <w:p w14:paraId="16C889E6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5</w:t>
            </w:r>
          </w:p>
        </w:tc>
        <w:tc>
          <w:tcPr>
            <w:tcW w:w="1040" w:type="dxa"/>
          </w:tcPr>
          <w:p w14:paraId="265EE8D7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13.7%</w:t>
            </w:r>
          </w:p>
        </w:tc>
        <w:tc>
          <w:tcPr>
            <w:tcW w:w="1040" w:type="dxa"/>
          </w:tcPr>
          <w:p w14:paraId="22174C7F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200</w:t>
            </w:r>
          </w:p>
        </w:tc>
      </w:tr>
      <w:tr w:rsidR="001436C6" w14:paraId="4015010C" w14:textId="77777777">
        <w:tc>
          <w:tcPr>
            <w:tcW w:w="1040" w:type="dxa"/>
          </w:tcPr>
          <w:p w14:paraId="5AC09682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组合优化</w:t>
            </w:r>
          </w:p>
        </w:tc>
        <w:tc>
          <w:tcPr>
            <w:tcW w:w="1040" w:type="dxa"/>
          </w:tcPr>
          <w:p w14:paraId="295AD0F8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44</w:t>
            </w:r>
          </w:p>
        </w:tc>
        <w:tc>
          <w:tcPr>
            <w:tcW w:w="1040" w:type="dxa"/>
          </w:tcPr>
          <w:p w14:paraId="1C0F8879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0.82</w:t>
            </w:r>
          </w:p>
        </w:tc>
        <w:tc>
          <w:tcPr>
            <w:tcW w:w="1040" w:type="dxa"/>
          </w:tcPr>
          <w:p w14:paraId="1AF33D49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0.0%</w:t>
            </w:r>
          </w:p>
        </w:tc>
        <w:tc>
          <w:tcPr>
            <w:tcW w:w="1040" w:type="dxa"/>
          </w:tcPr>
          <w:p w14:paraId="0082DD42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0</w:t>
            </w:r>
          </w:p>
        </w:tc>
        <w:tc>
          <w:tcPr>
            <w:tcW w:w="1040" w:type="dxa"/>
          </w:tcPr>
          <w:p w14:paraId="376EE83F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0.00</w:t>
            </w:r>
          </w:p>
        </w:tc>
        <w:tc>
          <w:tcPr>
            <w:tcW w:w="1040" w:type="dxa"/>
          </w:tcPr>
          <w:p w14:paraId="34D0865D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3</w:t>
            </w:r>
          </w:p>
        </w:tc>
        <w:tc>
          <w:tcPr>
            <w:tcW w:w="1040" w:type="dxa"/>
          </w:tcPr>
          <w:p w14:paraId="3EBF7C0C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26.5%</w:t>
            </w:r>
          </w:p>
        </w:tc>
        <w:tc>
          <w:tcPr>
            <w:tcW w:w="1040" w:type="dxa"/>
          </w:tcPr>
          <w:p w14:paraId="53069F2A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88</w:t>
            </w:r>
          </w:p>
        </w:tc>
      </w:tr>
    </w:tbl>
    <w:p w14:paraId="00D60DB1" w14:textId="77777777" w:rsidR="001436C6" w:rsidRDefault="001436C6"/>
    <w:p w14:paraId="2ED7FB18" w14:textId="77777777" w:rsidR="001436C6" w:rsidRDefault="00664574">
      <w:pPr>
        <w:spacing w:after="120" w:line="360" w:lineRule="auto"/>
        <w:ind w:firstLine="420"/>
      </w:pPr>
      <w:r>
        <w:t>从表中可以得出以下结论：</w:t>
      </w:r>
    </w:p>
    <w:p w14:paraId="2EC89F9D" w14:textId="77777777" w:rsidR="001436C6" w:rsidRDefault="00664574">
      <w:pPr>
        <w:spacing w:after="120" w:line="360" w:lineRule="auto"/>
        <w:ind w:firstLine="420"/>
      </w:pPr>
      <w:r>
        <w:t xml:space="preserve">①  </w:t>
      </w:r>
      <w:r>
        <w:t>错峰入场（集中度降至</w:t>
      </w:r>
      <w:r>
        <w:t xml:space="preserve"> 0.82</w:t>
      </w:r>
      <w:r>
        <w:t>）：在不增加任何硬件投入的前提下，将拥堵概率从</w:t>
      </w:r>
      <w:r>
        <w:t xml:space="preserve"> 26.7% </w:t>
      </w:r>
      <w:r>
        <w:t>降至</w:t>
      </w:r>
      <w:r>
        <w:t xml:space="preserve"> 0.0%</w:t>
      </w:r>
      <w:r>
        <w:t>，平均最大队列下降约</w:t>
      </w:r>
      <w:r>
        <w:t xml:space="preserve"> 42%</w:t>
      </w:r>
      <w:r>
        <w:t>，平均等待时间减半。这是成本最低、效果最显著的单一改善措施，应作为首选策略。</w:t>
      </w:r>
    </w:p>
    <w:p w14:paraId="61A00B7C" w14:textId="77777777" w:rsidR="001436C6" w:rsidRDefault="00664574">
      <w:pPr>
        <w:spacing w:after="120" w:line="360" w:lineRule="auto"/>
        <w:ind w:firstLine="420"/>
      </w:pPr>
      <w:r>
        <w:t xml:space="preserve">②  </w:t>
      </w:r>
      <w:r>
        <w:t>增开通道（</w:t>
      </w:r>
      <w:r>
        <w:t xml:space="preserve">36 → 44 </w:t>
      </w:r>
      <w:r>
        <w:t>个）：对门区排队问题最为直接，拥堵概率同样降至</w:t>
      </w:r>
      <w:r>
        <w:t xml:space="preserve"> 0%</w:t>
      </w:r>
      <w:r>
        <w:t>，但平均最大队列降幅更为显著（降至约</w:t>
      </w:r>
      <w:r>
        <w:t xml:space="preserve"> 40 </w:t>
      </w:r>
      <w:r>
        <w:t>人）。不足之处是此举对报警系统和场内巡逻均无帮助，且硬件成本较高，在场地条件受限时难以大量扩充。</w:t>
      </w:r>
    </w:p>
    <w:p w14:paraId="53E57424" w14:textId="77777777" w:rsidR="001436C6" w:rsidRDefault="00664574">
      <w:pPr>
        <w:spacing w:after="120" w:line="360" w:lineRule="auto"/>
        <w:ind w:firstLine="420"/>
      </w:pPr>
      <w:r>
        <w:t xml:space="preserve">③  </w:t>
      </w:r>
      <w:r>
        <w:t>组合优化（错峰</w:t>
      </w:r>
      <w:r>
        <w:t xml:space="preserve"> + </w:t>
      </w:r>
      <w:r>
        <w:t>扩通道</w:t>
      </w:r>
      <w:r>
        <w:t xml:space="preserve"> + </w:t>
      </w:r>
      <w:r>
        <w:t>降误报</w:t>
      </w:r>
      <w:r>
        <w:t xml:space="preserve"> + </w:t>
      </w:r>
      <w:r>
        <w:t>增强偏向）：四个维度同步改善，不仅完全消除拥堵风险，还将巡逻首达时间从</w:t>
      </w:r>
      <w:r>
        <w:t xml:space="preserve"> 5 </w:t>
      </w:r>
      <w:r>
        <w:t>分钟压缩至</w:t>
      </w:r>
      <w:r>
        <w:t xml:space="preserve"> 3 </w:t>
      </w:r>
      <w:r>
        <w:t>分钟，报警后验概率从</w:t>
      </w:r>
      <w:r>
        <w:t xml:space="preserve"> 13.7% </w:t>
      </w:r>
      <w:r>
        <w:t>提升至</w:t>
      </w:r>
      <w:r>
        <w:t xml:space="preserve"> 26.5%</w:t>
      </w:r>
      <w:r>
        <w:t>，误报核查成本下降超过</w:t>
      </w:r>
      <w:r>
        <w:t xml:space="preserve"> 55%</w:t>
      </w:r>
      <w:r>
        <w:t>，是综合效果最优的方案。</w:t>
      </w:r>
    </w:p>
    <w:p w14:paraId="24A57461" w14:textId="77777777" w:rsidR="001436C6" w:rsidRDefault="00664574">
      <w:pPr>
        <w:spacing w:after="120" w:line="360" w:lineRule="auto"/>
        <w:ind w:firstLine="420"/>
      </w:pPr>
      <w:r>
        <w:t>实践部署建议：先以预约入场和票面分时方式降低到达集中度（错峰），再保留适量通道冗余以应对随机波动，最后通过提升识别精度和热点引导巡逻减少警力浪费。三层措施分层推进，既可控制成本，也能覆盖从入口拥堵到场内异常的全链路安防需求。</w:t>
      </w:r>
    </w:p>
    <w:p w14:paraId="7A6E64E8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t>第六章</w:t>
      </w:r>
      <w:r>
        <w:rPr>
          <w:rFonts w:eastAsia="SimHei"/>
          <w:b/>
          <w:sz w:val="28"/>
        </w:rPr>
        <w:t xml:space="preserve"> </w:t>
      </w:r>
      <w:r>
        <w:rPr>
          <w:rFonts w:eastAsia="SimHei"/>
          <w:b/>
          <w:sz w:val="28"/>
        </w:rPr>
        <w:t>学习反思报告</w:t>
      </w:r>
    </w:p>
    <w:p w14:paraId="782216E8" w14:textId="77777777" w:rsidR="001436C6" w:rsidRDefault="00664574">
      <w:pPr>
        <w:spacing w:after="120" w:line="360" w:lineRule="auto"/>
        <w:ind w:firstLine="420"/>
      </w:pPr>
      <w:r>
        <w:t>本次作业最大的收获，在于将课本中的随机变量和随机过程真正放进一个有时间维度、有空间结构、有决策压力的现实情境里。项目初期，我们倾向于用平均到达率乘以时长来估算队列，但在推导排队递推公式后意识到：当每分钟到达量的波动被忽略时，期望值会系统性地低估最坏情况。蒙特卡洛的引入使</w:t>
      </w:r>
      <w:r>
        <w:t>'</w:t>
      </w:r>
      <w:r>
        <w:t>风险概率</w:t>
      </w:r>
      <w:r>
        <w:t>'</w:t>
      </w:r>
      <w:r>
        <w:t>从一个抽象概念变成了可以直接估计的数字，也让我们第一次直观感受到</w:t>
      </w:r>
      <w:r>
        <w:t>'</w:t>
      </w:r>
      <w:r>
        <w:t>期望值不等于风险</w:t>
      </w:r>
      <w:r>
        <w:t>'</w:t>
      </w:r>
      <w:r>
        <w:t>这一判断在实践中的重量。</w:t>
      </w:r>
    </w:p>
    <w:p w14:paraId="4ED5C195" w14:textId="77777777" w:rsidR="001436C6" w:rsidRDefault="00664574">
      <w:pPr>
        <w:spacing w:after="120" w:line="360" w:lineRule="auto"/>
        <w:ind w:firstLine="420"/>
      </w:pPr>
      <w:r>
        <w:lastRenderedPageBreak/>
        <w:t>贝叶斯后验概率部分是本项目的另一个认知突破。我们起初认为</w:t>
      </w:r>
      <w:r>
        <w:t>'</w:t>
      </w:r>
      <w:r>
        <w:t>灵敏度</w:t>
      </w:r>
      <w:r>
        <w:t xml:space="preserve"> 95%'</w:t>
      </w:r>
      <w:r>
        <w:t>意味着报警大部分为真，计算后才发现在</w:t>
      </w:r>
      <w:r>
        <w:t xml:space="preserve"> 0.083% </w:t>
      </w:r>
      <w:r>
        <w:t>的基率下后验概率仅为</w:t>
      </w:r>
      <w:r>
        <w:t xml:space="preserve"> 13.7%</w:t>
      </w:r>
      <w:r>
        <w:t>。这个反直觉的结论促使我们把误报率曲线（图</w:t>
      </w:r>
      <w:r>
        <w:t xml:space="preserve"> 3</w:t>
      </w:r>
      <w:r>
        <w:t>）专门拉出来分析，最终得到</w:t>
      </w:r>
      <w:r>
        <w:t>'</w:t>
      </w:r>
      <w:r>
        <w:t>降低误报率的边际收益远大于提高灵敏度</w:t>
      </w:r>
      <w:r>
        <w:t>'</w:t>
      </w:r>
      <w:r>
        <w:t>的实用结论，并将其纳入策略建议。</w:t>
      </w:r>
    </w:p>
    <w:p w14:paraId="79706258" w14:textId="77777777" w:rsidR="001436C6" w:rsidRDefault="00664574">
      <w:pPr>
        <w:spacing w:after="120" w:line="360" w:lineRule="auto"/>
        <w:ind w:firstLine="420"/>
      </w:pPr>
      <w:r>
        <w:t>在交互实现层面，我们分别开发了叙事版（纯前端，面向逐步引导）和仪表板版（</w:t>
      </w:r>
      <w:r>
        <w:t>React</w:t>
      </w:r>
      <w:r>
        <w:t>，面向多方案对比）两套系统，体会到</w:t>
      </w:r>
      <w:r>
        <w:t>'</w:t>
      </w:r>
      <w:r>
        <w:t>展示对象不同，交互设计就应当不同</w:t>
      </w:r>
      <w:r>
        <w:t>'</w:t>
      </w:r>
      <w:r>
        <w:t>。叙事版更注重把概率逻辑转化为文字与动画的配合，仪表板版则侧重让数据可以在同一屏幕内横向对齐比较。两套系统的并行开发还促使我们统一了随机种子、参数命名和指标定义，避免了数据口径不一致导致的结论冲突。</w:t>
      </w:r>
    </w:p>
    <w:p w14:paraId="6779B56A" w14:textId="77777777" w:rsidR="001436C6" w:rsidRDefault="00664574">
      <w:pPr>
        <w:spacing w:after="120" w:line="360" w:lineRule="auto"/>
        <w:ind w:firstLine="420"/>
      </w:pPr>
      <w:r>
        <w:t>协作分工方面，模型推导、代码实现、图表解释和叙事结构之间需要反复对齐。每次参数调整都要同步更新仿真脚本、交互页面和报告文字，这促使我们建立了以</w:t>
      </w:r>
      <w:r>
        <w:t xml:space="preserve"> simulation.py </w:t>
      </w:r>
      <w:r>
        <w:t>为唯一数据源、</w:t>
      </w:r>
      <w:r>
        <w:t xml:space="preserve">build_report.py </w:t>
      </w:r>
      <w:r>
        <w:t>自动生成报告的工作流，有效避免了手动复制数据时的笔误。通过这次项目，我们更直观地感受到概率论不仅是计算工具，也是一种帮助公共管理进行不确定性决策的语言。</w:t>
      </w:r>
    </w:p>
    <w:p w14:paraId="43318FA1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t>参考文献</w:t>
      </w:r>
    </w:p>
    <w:p w14:paraId="5F5FF172" w14:textId="77777777" w:rsidR="001436C6" w:rsidRDefault="00664574">
      <w:pPr>
        <w:spacing w:after="120" w:line="360" w:lineRule="auto"/>
      </w:pPr>
      <w:r>
        <w:t>[1] Ross, S. M. (2019). Introduction to Probability Models (12th ed.). Academic Press.</w:t>
      </w:r>
    </w:p>
    <w:p w14:paraId="7EBE9A12" w14:textId="77777777" w:rsidR="001436C6" w:rsidRDefault="00664574">
      <w:pPr>
        <w:spacing w:after="120" w:line="360" w:lineRule="auto"/>
      </w:pPr>
      <w:r>
        <w:t>[2] Lewis, P. A. W., &amp; Shedler, G. S. (1979). Simulation of nonhomogeneous Poisson processes by thinning. Naval Research Logistics Quarterly, 26(3), 403-413.</w:t>
      </w:r>
    </w:p>
    <w:p w14:paraId="7129A7D0" w14:textId="77777777" w:rsidR="001436C6" w:rsidRDefault="00664574">
      <w:pPr>
        <w:spacing w:after="120" w:line="360" w:lineRule="auto"/>
      </w:pPr>
      <w:r>
        <w:t>[3] Gilliam, R. R. (1979). An Application of Queueing Theory to Airport Passenger Security Screening. Interfaces, 9(4), 117-123.</w:t>
      </w:r>
    </w:p>
    <w:p w14:paraId="6617B964" w14:textId="77777777" w:rsidR="001436C6" w:rsidRDefault="00664574">
      <w:pPr>
        <w:spacing w:after="120" w:line="360" w:lineRule="auto"/>
      </w:pPr>
      <w:r>
        <w:t>[4] Zhang, Z. G., Luh, H. P., &amp; Wang, C. H. (2011). Modeling Security-Check Queues. Management Science, 57(11), 1979-1995.</w:t>
      </w:r>
    </w:p>
    <w:p w14:paraId="373021A6" w14:textId="77777777" w:rsidR="001436C6" w:rsidRDefault="00664574">
      <w:pPr>
        <w:spacing w:after="120" w:line="360" w:lineRule="auto"/>
      </w:pPr>
      <w:r>
        <w:t>[5] Axelsson, S. (2000). The base-rate fallacy and the difficulty of intrusion detection. ACM Transactions on Information and System Security (TISSEC), 3(3), 186-205.</w:t>
      </w:r>
    </w:p>
    <w:p w14:paraId="4C879B7F" w14:textId="77777777" w:rsidR="001436C6" w:rsidRDefault="00664574">
      <w:pPr>
        <w:spacing w:after="120" w:line="360" w:lineRule="auto"/>
      </w:pPr>
      <w:r>
        <w:t>[6] Lovász, L. (1993). Walks on graphs: A survey. Combinatorics, Paul erdos is eighty, 2(1), 1-46.</w:t>
      </w:r>
    </w:p>
    <w:p w14:paraId="096527D7" w14:textId="77777777" w:rsidR="001436C6" w:rsidRDefault="00664574">
      <w:pPr>
        <w:spacing w:before="160" w:after="160" w:line="360" w:lineRule="auto"/>
      </w:pPr>
      <w:r>
        <w:rPr>
          <w:rFonts w:eastAsia="SimHei"/>
          <w:b/>
          <w:sz w:val="28"/>
        </w:rPr>
        <w:lastRenderedPageBreak/>
        <w:t>附录（代码与运行说明）</w:t>
      </w:r>
    </w:p>
    <w:p w14:paraId="08B60846" w14:textId="77777777" w:rsidR="001436C6" w:rsidRDefault="00664574">
      <w:pPr>
        <w:spacing w:after="120" w:line="360" w:lineRule="auto"/>
        <w:ind w:firstLine="420"/>
      </w:pPr>
      <w:r>
        <w:t>完整源代码已随报告分别放入</w:t>
      </w:r>
      <w:r>
        <w:t xml:space="preserve"> source</w:t>
      </w:r>
      <w:r>
        <w:t>、</w:t>
      </w:r>
      <w:r>
        <w:t xml:space="preserve">interactive </w:t>
      </w:r>
      <w:r>
        <w:t>和</w:t>
      </w:r>
      <w:r>
        <w:t xml:space="preserve"> webapp </w:t>
      </w:r>
      <w:r>
        <w:t>文件夹。各套系统的运行方式如下：</w:t>
      </w:r>
    </w:p>
    <w:p w14:paraId="4A681C80" w14:textId="77777777" w:rsidR="001436C6" w:rsidRDefault="00664574">
      <w:pPr>
        <w:spacing w:after="120" w:line="360" w:lineRule="auto"/>
        <w:ind w:firstLine="420"/>
      </w:pPr>
      <w:r>
        <w:t>（</w:t>
      </w:r>
      <w:r>
        <w:t>1</w:t>
      </w:r>
      <w:r>
        <w:t>）叙事版交互作品：直接在浏览器中打开</w:t>
      </w:r>
      <w:r>
        <w:t xml:space="preserve"> interactive/index.html </w:t>
      </w:r>
      <w:r>
        <w:t>即可，无需安装任何依赖。</w:t>
      </w:r>
    </w:p>
    <w:p w14:paraId="171A47C0" w14:textId="77777777" w:rsidR="001436C6" w:rsidRDefault="00664574">
      <w:pPr>
        <w:spacing w:after="120" w:line="360" w:lineRule="auto"/>
        <w:ind w:firstLine="420"/>
      </w:pPr>
      <w:r>
        <w:t>（</w:t>
      </w:r>
      <w:r>
        <w:t>2</w:t>
      </w:r>
      <w:r>
        <w:t>）数据仪表板版：在</w:t>
      </w:r>
      <w:r>
        <w:t xml:space="preserve"> webapp/ </w:t>
      </w:r>
      <w:r>
        <w:t>目录下执行</w:t>
      </w:r>
      <w:r>
        <w:t xml:space="preserve"> npm install</w:t>
      </w:r>
      <w:r>
        <w:t>，然后运行</w:t>
      </w:r>
      <w:r>
        <w:t xml:space="preserve"> npm run dev</w:t>
      </w:r>
      <w:r>
        <w:t>，浏览器访问命令行提示的本地地址即可。</w:t>
      </w:r>
    </w:p>
    <w:p w14:paraId="663F3DC8" w14:textId="77777777" w:rsidR="001436C6" w:rsidRDefault="00664574">
      <w:pPr>
        <w:spacing w:after="120" w:line="360" w:lineRule="auto"/>
        <w:ind w:firstLine="420"/>
      </w:pPr>
      <w:r>
        <w:t>（</w:t>
      </w:r>
      <w:r>
        <w:t>3</w:t>
      </w:r>
      <w:r>
        <w:t>）复现实验图表：在命令行执行</w:t>
      </w:r>
      <w:r>
        <w:t xml:space="preserve"> py -X utf8 source/simulation.py --output report/figures</w:t>
      </w:r>
      <w:r>
        <w:t>，将重新生成全部图表和</w:t>
      </w:r>
      <w:r>
        <w:t xml:space="preserve"> metrics.json</w:t>
      </w:r>
      <w:r>
        <w:t>。</w:t>
      </w:r>
    </w:p>
    <w:p w14:paraId="233201DE" w14:textId="77777777" w:rsidR="001436C6" w:rsidRDefault="00664574">
      <w:pPr>
        <w:spacing w:after="120" w:line="360" w:lineRule="auto"/>
        <w:ind w:firstLine="420"/>
      </w:pPr>
      <w:r>
        <w:t>（</w:t>
      </w:r>
      <w:r>
        <w:t>4</w:t>
      </w:r>
      <w:r>
        <w:t>）重新生成</w:t>
      </w:r>
      <w:r>
        <w:t xml:space="preserve"> Word </w:t>
      </w:r>
      <w:r>
        <w:t>报告：安装</w:t>
      </w:r>
      <w:r>
        <w:t xml:space="preserve"> python-docx </w:t>
      </w:r>
      <w:r>
        <w:t>后在</w:t>
      </w:r>
      <w:r>
        <w:t xml:space="preserve"> scripts/ </w:t>
      </w:r>
      <w:r>
        <w:t>目录下执行</w:t>
      </w:r>
      <w:r>
        <w:t xml:space="preserve"> py build_report.py</w:t>
      </w:r>
      <w:r>
        <w:t>，将自动读取最新</w:t>
      </w:r>
      <w:r>
        <w:t xml:space="preserve"> metrics.json </w:t>
      </w:r>
      <w:r>
        <w:t>并输出</w:t>
      </w:r>
      <w:r>
        <w:t xml:space="preserve"> report/midterm_report.docx</w:t>
      </w:r>
      <w:r>
        <w:t>。</w:t>
      </w:r>
    </w:p>
    <w:p w14:paraId="507E5DD1" w14:textId="77777777" w:rsidR="001436C6" w:rsidRDefault="00664574">
      <w:pPr>
        <w:spacing w:after="120" w:line="360" w:lineRule="auto"/>
      </w:pPr>
      <w:r>
        <w:t>主要文件一览：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436C6" w14:paraId="431A3CBF" w14:textId="77777777">
        <w:tc>
          <w:tcPr>
            <w:tcW w:w="4680" w:type="dxa"/>
            <w:shd w:val="clear" w:color="auto" w:fill="E8F3EF"/>
          </w:tcPr>
          <w:p w14:paraId="1AE1EF4C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文件</w:t>
            </w:r>
            <w:r>
              <w:rPr>
                <w:rFonts w:eastAsia="SimHei"/>
                <w:b/>
                <w:sz w:val="21"/>
              </w:rPr>
              <w:t xml:space="preserve"> / </w:t>
            </w:r>
            <w:r>
              <w:rPr>
                <w:rFonts w:eastAsia="SimHei"/>
                <w:b/>
                <w:sz w:val="21"/>
              </w:rPr>
              <w:t>目录</w:t>
            </w:r>
          </w:p>
        </w:tc>
        <w:tc>
          <w:tcPr>
            <w:tcW w:w="4680" w:type="dxa"/>
            <w:shd w:val="clear" w:color="auto" w:fill="E8F3EF"/>
          </w:tcPr>
          <w:p w14:paraId="68A5FE50" w14:textId="77777777" w:rsidR="001436C6" w:rsidRDefault="00664574">
            <w:pPr>
              <w:jc w:val="center"/>
            </w:pPr>
            <w:r>
              <w:rPr>
                <w:rFonts w:eastAsia="SimHei"/>
                <w:b/>
                <w:sz w:val="21"/>
              </w:rPr>
              <w:t>作用</w:t>
            </w:r>
          </w:p>
        </w:tc>
      </w:tr>
      <w:tr w:rsidR="001436C6" w14:paraId="2C5A6A4A" w14:textId="77777777">
        <w:tc>
          <w:tcPr>
            <w:tcW w:w="4680" w:type="dxa"/>
          </w:tcPr>
          <w:p w14:paraId="609944A0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interactive/index.html</w:t>
            </w:r>
          </w:p>
        </w:tc>
        <w:tc>
          <w:tcPr>
            <w:tcW w:w="4680" w:type="dxa"/>
          </w:tcPr>
          <w:p w14:paraId="72EA94C6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叙事版交互作品页面（纯前端，直接打开）</w:t>
            </w:r>
          </w:p>
        </w:tc>
      </w:tr>
      <w:tr w:rsidR="001436C6" w14:paraId="4C97F657" w14:textId="77777777">
        <w:tc>
          <w:tcPr>
            <w:tcW w:w="4680" w:type="dxa"/>
          </w:tcPr>
          <w:p w14:paraId="23AC6430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interactive/styles.css</w:t>
            </w:r>
          </w:p>
        </w:tc>
        <w:tc>
          <w:tcPr>
            <w:tcW w:w="4680" w:type="dxa"/>
          </w:tcPr>
          <w:p w14:paraId="278C4DF8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叙事版样式与响应式布局</w:t>
            </w:r>
          </w:p>
        </w:tc>
      </w:tr>
      <w:tr w:rsidR="001436C6" w14:paraId="1D815281" w14:textId="77777777">
        <w:tc>
          <w:tcPr>
            <w:tcW w:w="4680" w:type="dxa"/>
          </w:tcPr>
          <w:p w14:paraId="7CD239E0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interactive/app.js</w:t>
            </w:r>
          </w:p>
        </w:tc>
        <w:tc>
          <w:tcPr>
            <w:tcW w:w="4680" w:type="dxa"/>
          </w:tcPr>
          <w:p w14:paraId="28033126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叙事版：浏览器内蒙特卡洛模拟与</w:t>
            </w:r>
            <w:r>
              <w:rPr>
                <w:sz w:val="21"/>
              </w:rPr>
              <w:t xml:space="preserve"> Canvas </w:t>
            </w:r>
            <w:r>
              <w:rPr>
                <w:sz w:val="21"/>
              </w:rPr>
              <w:t>绘图</w:t>
            </w:r>
          </w:p>
        </w:tc>
      </w:tr>
      <w:tr w:rsidR="001436C6" w14:paraId="34822E32" w14:textId="77777777">
        <w:tc>
          <w:tcPr>
            <w:tcW w:w="4680" w:type="dxa"/>
          </w:tcPr>
          <w:p w14:paraId="0546CE39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webapp/src/</w:t>
            </w:r>
          </w:p>
        </w:tc>
        <w:tc>
          <w:tcPr>
            <w:tcW w:w="4680" w:type="dxa"/>
          </w:tcPr>
          <w:p w14:paraId="08620C65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数据仪表板版</w:t>
            </w:r>
            <w:r>
              <w:rPr>
                <w:sz w:val="21"/>
              </w:rPr>
              <w:t xml:space="preserve"> React </w:t>
            </w:r>
            <w:r>
              <w:rPr>
                <w:sz w:val="21"/>
              </w:rPr>
              <w:t>源码（</w:t>
            </w:r>
            <w:r>
              <w:rPr>
                <w:sz w:val="21"/>
              </w:rPr>
              <w:t xml:space="preserve">Vite </w:t>
            </w:r>
            <w:r>
              <w:rPr>
                <w:sz w:val="21"/>
              </w:rPr>
              <w:t>构建）</w:t>
            </w:r>
          </w:p>
        </w:tc>
      </w:tr>
      <w:tr w:rsidR="001436C6" w14:paraId="428E33B2" w14:textId="77777777">
        <w:tc>
          <w:tcPr>
            <w:tcW w:w="4680" w:type="dxa"/>
          </w:tcPr>
          <w:p w14:paraId="01331427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source/simulation.py</w:t>
            </w:r>
          </w:p>
        </w:tc>
        <w:tc>
          <w:tcPr>
            <w:tcW w:w="4680" w:type="dxa"/>
          </w:tcPr>
          <w:p w14:paraId="1F98C36F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可复现仿真脚本：生成图表与</w:t>
            </w:r>
            <w:r>
              <w:rPr>
                <w:sz w:val="21"/>
              </w:rPr>
              <w:t xml:space="preserve"> metrics.json</w:t>
            </w:r>
          </w:p>
        </w:tc>
      </w:tr>
      <w:tr w:rsidR="001436C6" w14:paraId="0D8F248B" w14:textId="77777777">
        <w:tc>
          <w:tcPr>
            <w:tcW w:w="4680" w:type="dxa"/>
          </w:tcPr>
          <w:p w14:paraId="646205BF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scripts/build_report.py</w:t>
            </w:r>
          </w:p>
        </w:tc>
        <w:tc>
          <w:tcPr>
            <w:tcW w:w="4680" w:type="dxa"/>
          </w:tcPr>
          <w:p w14:paraId="1F835CE3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自动读取</w:t>
            </w:r>
            <w:r>
              <w:rPr>
                <w:sz w:val="21"/>
              </w:rPr>
              <w:t xml:space="preserve"> metrics.json </w:t>
            </w:r>
            <w:r>
              <w:rPr>
                <w:sz w:val="21"/>
              </w:rPr>
              <w:t>并生成本</w:t>
            </w:r>
            <w:r>
              <w:rPr>
                <w:sz w:val="21"/>
              </w:rPr>
              <w:t xml:space="preserve"> Word </w:t>
            </w:r>
            <w:r>
              <w:rPr>
                <w:sz w:val="21"/>
              </w:rPr>
              <w:t>报告</w:t>
            </w:r>
          </w:p>
        </w:tc>
      </w:tr>
      <w:tr w:rsidR="001436C6" w14:paraId="7412B8ED" w14:textId="77777777">
        <w:tc>
          <w:tcPr>
            <w:tcW w:w="4680" w:type="dxa"/>
          </w:tcPr>
          <w:p w14:paraId="4779A530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report/figures/*.png</w:t>
            </w:r>
          </w:p>
        </w:tc>
        <w:tc>
          <w:tcPr>
            <w:tcW w:w="4680" w:type="dxa"/>
          </w:tcPr>
          <w:p w14:paraId="20C30139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报告中使用的四张可视化图表</w:t>
            </w:r>
          </w:p>
        </w:tc>
      </w:tr>
      <w:tr w:rsidR="001436C6" w14:paraId="5CDF3BE3" w14:textId="77777777">
        <w:tc>
          <w:tcPr>
            <w:tcW w:w="4680" w:type="dxa"/>
          </w:tcPr>
          <w:p w14:paraId="0D4D5868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report/figures/metrics.json</w:t>
            </w:r>
          </w:p>
        </w:tc>
        <w:tc>
          <w:tcPr>
            <w:tcW w:w="4680" w:type="dxa"/>
          </w:tcPr>
          <w:p w14:paraId="6B454E71" w14:textId="77777777" w:rsidR="001436C6" w:rsidRDefault="00664574">
            <w:pPr>
              <w:spacing w:line="288" w:lineRule="auto"/>
            </w:pPr>
            <w:r>
              <w:rPr>
                <w:sz w:val="21"/>
              </w:rPr>
              <w:t>仿真输出的所有关键指标（数据唯一来源）</w:t>
            </w:r>
          </w:p>
        </w:tc>
      </w:tr>
    </w:tbl>
    <w:p w14:paraId="7B095099" w14:textId="77777777" w:rsidR="001436C6" w:rsidRDefault="001436C6"/>
    <w:p w14:paraId="2F65F552" w14:textId="77777777" w:rsidR="001436C6" w:rsidRDefault="00664574">
      <w:pPr>
        <w:spacing w:after="120" w:line="360" w:lineRule="auto"/>
      </w:pPr>
      <w:r>
        <w:t>核心队列递推伪代码（</w:t>
      </w:r>
      <w:r>
        <w:t xml:space="preserve">Python </w:t>
      </w:r>
      <w:r>
        <w:t>风格）：</w:t>
      </w:r>
    </w:p>
    <w:p w14:paraId="75810874" w14:textId="5DADAFFF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/>
            </w:rPr>
            <m:t>for t in range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minutes</m:t>
              </m:r>
            </m:e>
          </m:d>
          <m:r>
            <w:rPr>
              <w:rFonts w:ascii="Cambria Math" w:eastAsia="Cambria Math" w:hAnsi="Cambria Math"/>
            </w:rPr>
            <m:t>:</m:t>
          </m:r>
        </m:oMath>
      </m:oMathPara>
    </w:p>
    <w:p w14:paraId="722E36C9" w14:textId="39FC7E94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/>
            </w:rPr>
            <m:t xml:space="preserve">    arrivals  = Poisson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lambda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1F8A58B" w14:textId="44420942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/>
            </w:rPr>
            <m:t xml:space="preserve">    service   = Poisson</m:t>
          </m:r>
          <m:d>
            <m:dPr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gates × servic</m:t>
              </m:r>
              <m:sSub>
                <m:sSubPr>
                  <m:ctrlPr>
                    <w:rPr>
                      <w:rFonts w:ascii="Cambria Math" w:eastAsia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rate</m:t>
                  </m:r>
                </m:sub>
              </m:sSub>
            </m:e>
          </m:d>
        </m:oMath>
      </m:oMathPara>
    </w:p>
    <w:p w14:paraId="6AF3AE52" w14:textId="140C51B5" w:rsidR="001436C6" w:rsidRDefault="00B06958">
      <w:pPr>
        <w:spacing w:line="360" w:lineRule="auto"/>
        <w:jc w:val="center"/>
      </w:pPr>
      <m:oMathPara>
        <m:oMath>
          <m:r>
            <w:rPr>
              <w:rFonts w:ascii="Cambria Math" w:eastAsia="Cambria Math" w:hAnsi="Cambria Math"/>
            </w:rPr>
            <m:t xml:space="preserve">    queue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/>
                  <w:i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t</m:t>
              </m:r>
            </m:e>
          </m:d>
          <m:r>
            <w:rPr>
              <w:rFonts w:ascii="Cambria Math" w:eastAsia="Cambria Math" w:hAnsi="Cambria Math"/>
            </w:rPr>
            <m:t xml:space="preserve"> =</m:t>
          </m:r>
          <m:func>
            <m:funcPr>
              <m:ctrlPr>
                <w:rPr>
                  <w:rFonts w:ascii="Cambria Math" w:eastAsia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max</m:t>
              </m:r>
              <m:ctrlPr>
                <w:rPr>
                  <w:rFonts w:ascii="Cambria Math" w:eastAsia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</w:rPr>
                    <m:t>0, queue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</w:rPr>
                        <m:t>t-1</m:t>
                      </m:r>
                    </m:e>
                  </m:d>
                  <m:r>
                    <w:rPr>
                      <w:rFonts w:ascii="Cambria Math" w:eastAsia="Cambria Math" w:hAnsi="Cambria Math"/>
                    </w:rPr>
                    <m:t>+ arrivals - service</m:t>
                  </m:r>
                </m:e>
              </m:d>
            </m:e>
          </m:func>
        </m:oMath>
      </m:oMathPara>
    </w:p>
    <w:p w14:paraId="21735E20" w14:textId="77777777" w:rsidR="001436C6" w:rsidRDefault="00664574">
      <w:pPr>
        <w:spacing w:after="120" w:line="360" w:lineRule="auto"/>
      </w:pPr>
      <w:r>
        <w:lastRenderedPageBreak/>
        <w:t>重复上述过程</w:t>
      </w:r>
      <w:r>
        <w:t xml:space="preserve"> 300 </w:t>
      </w:r>
      <w:r>
        <w:t>次并统计</w:t>
      </w:r>
      <w:r>
        <w:t xml:space="preserve"> max(queue) &gt; threshold </w:t>
      </w:r>
      <w:r>
        <w:t>的比例，即可可靠估计</w:t>
      </w:r>
      <w:r>
        <w:t xml:space="preserve"> P(max Q(t) &gt; L)</w:t>
      </w:r>
      <w:r>
        <w:t>（尾部风险概率）。</w:t>
      </w:r>
    </w:p>
    <w:sectPr w:rsidR="001436C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688BE" w14:textId="77777777" w:rsidR="00664574" w:rsidRDefault="00664574" w:rsidP="00B06958">
      <w:pPr>
        <w:spacing w:after="0" w:line="240" w:lineRule="auto"/>
      </w:pPr>
      <w:r>
        <w:separator/>
      </w:r>
    </w:p>
  </w:endnote>
  <w:endnote w:type="continuationSeparator" w:id="0">
    <w:p w14:paraId="5C8B101C" w14:textId="77777777" w:rsidR="00664574" w:rsidRDefault="00664574" w:rsidP="00B06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487E" w14:textId="77777777" w:rsidR="00664574" w:rsidRDefault="00664574" w:rsidP="00B06958">
      <w:pPr>
        <w:spacing w:after="0" w:line="240" w:lineRule="auto"/>
      </w:pPr>
      <w:r>
        <w:separator/>
      </w:r>
    </w:p>
  </w:footnote>
  <w:footnote w:type="continuationSeparator" w:id="0">
    <w:p w14:paraId="5AAB1955" w14:textId="77777777" w:rsidR="00664574" w:rsidRDefault="00664574" w:rsidP="00B06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914358">
    <w:abstractNumId w:val="8"/>
  </w:num>
  <w:num w:numId="2" w16cid:durableId="1426458169">
    <w:abstractNumId w:val="6"/>
  </w:num>
  <w:num w:numId="3" w16cid:durableId="640617500">
    <w:abstractNumId w:val="5"/>
  </w:num>
  <w:num w:numId="4" w16cid:durableId="961693523">
    <w:abstractNumId w:val="4"/>
  </w:num>
  <w:num w:numId="5" w16cid:durableId="618538054">
    <w:abstractNumId w:val="7"/>
  </w:num>
  <w:num w:numId="6" w16cid:durableId="18627421">
    <w:abstractNumId w:val="3"/>
  </w:num>
  <w:num w:numId="7" w16cid:durableId="2083717568">
    <w:abstractNumId w:val="2"/>
  </w:num>
  <w:num w:numId="8" w16cid:durableId="1921326022">
    <w:abstractNumId w:val="1"/>
  </w:num>
  <w:num w:numId="9" w16cid:durableId="139022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6C6"/>
    <w:rsid w:val="0015074B"/>
    <w:rsid w:val="0029639D"/>
    <w:rsid w:val="00326F90"/>
    <w:rsid w:val="00664574"/>
    <w:rsid w:val="008732D1"/>
    <w:rsid w:val="00AA1D8D"/>
    <w:rsid w:val="00B0695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F5720B"/>
  <w14:defaultImageDpi w14:val="300"/>
  <w15:docId w15:val="{246BE5E2-5776-415B-9C71-19D4611F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SimSu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4164</Words>
  <Characters>5705</Characters>
  <Application>Microsoft Office Word</Application>
  <DocSecurity>0</DocSecurity>
  <Lines>237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junjie huang</cp:lastModifiedBy>
  <cp:revision>2</cp:revision>
  <dcterms:created xsi:type="dcterms:W3CDTF">2013-12-23T23:15:00Z</dcterms:created>
  <dcterms:modified xsi:type="dcterms:W3CDTF">2026-05-23T15:11:00Z</dcterms:modified>
  <cp:category/>
</cp:coreProperties>
</file>