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5.3.0 -->
  <w:body>
    <w:p w:rsidR="0083505E" w:rsidRPr="006A0E82" w:rsidP="0083505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rPr>
          <w:b/>
          <w:color w:val="943634" w:themeColor="accent2" w:themeShade="BF"/>
          <w:sz w:val="40"/>
          <w:szCs w:val="40"/>
        </w:rPr>
      </w:pPr>
      <w:r w:rsidRPr="006A0E82">
        <w:rPr>
          <w:b/>
          <w:color w:val="943634" w:themeColor="accent2" w:themeShade="BF"/>
          <w:sz w:val="40"/>
          <w:szCs w:val="40"/>
        </w:rPr>
        <w:t xml:space="preserve">                          </w:t>
      </w:r>
      <w:r>
        <w:rPr>
          <w:b/>
          <w:color w:val="943634" w:themeColor="accent2" w:themeShade="BF"/>
          <w:sz w:val="40"/>
          <w:szCs w:val="40"/>
        </w:rPr>
        <w:t>Business Requirement Document</w:t>
      </w:r>
    </w:p>
    <w:p w:rsidR="0083505E" w:rsidP="0083505E">
      <w:pPr>
        <w:jc w:val="center"/>
        <w:rPr>
          <w:rFonts w:cstheme="minorHAnsi"/>
          <w:b/>
          <w:bCs/>
          <w:color w:val="242424"/>
          <w:sz w:val="28"/>
          <w:szCs w:val="28"/>
          <w:shd w:val="clear" w:color="auto" w:fill="FFFFFF"/>
        </w:rPr>
      </w:pPr>
    </w:p>
    <w:p w:rsidR="0083505E" w:rsidP="0083505E">
      <w:pPr>
        <w:rPr>
          <w:rFonts w:cstheme="minorHAnsi"/>
          <w:b/>
          <w:bCs/>
          <w:color w:val="242424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Ind w:w="1526" w:type="dxa"/>
        <w:tblLook w:val="04A0"/>
      </w:tblPr>
      <w:tblGrid>
        <w:gridCol w:w="567"/>
        <w:gridCol w:w="1843"/>
        <w:gridCol w:w="4394"/>
      </w:tblGrid>
      <w:tr w:rsidTr="00F94E51">
        <w:tblPrEx>
          <w:tblW w:w="0" w:type="auto"/>
          <w:tblInd w:w="1526" w:type="dxa"/>
          <w:tblLook w:val="04A0"/>
        </w:tblPrEx>
        <w:tc>
          <w:tcPr>
            <w:tcW w:w="567" w:type="dxa"/>
          </w:tcPr>
          <w:p w:rsidR="0083505E" w:rsidRPr="00FC1125" w:rsidP="00F94E51">
            <w:pPr>
              <w:rPr>
                <w:b/>
                <w:color w:val="002060"/>
              </w:rPr>
            </w:pPr>
            <w:r w:rsidRPr="00FC1125">
              <w:rPr>
                <w:b/>
                <w:color w:val="002060"/>
              </w:rPr>
              <w:t>1</w:t>
            </w:r>
          </w:p>
        </w:tc>
        <w:tc>
          <w:tcPr>
            <w:tcW w:w="1843" w:type="dxa"/>
          </w:tcPr>
          <w:p w:rsidR="0083505E" w:rsidRPr="00FC1125" w:rsidP="00F94E51">
            <w:pPr>
              <w:rPr>
                <w:b/>
                <w:color w:val="002060"/>
              </w:rPr>
            </w:pPr>
            <w:r w:rsidRPr="00FC1125">
              <w:rPr>
                <w:b/>
                <w:color w:val="002060"/>
              </w:rPr>
              <w:t>Document  Name</w:t>
            </w:r>
          </w:p>
        </w:tc>
        <w:tc>
          <w:tcPr>
            <w:tcW w:w="4394" w:type="dxa"/>
          </w:tcPr>
          <w:p w:rsidR="0083505E" w:rsidRPr="004C0F30" w:rsidP="00F94E51">
            <w:pPr>
              <w:rPr>
                <w:rFonts w:cstheme="minorHAnsi"/>
                <w:b/>
                <w:bCs/>
                <w:color w:val="242424"/>
                <w:sz w:val="28"/>
                <w:szCs w:val="28"/>
                <w:shd w:val="clear" w:color="auto" w:fill="FFFFFF"/>
              </w:rPr>
            </w:pPr>
            <w:r>
              <w:rPr>
                <w:b/>
                <w:color w:val="FF6600"/>
              </w:rPr>
              <w:t>RSM website order placement</w:t>
            </w:r>
          </w:p>
        </w:tc>
      </w:tr>
      <w:tr w:rsidTr="00F94E51">
        <w:tblPrEx>
          <w:tblW w:w="0" w:type="auto"/>
          <w:tblInd w:w="1526" w:type="dxa"/>
          <w:tblLook w:val="04A0"/>
        </w:tblPrEx>
        <w:tc>
          <w:tcPr>
            <w:tcW w:w="567" w:type="dxa"/>
          </w:tcPr>
          <w:p w:rsidR="0083505E" w:rsidRPr="00FC1125" w:rsidP="00F94E51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2</w:t>
            </w:r>
          </w:p>
        </w:tc>
        <w:tc>
          <w:tcPr>
            <w:tcW w:w="1843" w:type="dxa"/>
          </w:tcPr>
          <w:p w:rsidR="0083505E" w:rsidRPr="00FC1125" w:rsidP="00F94E51">
            <w:pPr>
              <w:rPr>
                <w:b/>
                <w:color w:val="002060"/>
              </w:rPr>
            </w:pPr>
            <w:r w:rsidRPr="00FC1125">
              <w:rPr>
                <w:b/>
                <w:color w:val="002060"/>
              </w:rPr>
              <w:t>Initiated By</w:t>
            </w:r>
          </w:p>
        </w:tc>
        <w:tc>
          <w:tcPr>
            <w:tcW w:w="4394" w:type="dxa"/>
          </w:tcPr>
          <w:p w:rsidR="0083505E" w:rsidRPr="00FC1125" w:rsidP="00F94E51">
            <w:pPr>
              <w:rPr>
                <w:b/>
                <w:color w:val="FF6600"/>
              </w:rPr>
            </w:pPr>
            <w:r w:rsidRPr="00BE20FC">
              <w:rPr>
                <w:b/>
                <w:color w:val="FF6600"/>
              </w:rPr>
              <w:t xml:space="preserve">Mohammad </w:t>
            </w:r>
            <w:r w:rsidRPr="00BE20FC">
              <w:rPr>
                <w:b/>
                <w:color w:val="FF6600"/>
              </w:rPr>
              <w:t>Ahsan</w:t>
            </w:r>
            <w:r w:rsidRPr="00BE20FC">
              <w:rPr>
                <w:b/>
                <w:color w:val="FF6600"/>
              </w:rPr>
              <w:t xml:space="preserve"> Ali </w:t>
            </w:r>
            <w:r w:rsidRPr="00BE20FC">
              <w:rPr>
                <w:b/>
                <w:color w:val="FF6600"/>
              </w:rPr>
              <w:t>Farooqui</w:t>
            </w:r>
          </w:p>
        </w:tc>
      </w:tr>
      <w:tr w:rsidTr="00F94E51">
        <w:tblPrEx>
          <w:tblW w:w="0" w:type="auto"/>
          <w:tblInd w:w="1526" w:type="dxa"/>
          <w:tblLook w:val="04A0"/>
        </w:tblPrEx>
        <w:tc>
          <w:tcPr>
            <w:tcW w:w="567" w:type="dxa"/>
          </w:tcPr>
          <w:p w:rsidR="0083505E" w:rsidRPr="00FC1125" w:rsidP="00F94E51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3</w:t>
            </w:r>
          </w:p>
        </w:tc>
        <w:tc>
          <w:tcPr>
            <w:tcW w:w="1843" w:type="dxa"/>
          </w:tcPr>
          <w:p w:rsidR="0083505E" w:rsidRPr="00FC1125" w:rsidP="00F94E51">
            <w:pPr>
              <w:rPr>
                <w:b/>
                <w:color w:val="002060"/>
              </w:rPr>
            </w:pPr>
            <w:r w:rsidRPr="00FC1125">
              <w:rPr>
                <w:b/>
                <w:color w:val="002060"/>
              </w:rPr>
              <w:t>Approver/s</w:t>
            </w:r>
          </w:p>
        </w:tc>
        <w:tc>
          <w:tcPr>
            <w:tcW w:w="4394" w:type="dxa"/>
          </w:tcPr>
          <w:p w:rsidR="0083505E" w:rsidRPr="00FC1125" w:rsidP="0083505E">
            <w:pPr>
              <w:rPr>
                <w:b/>
                <w:color w:val="FF6600"/>
              </w:rPr>
            </w:pPr>
          </w:p>
        </w:tc>
      </w:tr>
      <w:tr w:rsidTr="00F94E51">
        <w:tblPrEx>
          <w:tblW w:w="0" w:type="auto"/>
          <w:tblInd w:w="1526" w:type="dxa"/>
          <w:tblLook w:val="04A0"/>
        </w:tblPrEx>
        <w:tc>
          <w:tcPr>
            <w:tcW w:w="567" w:type="dxa"/>
          </w:tcPr>
          <w:p w:rsidR="0083505E" w:rsidRPr="00FC1125" w:rsidP="00F94E51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4</w:t>
            </w:r>
          </w:p>
        </w:tc>
        <w:tc>
          <w:tcPr>
            <w:tcW w:w="1843" w:type="dxa"/>
          </w:tcPr>
          <w:p w:rsidR="0083505E" w:rsidRPr="00FC1125" w:rsidP="00F94E51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BRD Prepared By</w:t>
            </w:r>
          </w:p>
        </w:tc>
        <w:tc>
          <w:tcPr>
            <w:tcW w:w="4394" w:type="dxa"/>
          </w:tcPr>
          <w:p w:rsidR="0083505E" w:rsidRPr="00FC1125" w:rsidP="00F94E51">
            <w:pPr>
              <w:rPr>
                <w:b/>
                <w:color w:val="FF6600"/>
              </w:rPr>
            </w:pPr>
            <w:r>
              <w:rPr>
                <w:b/>
                <w:color w:val="FF6600"/>
              </w:rPr>
              <w:t>Omkar</w:t>
            </w:r>
            <w:r>
              <w:rPr>
                <w:b/>
                <w:color w:val="FF6600"/>
              </w:rPr>
              <w:t xml:space="preserve"> </w:t>
            </w:r>
            <w:r>
              <w:rPr>
                <w:b/>
                <w:color w:val="FF6600"/>
              </w:rPr>
              <w:t>Ughade</w:t>
            </w:r>
          </w:p>
        </w:tc>
      </w:tr>
      <w:tr w:rsidTr="00F94E51">
        <w:tblPrEx>
          <w:tblW w:w="0" w:type="auto"/>
          <w:tblInd w:w="1526" w:type="dxa"/>
          <w:tblLook w:val="04A0"/>
        </w:tblPrEx>
        <w:tc>
          <w:tcPr>
            <w:tcW w:w="567" w:type="dxa"/>
          </w:tcPr>
          <w:p w:rsidR="0083505E" w:rsidRPr="00FC1125" w:rsidP="00F94E51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5</w:t>
            </w:r>
          </w:p>
        </w:tc>
        <w:tc>
          <w:tcPr>
            <w:tcW w:w="1843" w:type="dxa"/>
          </w:tcPr>
          <w:p w:rsidR="0083505E" w:rsidRPr="00FC1125" w:rsidP="00F94E51">
            <w:pPr>
              <w:rPr>
                <w:b/>
                <w:color w:val="002060"/>
              </w:rPr>
            </w:pPr>
            <w:r w:rsidRPr="0030649E">
              <w:rPr>
                <w:b/>
                <w:color w:val="002060"/>
              </w:rPr>
              <w:t>Initiation </w:t>
            </w:r>
            <w:r w:rsidRPr="00FC1125">
              <w:rPr>
                <w:b/>
                <w:color w:val="002060"/>
              </w:rPr>
              <w:t>Date</w:t>
            </w:r>
          </w:p>
        </w:tc>
        <w:tc>
          <w:tcPr>
            <w:tcW w:w="4394" w:type="dxa"/>
          </w:tcPr>
          <w:p w:rsidR="0083505E" w:rsidRPr="00B24DBC" w:rsidP="0083505E">
            <w:pPr>
              <w:rPr>
                <w:b/>
                <w:color w:val="FF6600"/>
              </w:rPr>
            </w:pPr>
            <w:r>
              <w:rPr>
                <w:b/>
                <w:color w:val="FF6600"/>
              </w:rPr>
              <w:t>09-05-2025</w:t>
            </w:r>
          </w:p>
        </w:tc>
      </w:tr>
    </w:tbl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p w:rsidR="0083505E" w:rsidP="0083505E">
      <w:pPr>
        <w:rPr>
          <w:b/>
          <w:color w:val="17365D" w:themeColor="text2" w:themeShade="BF"/>
          <w:sz w:val="32"/>
          <w:szCs w:val="3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79793316"/>
        <w:docPartObj>
          <w:docPartGallery w:val="Table of Contents"/>
          <w:docPartUnique/>
        </w:docPartObj>
      </w:sdtPr>
      <w:sdtContent>
        <w:p w:rsidR="0083505E" w:rsidRPr="00E56CCE" w:rsidP="0083505E">
          <w:pPr>
            <w:pStyle w:val="TOCHeading"/>
            <w:rPr>
              <w:b w:val="0"/>
              <w:color w:val="548DD4" w:themeColor="text2" w:themeTint="99"/>
            </w:rPr>
          </w:pPr>
        </w:p>
        <w:p w:rsidR="0083505E" w:rsidRPr="00E56CCE" w:rsidP="0083505E">
          <w:pPr>
            <w:jc w:val="center"/>
            <w:rPr>
              <w:b/>
              <w:i/>
              <w:color w:val="0F243E" w:themeColor="text2" w:themeShade="80"/>
              <w:sz w:val="36"/>
              <w:szCs w:val="36"/>
              <w:u w:val="single"/>
            </w:rPr>
          </w:pPr>
          <w:r w:rsidRPr="00E56CCE">
            <w:rPr>
              <w:b/>
              <w:i/>
              <w:color w:val="0F243E" w:themeColor="text2" w:themeShade="80"/>
              <w:sz w:val="36"/>
              <w:szCs w:val="36"/>
              <w:u w:val="single"/>
            </w:rPr>
            <w:t>Table of Contents</w:t>
          </w:r>
        </w:p>
        <w:p w:rsidR="0083505E" w:rsidP="0083505E">
          <w:pPr>
            <w:pStyle w:val="TOC1"/>
            <w:rPr>
              <w:rFonts w:eastAsiaTheme="minorEastAsia"/>
              <w:noProof/>
            </w:rPr>
          </w:pPr>
          <w:r w:rsidRPr="003E2DF0">
            <w:rPr>
              <w:u w:color="632423"/>
            </w:rPr>
            <w:fldChar w:fldCharType="begin"/>
          </w:r>
          <w:r>
            <w:rPr>
              <w:u w:color="632423"/>
            </w:rPr>
            <w:instrText xml:space="preserve"> TOC \o \h \z \u </w:instrText>
          </w:r>
          <w:r w:rsidRPr="003E2DF0">
            <w:rPr>
              <w:u w:color="632423"/>
            </w:rPr>
            <w:fldChar w:fldCharType="separate"/>
          </w:r>
          <w:hyperlink w:anchor="_Toc196821552" w:history="1">
            <w:r w:rsidRPr="0012195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P="0083505E">
          <w:pPr>
            <w:pStyle w:val="TOC1"/>
            <w:rPr>
              <w:rFonts w:eastAsiaTheme="minorEastAsia"/>
              <w:noProof/>
            </w:rPr>
          </w:pPr>
          <w:hyperlink w:anchor="_Toc196821553" w:history="1">
            <w:r w:rsidRPr="0012195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Key 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P="0083505E">
          <w:pPr>
            <w:pStyle w:val="TOC1"/>
            <w:rPr>
              <w:rFonts w:eastAsiaTheme="minorEastAsia"/>
              <w:noProof/>
            </w:rPr>
          </w:pPr>
          <w:hyperlink w:anchor="_Toc196821554" w:history="1">
            <w:r w:rsidRPr="0012195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System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P="0083505E">
          <w:pPr>
            <w:pStyle w:val="TOC1"/>
            <w:rPr>
              <w:rFonts w:eastAsiaTheme="minorEastAsia"/>
              <w:noProof/>
            </w:rPr>
          </w:pPr>
          <w:hyperlink w:anchor="_Toc196821555" w:history="1">
            <w:r w:rsidRPr="0012195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Functionality: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P="0083505E">
          <w:pPr>
            <w:pStyle w:val="TOC2"/>
            <w:rPr>
              <w:rFonts w:eastAsiaTheme="minorEastAsia"/>
              <w:noProof/>
            </w:rPr>
          </w:pPr>
          <w:hyperlink w:anchor="_Toc196821556" w:history="1">
            <w:r w:rsidRPr="0012195A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BPP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P="0083505E">
          <w:pPr>
            <w:pStyle w:val="TOC2"/>
            <w:rPr>
              <w:rFonts w:eastAsiaTheme="minorEastAsia"/>
              <w:noProof/>
            </w:rPr>
          </w:pPr>
          <w:hyperlink w:anchor="_Toc196821557" w:history="1">
            <w:r w:rsidRPr="0012195A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12195A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_Toc196821557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05E" w:rsidRPr="00AD660A" w:rsidP="0083505E">
          <w:pPr>
            <w:rPr>
              <w:color w:val="00B050"/>
              <w:u w:color="632423"/>
            </w:rPr>
          </w:pPr>
          <w:r>
            <w:rPr>
              <w:color w:val="00B050"/>
              <w:u w:color="632423"/>
            </w:rPr>
            <w:fldChar w:fldCharType="end"/>
          </w:r>
        </w:p>
      </w:sdtContent>
    </w:sdt>
    <w:p w:rsidR="0083505E" w:rsidP="0083505E">
      <w:pPr>
        <w:jc w:val="center"/>
        <w:rPr>
          <w:b/>
          <w:color w:val="17365D" w:themeColor="text2" w:themeShade="BF"/>
          <w:sz w:val="32"/>
          <w:szCs w:val="32"/>
          <w:u w:val="single"/>
        </w:rPr>
      </w:pPr>
    </w:p>
    <w:p w:rsidR="0083505E" w:rsidRPr="0077601A" w:rsidP="0083505E">
      <w:pPr>
        <w:jc w:val="center"/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t>Order placement functionality</w:t>
      </w:r>
      <w:r w:rsidRPr="0077601A">
        <w:rPr>
          <w:b/>
          <w:color w:val="17365D" w:themeColor="text2" w:themeShade="BF"/>
          <w:sz w:val="32"/>
          <w:szCs w:val="32"/>
          <w:u w:val="single"/>
        </w:rPr>
        <w:t xml:space="preserve"> </w:t>
      </w:r>
      <w:r>
        <w:rPr>
          <w:b/>
          <w:color w:val="17365D" w:themeColor="text2" w:themeShade="BF"/>
          <w:sz w:val="32"/>
          <w:szCs w:val="32"/>
          <w:u w:val="single"/>
        </w:rPr>
        <w:t>d</w:t>
      </w:r>
      <w:r w:rsidRPr="0077601A">
        <w:rPr>
          <w:b/>
          <w:color w:val="17365D" w:themeColor="text2" w:themeShade="BF"/>
          <w:sz w:val="32"/>
          <w:szCs w:val="32"/>
          <w:u w:val="single"/>
        </w:rPr>
        <w:t>evelopment</w:t>
      </w:r>
    </w:p>
    <w:p w:rsidR="0083505E" w:rsidRPr="006A0E82" w:rsidP="0083505E">
      <w:pPr>
        <w:pStyle w:val="Heading1"/>
        <w:numPr>
          <w:ilvl w:val="0"/>
          <w:numId w:val="3"/>
        </w:numPr>
      </w:pPr>
      <w:bookmarkStart w:id="0" w:name="_Toc186214931"/>
      <w:bookmarkStart w:id="1" w:name="_Toc196821552"/>
      <w:r w:rsidRPr="006A0E82">
        <w:t>Objective</w:t>
      </w:r>
      <w:bookmarkEnd w:id="0"/>
      <w:bookmarkEnd w:id="1"/>
    </w:p>
    <w:p w:rsidR="0083505E" w:rsidP="0083505E">
      <w:pPr>
        <w:pStyle w:val="ListParagraph"/>
        <w:numPr>
          <w:ilvl w:val="0"/>
          <w:numId w:val="1"/>
        </w:numPr>
        <w:rPr>
          <w:rFonts w:cstheme="minorHAnsi"/>
        </w:rPr>
      </w:pPr>
      <w:r w:rsidRPr="00FC51B3">
        <w:rPr>
          <w:rFonts w:cstheme="minorHAnsi"/>
        </w:rPr>
        <w:t xml:space="preserve">To </w:t>
      </w:r>
      <w:r>
        <w:rPr>
          <w:rFonts w:cstheme="minorHAnsi"/>
        </w:rPr>
        <w:t>set up a functionality for order placements to be migrated from RSM</w:t>
      </w:r>
      <w:r w:rsidR="003F578A">
        <w:rPr>
          <w:rFonts w:cstheme="minorHAnsi"/>
        </w:rPr>
        <w:t xml:space="preserve"> website to tick pro plus with a successful SSO implementation.</w:t>
      </w:r>
    </w:p>
    <w:p w:rsidR="003F578A" w:rsidP="0083505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Set up </w:t>
      </w:r>
      <w:r>
        <w:rPr>
          <w:rFonts w:cstheme="minorHAnsi"/>
        </w:rPr>
        <w:t>a single</w:t>
      </w:r>
      <w:r>
        <w:rPr>
          <w:rFonts w:cstheme="minorHAnsi"/>
        </w:rPr>
        <w:t xml:space="preserve"> login functionality on RSM website rather than providing two options like it does right now.</w:t>
      </w:r>
      <w:r w:rsidR="00503469">
        <w:rPr>
          <w:rFonts w:cstheme="minorHAnsi"/>
        </w:rPr>
        <w:t xml:space="preserve"> Tick to be removed.</w:t>
      </w:r>
    </w:p>
    <w:p w:rsidR="003F578A" w:rsidRPr="00227DCE" w:rsidP="0083505E">
      <w:pPr>
        <w:pStyle w:val="ListParagraph"/>
        <w:numPr>
          <w:ilvl w:val="0"/>
          <w:numId w:val="1"/>
        </w:numPr>
        <w:rPr>
          <w:rFonts w:cstheme="minorHAnsi"/>
        </w:rPr>
      </w:pPr>
    </w:p>
    <w:p w:rsidR="0083505E" w:rsidRPr="006A0E82" w:rsidP="0083505E">
      <w:pPr>
        <w:pStyle w:val="Heading1"/>
        <w:numPr>
          <w:ilvl w:val="0"/>
          <w:numId w:val="3"/>
        </w:numPr>
      </w:pPr>
      <w:bookmarkStart w:id="2" w:name="_Toc186214932"/>
      <w:bookmarkStart w:id="3" w:name="_Toc189497218"/>
      <w:bookmarkStart w:id="4" w:name="_Toc196821553"/>
      <w:r w:rsidRPr="006A0E82">
        <w:t>Key Acceptance Criteria</w:t>
      </w:r>
      <w:bookmarkEnd w:id="2"/>
      <w:bookmarkEnd w:id="3"/>
      <w:bookmarkEnd w:id="4"/>
      <w:r w:rsidRPr="006A0E82">
        <w:t xml:space="preserve"> </w:t>
      </w:r>
    </w:p>
    <w:p w:rsidR="0083505E" w:rsidP="0083505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Equity order routing to be done through tick pro plus.</w:t>
      </w:r>
    </w:p>
    <w:p w:rsidR="00503469" w:rsidRPr="003F578A" w:rsidP="0083505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Mutual Fund order routing to be done through tick pro plus.</w:t>
      </w:r>
    </w:p>
    <w:p w:rsidR="00503469" w:rsidP="00503469">
      <w:pPr>
        <w:pStyle w:val="Heading1"/>
        <w:ind w:left="720"/>
        <w:rPr>
          <w:sz w:val="24"/>
          <w:szCs w:val="24"/>
        </w:rPr>
      </w:pPr>
      <w:bookmarkStart w:id="5" w:name="_Toc186214935"/>
      <w:bookmarkStart w:id="6" w:name="_Toc196821555"/>
    </w:p>
    <w:p w:rsidR="00503469" w:rsidP="00503469"/>
    <w:p w:rsidR="00503469" w:rsidP="00503469"/>
    <w:p w:rsidR="00503469" w:rsidP="00503469"/>
    <w:p w:rsidR="00503469" w:rsidP="00503469"/>
    <w:p w:rsidR="00503469" w:rsidRPr="00503469" w:rsidP="00503469"/>
    <w:p w:rsidR="00C2518A" w:rsidP="00503469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455C34">
        <w:rPr>
          <w:sz w:val="24"/>
          <w:szCs w:val="24"/>
        </w:rPr>
        <w:t>Functionality</w:t>
      </w:r>
      <w:bookmarkEnd w:id="5"/>
      <w:r w:rsidRPr="00455C34">
        <w:rPr>
          <w:sz w:val="24"/>
          <w:szCs w:val="24"/>
        </w:rPr>
        <w:t>:</w:t>
      </w:r>
      <w:bookmarkEnd w:id="6"/>
    </w:p>
    <w:p w:rsidR="00503469" w:rsidRPr="00503469" w:rsidP="00503469">
      <w:pPr>
        <w:pStyle w:val="ListParagraph"/>
        <w:numPr>
          <w:ilvl w:val="0"/>
          <w:numId w:val="6"/>
        </w:numPr>
        <w:rPr>
          <w:b/>
          <w:u w:val="single"/>
        </w:rPr>
      </w:pPr>
      <w:r w:rsidRPr="00503469">
        <w:rPr>
          <w:b/>
          <w:u w:val="single"/>
        </w:rPr>
        <w:t>Pre-Login Functionality:</w:t>
      </w:r>
    </w:p>
    <w:p w:rsidR="00503469" w:rsidP="00503469">
      <w:pPr>
        <w:pStyle w:val="ListParagraph"/>
        <w:numPr>
          <w:ilvl w:val="0"/>
          <w:numId w:val="5"/>
        </w:numPr>
      </w:pPr>
      <w:r>
        <w:t xml:space="preserve">Once the user lands on </w:t>
      </w:r>
      <w:hyperlink r:id="rId4" w:history="1">
        <w:r w:rsidRPr="0053792B">
          <w:rPr>
            <w:rStyle w:val="Hyperlink"/>
          </w:rPr>
          <w:t>https://www.reliancesmartmoney.com/</w:t>
        </w:r>
      </w:hyperlink>
      <w:r>
        <w:t xml:space="preserve"> , the user could click on either </w:t>
      </w:r>
      <w:r w:rsidRPr="00503469">
        <w:rPr>
          <w:b/>
        </w:rPr>
        <w:t>Stocks</w:t>
      </w:r>
      <w:r>
        <w:t xml:space="preserve"> or </w:t>
      </w:r>
      <w:r>
        <w:rPr>
          <w:b/>
        </w:rPr>
        <w:t>M</w:t>
      </w:r>
      <w:r w:rsidRPr="00503469">
        <w:rPr>
          <w:b/>
        </w:rPr>
        <w:t>utual funds</w:t>
      </w:r>
      <w:r>
        <w:t>. Ref. image below.</w:t>
      </w:r>
    </w:p>
    <w:p w:rsidR="00503469" w:rsidP="00503469">
      <w:pPr>
        <w:pStyle w:val="ListParagraph"/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69" w:rsidP="00503469">
      <w:pPr>
        <w:pStyle w:val="ListParagraph"/>
      </w:pPr>
    </w:p>
    <w:p w:rsidR="00503469" w:rsidP="00503469">
      <w:pPr>
        <w:pStyle w:val="ListParagraph"/>
        <w:numPr>
          <w:ilvl w:val="0"/>
          <w:numId w:val="5"/>
        </w:numPr>
      </w:pPr>
      <w:r>
        <w:t xml:space="preserve">Once the user would select </w:t>
      </w:r>
      <w:r w:rsidR="00A00DA6">
        <w:t>S</w:t>
      </w:r>
      <w:r>
        <w:t>tocks</w:t>
      </w:r>
      <w:r>
        <w:rPr>
          <w:rFonts w:ascii="Wingdings" w:hAnsi="Wingdings"/>
        </w:rPr>
        <w:sym w:font="Wingdings" w:char="F0E0"/>
      </w:r>
      <w:r w:rsidR="00A00DA6">
        <w:t>Bank, the user would be displayed the below list of options.</w:t>
      </w:r>
    </w:p>
    <w:p w:rsidR="00A00DA6" w:rsidP="00A00DA6">
      <w:pPr>
        <w:pStyle w:val="ListParagraph"/>
      </w:pPr>
      <w:r>
        <w:rPr>
          <w:noProof/>
        </w:rPr>
        <w:drawing>
          <wp:inline distT="0" distB="0" distL="0" distR="0">
            <wp:extent cx="5943600" cy="31203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A6" w:rsidP="00A00DA6">
      <w:pPr>
        <w:pStyle w:val="ListParagraph"/>
      </w:pPr>
    </w:p>
    <w:p w:rsidR="00A00DA6" w:rsidP="00A00DA6">
      <w:pPr>
        <w:pStyle w:val="ListParagraph"/>
      </w:pPr>
    </w:p>
    <w:p w:rsidR="00A00DA6" w:rsidP="00503469">
      <w:pPr>
        <w:pStyle w:val="ListParagraph"/>
        <w:numPr>
          <w:ilvl w:val="0"/>
          <w:numId w:val="5"/>
        </w:numPr>
      </w:pPr>
      <w:r>
        <w:t>Upon selecting a particular stock, the user would proceed with an option to buy where a login window would appear.</w:t>
      </w:r>
    </w:p>
    <w:p w:rsidR="00A00DA6" w:rsidP="00A00DA6">
      <w:pPr>
        <w:pStyle w:val="ListParagraph"/>
      </w:pPr>
      <w:r>
        <w:rPr>
          <w:noProof/>
        </w:rPr>
        <w:drawing>
          <wp:inline distT="0" distB="0" distL="0" distR="0">
            <wp:extent cx="4635500" cy="24336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77" cy="243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A6" w:rsidP="00A00DA6">
      <w:pPr>
        <w:pStyle w:val="ListParagraph"/>
      </w:pPr>
    </w:p>
    <w:p w:rsidR="00A00DA6" w:rsidP="00A00DA6">
      <w:pPr>
        <w:pStyle w:val="ListParagraph"/>
      </w:pPr>
      <w:r>
        <w:rPr>
          <w:noProof/>
        </w:rPr>
        <w:drawing>
          <wp:inline distT="0" distB="0" distL="0" distR="0">
            <wp:extent cx="4679950" cy="2456974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3" cy="245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A6" w:rsidP="00A00DA6">
      <w:pPr>
        <w:pStyle w:val="ListParagraph"/>
      </w:pPr>
      <w:r>
        <w:rPr>
          <w:noProof/>
        </w:rPr>
        <w:drawing>
          <wp:inline distT="0" distB="0" distL="0" distR="0">
            <wp:extent cx="4457700" cy="23402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32" cy="234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A6" w:rsidP="00A00DA6">
      <w:pPr>
        <w:pStyle w:val="ListParagraph"/>
      </w:pPr>
    </w:p>
    <w:p w:rsidR="00A00DA6" w:rsidP="00503469">
      <w:pPr>
        <w:pStyle w:val="ListParagraph"/>
        <w:numPr>
          <w:ilvl w:val="0"/>
          <w:numId w:val="5"/>
        </w:numPr>
      </w:pPr>
      <w:r>
        <w:t xml:space="preserve">Once </w:t>
      </w:r>
      <w:r w:rsidR="003C2158">
        <w:t xml:space="preserve">login window appears, the user would enter their client code </w:t>
      </w:r>
      <w:r w:rsidR="003C2158">
        <w:rPr>
          <w:rFonts w:ascii="Wingdings" w:hAnsi="Wingdings"/>
        </w:rPr>
        <w:sym w:font="Wingdings" w:char="F0E0"/>
      </w:r>
      <w:r w:rsidR="003C2158">
        <w:t xml:space="preserve"> Password </w:t>
      </w:r>
      <w:r w:rsidR="003C2158">
        <w:rPr>
          <w:rFonts w:ascii="Wingdings" w:hAnsi="Wingdings"/>
        </w:rPr>
        <w:sym w:font="Wingdings" w:char="F0E0"/>
      </w:r>
      <w:r w:rsidR="003C2158">
        <w:t xml:space="preserve"> There would not be 2 platform options provided as it is provided in the current scenario.</w:t>
      </w:r>
    </w:p>
    <w:p w:rsidR="003C2158" w:rsidP="00503469">
      <w:pPr>
        <w:pStyle w:val="ListParagraph"/>
        <w:numPr>
          <w:ilvl w:val="0"/>
          <w:numId w:val="5"/>
        </w:numPr>
      </w:pPr>
      <w:r>
        <w:t>Once the user would enter their password and click submit, the user would be then redirected to tick pro plus.</w:t>
      </w:r>
    </w:p>
    <w:p w:rsidR="003C2158" w:rsidP="00503469">
      <w:pPr>
        <w:pStyle w:val="ListParagraph"/>
        <w:numPr>
          <w:ilvl w:val="0"/>
          <w:numId w:val="5"/>
        </w:numPr>
      </w:pPr>
      <w:r>
        <w:t>There would be a token based SSO login to bypass the authentication stage in tick pro plus.</w:t>
      </w:r>
    </w:p>
    <w:p w:rsidR="003C2158" w:rsidP="00503469">
      <w:pPr>
        <w:pStyle w:val="ListParagraph"/>
        <w:numPr>
          <w:ilvl w:val="0"/>
          <w:numId w:val="5"/>
        </w:numPr>
      </w:pPr>
      <w:r>
        <w:t>Simultaneously the user’s selected stock’s ISIN code should also be passed simultaneously.</w:t>
      </w:r>
    </w:p>
    <w:p w:rsidR="003C2158" w:rsidP="00503469">
      <w:pPr>
        <w:pStyle w:val="ListParagraph"/>
        <w:numPr>
          <w:ilvl w:val="0"/>
          <w:numId w:val="5"/>
        </w:numPr>
      </w:pPr>
      <w:r>
        <w:t>The user should then land on the tick pro plus screen as displayed below.</w:t>
      </w:r>
    </w:p>
    <w:p w:rsidR="003C2158" w:rsidP="003C2158">
      <w:pPr>
        <w:pStyle w:val="ListParagraph"/>
      </w:pPr>
      <w:r>
        <w:rPr>
          <w:noProof/>
        </w:rPr>
        <w:drawing>
          <wp:inline distT="0" distB="0" distL="0" distR="0">
            <wp:extent cx="5943600" cy="31203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8" w:rsidP="003C2158">
      <w:pPr>
        <w:pStyle w:val="ListParagraph"/>
      </w:pPr>
    </w:p>
    <w:p w:rsidR="003C2158" w:rsidP="00503469">
      <w:pPr>
        <w:pStyle w:val="ListParagraph"/>
        <w:numPr>
          <w:ilvl w:val="0"/>
          <w:numId w:val="5"/>
        </w:numPr>
      </w:pPr>
      <w:r>
        <w:t>The next journey should remain as-is in the tick pro plus application.</w:t>
      </w:r>
    </w:p>
    <w:p w:rsidR="003C2158" w:rsidP="003C2158"/>
    <w:p w:rsidR="003C2158" w:rsidP="003C2158"/>
    <w:p w:rsidR="003C2158" w:rsidP="003C2158"/>
    <w:p w:rsidR="003C2158" w:rsidP="003C2158"/>
    <w:p w:rsidR="003C2158" w:rsidP="003C2158"/>
    <w:p w:rsidR="003C2158" w:rsidP="003C2158"/>
    <w:p w:rsidR="003C2158" w:rsidP="003C2158"/>
    <w:p w:rsidR="003C2158" w:rsidP="003C2158"/>
    <w:p w:rsidR="003C2158" w:rsidP="003C2158"/>
    <w:p w:rsidR="003C2158" w:rsidP="00503469">
      <w:pPr>
        <w:pStyle w:val="ListParagraph"/>
        <w:numPr>
          <w:ilvl w:val="0"/>
          <w:numId w:val="5"/>
        </w:numPr>
      </w:pPr>
      <w:r>
        <w:t>Simultaneously for mutual funds once the user lands on the below mentioned screen, the user would select mutual funds.</w:t>
      </w:r>
    </w:p>
    <w:p w:rsidR="003C2158" w:rsidP="003C2158">
      <w:pPr>
        <w:pStyle w:val="ListParagraph"/>
      </w:pPr>
      <w:r w:rsidRPr="003C2158">
        <w:drawing>
          <wp:inline distT="0" distB="0" distL="0" distR="0">
            <wp:extent cx="5943600" cy="33438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8" w:rsidP="003C2158">
      <w:pPr>
        <w:pStyle w:val="ListParagraph"/>
      </w:pPr>
    </w:p>
    <w:p w:rsidR="003C2158" w:rsidP="00503469">
      <w:pPr>
        <w:pStyle w:val="ListParagraph"/>
        <w:numPr>
          <w:ilvl w:val="0"/>
          <w:numId w:val="5"/>
        </w:numPr>
      </w:pPr>
      <w:r>
        <w:t>Once selected, the user would be displayed the same login pop-up as displayed in the stocks journey.</w:t>
      </w:r>
    </w:p>
    <w:p w:rsidR="000C2D8F" w:rsidP="000C2D8F">
      <w:pPr>
        <w:pStyle w:val="ListParagraph"/>
        <w:numPr>
          <w:ilvl w:val="0"/>
          <w:numId w:val="5"/>
        </w:numPr>
      </w:pPr>
      <w:r>
        <w:t>Once logged in, the user should be then</w:t>
      </w:r>
      <w:r>
        <w:t xml:space="preserve"> redirected to the Mutual funds page of tick pro plus.</w:t>
      </w:r>
    </w:p>
    <w:p w:rsidR="000C2D8F" w:rsidP="000C2D8F">
      <w:pPr>
        <w:pStyle w:val="ListParagraph"/>
      </w:pPr>
    </w:p>
    <w:p w:rsidR="000C2D8F" w:rsidP="000C2D8F">
      <w:pPr>
        <w:pStyle w:val="ListParagraph"/>
        <w:numPr>
          <w:ilvl w:val="0"/>
          <w:numId w:val="6"/>
        </w:numPr>
      </w:pPr>
      <w:r>
        <w:rPr>
          <w:b/>
          <w:u w:val="single"/>
        </w:rPr>
        <w:t>Post Login functionality:</w:t>
      </w:r>
    </w:p>
    <w:p w:rsidR="000C2D8F" w:rsidRPr="00503469" w:rsidP="000C2D8F">
      <w:pPr>
        <w:pStyle w:val="ListParagraph"/>
        <w:numPr>
          <w:ilvl w:val="0"/>
          <w:numId w:val="5"/>
        </w:numPr>
      </w:pPr>
      <w:r>
        <w:t>Once the user is logged (login functionality) to remain the same as above, once the user performs the above mentioned purchase/mutual funds journey, the user should bypass the login functionality using the SSO module and land on the purchase page as defined.</w:t>
      </w:r>
    </w:p>
    <w:sectPr w:rsidSect="00DB35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57EA5"/>
    <w:multiLevelType w:val="hybridMultilevel"/>
    <w:tmpl w:val="CD26A6B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458C0"/>
    <w:multiLevelType w:val="hybridMultilevel"/>
    <w:tmpl w:val="2F80AEF6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0B09D1"/>
    <w:multiLevelType w:val="hybridMultilevel"/>
    <w:tmpl w:val="521C507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Theme="minorHAns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6170F6"/>
    <w:multiLevelType w:val="hybridMultilevel"/>
    <w:tmpl w:val="D682E00C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Theme="minorHAnsi" w:cs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8B0227"/>
    <w:multiLevelType w:val="hybridMultilevel"/>
    <w:tmpl w:val="860E62A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D660204"/>
    <w:multiLevelType w:val="hybridMultilevel"/>
    <w:tmpl w:val="F1620638"/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eastAsiaTheme="minorHAnsi" w:cs="Calibri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505E"/>
    <w:rsid w:val="000C2D8F"/>
    <w:rsid w:val="0012195A"/>
    <w:rsid w:val="00227DCE"/>
    <w:rsid w:val="0030649E"/>
    <w:rsid w:val="00311AD0"/>
    <w:rsid w:val="003C2158"/>
    <w:rsid w:val="003F578A"/>
    <w:rsid w:val="00455C34"/>
    <w:rsid w:val="004C0F30"/>
    <w:rsid w:val="00503469"/>
    <w:rsid w:val="0053792B"/>
    <w:rsid w:val="005529FE"/>
    <w:rsid w:val="006A0E82"/>
    <w:rsid w:val="0077601A"/>
    <w:rsid w:val="0083505E"/>
    <w:rsid w:val="00A00DA6"/>
    <w:rsid w:val="00AD660A"/>
    <w:rsid w:val="00B24DBC"/>
    <w:rsid w:val="00BE20FC"/>
    <w:rsid w:val="00C2518A"/>
    <w:rsid w:val="00DB35FB"/>
    <w:rsid w:val="00E56CCE"/>
    <w:rsid w:val="00F36801"/>
    <w:rsid w:val="00F94E51"/>
    <w:rsid w:val="00FC1125"/>
    <w:rsid w:val="00FC51B3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05E"/>
  </w:style>
  <w:style w:type="paragraph" w:styleId="Heading1">
    <w:name w:val="heading 1"/>
    <w:basedOn w:val="Normal"/>
    <w:next w:val="Normal"/>
    <w:link w:val="Heading1Char"/>
    <w:uiPriority w:val="9"/>
    <w:qFormat/>
    <w:rsid w:val="008350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0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350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05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350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50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83505E"/>
    <w:pPr>
      <w:tabs>
        <w:tab w:val="left" w:pos="440"/>
        <w:tab w:val="right" w:leader="dot" w:pos="1019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83505E"/>
    <w:pPr>
      <w:tabs>
        <w:tab w:val="left" w:pos="660"/>
        <w:tab w:val="right" w:leader="dot" w:pos="10196"/>
      </w:tabs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5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theme" Target="theme/theme1.xml" /><Relationship Id="rId12" Type="http://schemas.openxmlformats.org/officeDocument/2006/relationships/numbering" Target="numbering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https://protect.checkpoint.com/v2/r05/___https://www.reliancesmartmoney.com/___.YXBzMTpyZWxpYW5jZWNhcGl0YWxsdGQ6YzpvOjIwNzM5ZTM1YzU0MzkxNjBhMTNiNDJkMmI1MGQyNGY0Ojc6YjUxMTo5YmYwZDZjMDlhMTJjMjM3MTZhY2Y0M2U0MjE4MDU0NDRjMTRjMjA5OGEwODczNDgzYjNhNTgyMTNmZDdhZGU3OnA6VDpG" TargetMode="Externa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70903975</dc:creator>
  <cp:lastModifiedBy>70903975</cp:lastModifiedBy>
  <cp:revision>1</cp:revision>
  <dcterms:created xsi:type="dcterms:W3CDTF">2025-05-09T11:53:00Z</dcterms:created>
  <dcterms:modified xsi:type="dcterms:W3CDTF">2025-05-09T14:25:00Z</dcterms:modified>
</cp:coreProperties>
</file>