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91AD" w14:textId="77777777" w:rsidR="002F22EB" w:rsidRPr="002F22EB" w:rsidRDefault="002F22EB" w:rsidP="002F22EB">
      <w:pPr>
        <w:spacing w:after="0" w:line="300" w:lineRule="atLeast"/>
        <w:jc w:val="center"/>
        <w:rPr>
          <w:rFonts w:asciiTheme="majorHAnsi" w:eastAsia="Times New Roman" w:hAnsiTheme="majorHAnsi" w:cstheme="majorHAnsi"/>
          <w:b/>
          <w:bCs/>
          <w:color w:val="1F497D" w:themeColor="text2"/>
          <w:sz w:val="44"/>
          <w:szCs w:val="44"/>
        </w:rPr>
      </w:pPr>
      <w:r w:rsidRPr="002F22EB">
        <w:rPr>
          <w:rFonts w:asciiTheme="majorHAnsi" w:eastAsia="Times New Roman" w:hAnsiTheme="majorHAnsi" w:cstheme="majorHAnsi"/>
          <w:b/>
          <w:bCs/>
          <w:color w:val="1F497D" w:themeColor="text2"/>
          <w:sz w:val="44"/>
          <w:szCs w:val="44"/>
        </w:rPr>
        <w:t>From Metadata-Driven TFL Shells to AI-Assisted SAS Code Development</w:t>
      </w:r>
    </w:p>
    <w:p w14:paraId="39F57CE9" w14:textId="77777777" w:rsidR="00E70B5F" w:rsidRDefault="00BF39A7">
      <w:pPr>
        <w:jc w:val="center"/>
      </w:pPr>
      <w:r>
        <w:rPr>
          <w:i/>
          <w:color w:val="595959"/>
          <w:sz w:val="26"/>
        </w:rPr>
        <w:t>A</w:t>
      </w:r>
      <w:r>
        <w:rPr>
          <w:i/>
          <w:color w:val="595959"/>
          <w:sz w:val="26"/>
        </w:rPr>
        <w:t>ccelerating Clinical Reporting Through Metadata, TFL Designer, and Claude</w:t>
      </w:r>
    </w:p>
    <w:tbl>
      <w:tblPr>
        <w:tblW w:w="0" w:type="auto"/>
        <w:jc w:val="center"/>
        <w:tblLayout w:type="fixed"/>
        <w:tblLook w:val="04A0" w:firstRow="1" w:lastRow="0" w:firstColumn="1" w:lastColumn="0" w:noHBand="0" w:noVBand="1"/>
      </w:tblPr>
      <w:tblGrid>
        <w:gridCol w:w="3312"/>
        <w:gridCol w:w="3312"/>
        <w:gridCol w:w="3312"/>
      </w:tblGrid>
      <w:tr w:rsidR="00E70B5F" w14:paraId="350B210C" w14:textId="77777777">
        <w:trPr>
          <w:jc w:val="center"/>
        </w:trPr>
        <w:tc>
          <w:tcPr>
            <w:tcW w:w="3312" w:type="dxa"/>
            <w:tcBorders>
              <w:top w:val="single" w:sz="6" w:space="0" w:color="B4C7E7"/>
              <w:left w:val="single" w:sz="6" w:space="0" w:color="B4C7E7"/>
              <w:bottom w:val="single" w:sz="6" w:space="0" w:color="B4C7E7"/>
              <w:right w:val="single" w:sz="6" w:space="0" w:color="B4C7E7"/>
            </w:tcBorders>
            <w:shd w:val="clear" w:color="auto" w:fill="EAF2F8"/>
          </w:tcPr>
          <w:p w14:paraId="19C5CBB1" w14:textId="77777777" w:rsidR="00E70B5F" w:rsidRDefault="00BF39A7">
            <w:pPr>
              <w:jc w:val="center"/>
            </w:pPr>
            <w:r>
              <w:rPr>
                <w:b/>
                <w:color w:val="1F4E79"/>
                <w:sz w:val="17"/>
              </w:rPr>
              <w:t>Audience</w:t>
            </w:r>
            <w:r>
              <w:rPr>
                <w:b/>
                <w:color w:val="1F4E79"/>
                <w:sz w:val="17"/>
              </w:rPr>
              <w:br/>
            </w:r>
            <w:r>
              <w:rPr>
                <w:color w:val="444444"/>
                <w:sz w:val="17"/>
              </w:rPr>
              <w:t>Data Science Symposium</w:t>
            </w:r>
          </w:p>
        </w:tc>
        <w:tc>
          <w:tcPr>
            <w:tcW w:w="3312" w:type="dxa"/>
            <w:tcBorders>
              <w:top w:val="single" w:sz="6" w:space="0" w:color="B4C7E7"/>
              <w:left w:val="single" w:sz="6" w:space="0" w:color="B4C7E7"/>
              <w:bottom w:val="single" w:sz="6" w:space="0" w:color="B4C7E7"/>
              <w:right w:val="single" w:sz="6" w:space="0" w:color="B4C7E7"/>
            </w:tcBorders>
            <w:shd w:val="clear" w:color="auto" w:fill="EAF2F8"/>
          </w:tcPr>
          <w:p w14:paraId="5423FEFF" w14:textId="77777777" w:rsidR="00E70B5F" w:rsidRDefault="00BF39A7">
            <w:pPr>
              <w:jc w:val="center"/>
            </w:pPr>
            <w:r>
              <w:rPr>
                <w:b/>
                <w:color w:val="1F4E79"/>
                <w:sz w:val="17"/>
              </w:rPr>
              <w:t>Focus</w:t>
            </w:r>
            <w:r>
              <w:rPr>
                <w:b/>
                <w:color w:val="1F4E79"/>
                <w:sz w:val="17"/>
              </w:rPr>
              <w:br/>
            </w:r>
            <w:r>
              <w:rPr>
                <w:color w:val="444444"/>
                <w:sz w:val="17"/>
              </w:rPr>
              <w:t>AI use case in Statistical Programming</w:t>
            </w:r>
          </w:p>
        </w:tc>
        <w:tc>
          <w:tcPr>
            <w:tcW w:w="3312" w:type="dxa"/>
            <w:tcBorders>
              <w:top w:val="single" w:sz="6" w:space="0" w:color="B4C7E7"/>
              <w:left w:val="single" w:sz="6" w:space="0" w:color="B4C7E7"/>
              <w:bottom w:val="single" w:sz="6" w:space="0" w:color="B4C7E7"/>
              <w:right w:val="single" w:sz="6" w:space="0" w:color="B4C7E7"/>
            </w:tcBorders>
            <w:shd w:val="clear" w:color="auto" w:fill="EAF2F8"/>
          </w:tcPr>
          <w:p w14:paraId="03FA513C" w14:textId="77777777" w:rsidR="00E70B5F" w:rsidRDefault="00BF39A7">
            <w:pPr>
              <w:jc w:val="center"/>
            </w:pPr>
            <w:r>
              <w:rPr>
                <w:b/>
                <w:color w:val="1F4E79"/>
                <w:sz w:val="17"/>
              </w:rPr>
              <w:t>Theme</w:t>
            </w:r>
            <w:r>
              <w:rPr>
                <w:b/>
                <w:color w:val="1F4E79"/>
                <w:sz w:val="17"/>
              </w:rPr>
              <w:br/>
            </w:r>
            <w:r>
              <w:rPr>
                <w:color w:val="444444"/>
                <w:sz w:val="17"/>
              </w:rPr>
              <w:t>Data Sciences in Action Across Gilead</w:t>
            </w:r>
          </w:p>
        </w:tc>
      </w:tr>
    </w:tbl>
    <w:p w14:paraId="06FF9052" w14:textId="77777777" w:rsidR="00E70B5F" w:rsidRDefault="00BF39A7">
      <w:pPr>
        <w:pStyle w:val="Heading1"/>
      </w:pPr>
      <w:r>
        <w:t>Abstract</w:t>
      </w:r>
    </w:p>
    <w:p w14:paraId="15504DCB" w14:textId="77777777" w:rsidR="00E70B5F" w:rsidRDefault="00BF39A7">
      <w:r>
        <w:t>The generation of Tables, Figures, and Listings (TFLs) remains one of the most resource-intensive activities in clinical study reporting. Statistical programmers spend significant effort interpreting reporting requirements, designing shells, managing metadata, developing code, and validating outputs. While standards and automation frameworks have improved efficiency, many processes continue to rely on manual and document-based workflows.</w:t>
      </w:r>
    </w:p>
    <w:p w14:paraId="44C51A78" w14:textId="77777777" w:rsidR="00E70B5F" w:rsidRDefault="00BF39A7">
      <w:r>
        <w:t xml:space="preserve">To address these challenges, we explored an AI-assisted TFL automation framework built upon structured metadata and generative AI technologies. A key component of this approach is TFL Designer, a metadata-driven platform that standardizes TFL shell development, generates machine-readable metadata, and serves as a centralized source of truth for reporting definitions. The platform enables standardized shell creation, collaborative review, metadata export, and downstream automation workflows that provide the </w:t>
      </w:r>
      <w:r>
        <w:t>structured foundation required for AI-assisted reporting.</w:t>
      </w:r>
    </w:p>
    <w:p w14:paraId="5895507F" w14:textId="77777777" w:rsidR="00E70B5F" w:rsidRDefault="00BF39A7">
      <w:r>
        <w:t>The proposed framework combines metadata from TFL Designer with large language models, including Claude, to support activities across the reporting lifecycle. Example use cases include generation of draft TFL specifications and shells from protocol and SAP requirements; AI-assisted generation of SAS code using Claude, leveraging structured shell metadata and standardized annotations exported from TFL Designer; automated review and quality-control support to identify potential metadata inconsistencies, missi</w:t>
      </w:r>
      <w:r>
        <w:t>ng annotations, and standards deviations; natural-language querying through the TFL Designer in-app AI chatbot, which incorporates Gilead-specific documentation and standards to provide contextual guidance to users; and future AI-assisted shell creation, allowing users to describe desired outputs in natural language and generate an initial shell design directly within the metadata-driven workflow.</w:t>
      </w:r>
    </w:p>
    <w:p w14:paraId="733E0F58" w14:textId="77777777" w:rsidR="00E70B5F" w:rsidRDefault="00BF39A7">
      <w:r>
        <w:t>A pilot evaluation demonstrated how transitioning from traditional Word-based shell development to a metadata-driven approach can transform TFL development into an automation-ready process. Standardized, machine-readable metadata provides the context needed for generative AI tools such as Claude to assist with code generation and review activities while maintaining human oversight. This approach has the potential to reduce repetitive programming tasks, improve consistency across studies, strengthen traceabi</w:t>
      </w:r>
      <w:r>
        <w:t>lity, and accelerate delivery of clinical study outputs. TFL Designer's role as a governed source of metadata is particularly important, as structured definitions are a prerequisite for scalable AI-assisted programming workflows.</w:t>
      </w:r>
    </w:p>
    <w:p w14:paraId="2EDFA2CC" w14:textId="77777777" w:rsidR="00E70B5F" w:rsidRDefault="00BF39A7">
      <w:r>
        <w:t>This presentation will describe the architecture, governance considerations, and lessons learned from implementing AI-assisted TFL automation in a regulated clinical development environment. We will share how combining metadata-driven shell design, TFL Designer, and generative AI tools such as Claude can help modernize clinical reporting workflows, reduce manual effort, and enable statisticians and programmers to focus on higher-value scientific and analytical activities.</w:t>
      </w:r>
    </w:p>
    <w:p w14:paraId="54754174" w14:textId="77777777" w:rsidR="00E70B5F" w:rsidRDefault="00BF39A7">
      <w:r>
        <w:t>The integration of Claude with TFL Designer illustrates how generative AI can leverage standardized metadata to accelerate SAS code development, improve reporting consistency, and provide a scalable foundation for the next generation of AI-assisted clinical reporting workflows.</w:t>
      </w:r>
    </w:p>
    <w:p w14:paraId="315CD4B6" w14:textId="77777777" w:rsidR="00E70B5F" w:rsidRDefault="00BF39A7">
      <w:pPr>
        <w:pStyle w:val="Heading1"/>
      </w:pPr>
      <w:r>
        <w:lastRenderedPageBreak/>
        <w:t>Summary: Benefits of Claude Integration</w:t>
      </w:r>
    </w:p>
    <w:tbl>
      <w:tblPr>
        <w:tblW w:w="5000" w:type="pct"/>
        <w:tblLook w:val="04A0" w:firstRow="1" w:lastRow="0" w:firstColumn="1" w:lastColumn="0" w:noHBand="0" w:noVBand="1"/>
      </w:tblPr>
      <w:tblGrid>
        <w:gridCol w:w="3957"/>
        <w:gridCol w:w="6195"/>
      </w:tblGrid>
      <w:tr w:rsidR="00E70B5F" w14:paraId="3564B4F2" w14:textId="77777777" w:rsidTr="003A3C89">
        <w:tc>
          <w:tcPr>
            <w:tcW w:w="1949" w:type="pct"/>
            <w:tcBorders>
              <w:top w:val="single" w:sz="6" w:space="0" w:color="B4C7E7"/>
              <w:left w:val="single" w:sz="6" w:space="0" w:color="B4C7E7"/>
              <w:bottom w:val="single" w:sz="6" w:space="0" w:color="B4C7E7"/>
              <w:right w:val="single" w:sz="6" w:space="0" w:color="B4C7E7"/>
            </w:tcBorders>
            <w:shd w:val="clear" w:color="auto" w:fill="1F4E79"/>
          </w:tcPr>
          <w:p w14:paraId="51590E3A" w14:textId="77777777" w:rsidR="00E70B5F" w:rsidRDefault="00BF39A7">
            <w:r>
              <w:rPr>
                <w:b/>
                <w:color w:val="FFFFFF"/>
                <w:sz w:val="19"/>
              </w:rPr>
              <w:t>Benefit Area</w:t>
            </w:r>
          </w:p>
        </w:tc>
        <w:tc>
          <w:tcPr>
            <w:tcW w:w="3051" w:type="pct"/>
            <w:tcBorders>
              <w:top w:val="single" w:sz="6" w:space="0" w:color="B4C7E7"/>
              <w:left w:val="single" w:sz="6" w:space="0" w:color="B4C7E7"/>
              <w:bottom w:val="single" w:sz="6" w:space="0" w:color="B4C7E7"/>
              <w:right w:val="single" w:sz="6" w:space="0" w:color="B4C7E7"/>
            </w:tcBorders>
            <w:shd w:val="clear" w:color="auto" w:fill="1F4E79"/>
          </w:tcPr>
          <w:p w14:paraId="6083A52E" w14:textId="77777777" w:rsidR="00E70B5F" w:rsidRDefault="00BF39A7">
            <w:r>
              <w:rPr>
                <w:b/>
                <w:color w:val="FFFFFF"/>
                <w:sz w:val="19"/>
              </w:rPr>
              <w:t>How Claude Adds Value</w:t>
            </w:r>
          </w:p>
        </w:tc>
      </w:tr>
      <w:tr w:rsidR="00E70B5F" w14:paraId="44F86007" w14:textId="77777777" w:rsidTr="003A3C89">
        <w:tc>
          <w:tcPr>
            <w:tcW w:w="1949" w:type="pct"/>
            <w:shd w:val="clear" w:color="auto" w:fill="F8FBFD"/>
          </w:tcPr>
          <w:p w14:paraId="737E7C95" w14:textId="77777777" w:rsidR="00E70B5F" w:rsidRDefault="00BF39A7">
            <w:pPr>
              <w:spacing w:after="60"/>
            </w:pPr>
            <w:r>
              <w:rPr>
                <w:b/>
                <w:color w:val="1F4E79"/>
                <w:sz w:val="18"/>
              </w:rPr>
              <w:t>Faster draft SAS code creation</w:t>
            </w:r>
          </w:p>
        </w:tc>
        <w:tc>
          <w:tcPr>
            <w:tcW w:w="3051" w:type="pct"/>
            <w:shd w:val="clear" w:color="auto" w:fill="FFFFFF"/>
          </w:tcPr>
          <w:p w14:paraId="567E43B5" w14:textId="77777777" w:rsidR="00E70B5F" w:rsidRDefault="00BF39A7">
            <w:pPr>
              <w:spacing w:after="60"/>
            </w:pPr>
            <w:r>
              <w:rPr>
                <w:sz w:val="18"/>
              </w:rPr>
              <w:t>Claude can use structured TFL metadata and annotations exported from TFL Designer to generate first-pass SAS code, reducing repetitive coding effort and accelerating programming initiation.</w:t>
            </w:r>
          </w:p>
        </w:tc>
      </w:tr>
      <w:tr w:rsidR="00E70B5F" w14:paraId="62AE1856" w14:textId="77777777" w:rsidTr="003A3C89">
        <w:tc>
          <w:tcPr>
            <w:tcW w:w="1949" w:type="pct"/>
            <w:shd w:val="clear" w:color="auto" w:fill="F8FBFD"/>
          </w:tcPr>
          <w:p w14:paraId="0788CE41" w14:textId="77777777" w:rsidR="00E70B5F" w:rsidRDefault="00BF39A7">
            <w:pPr>
              <w:spacing w:after="60"/>
            </w:pPr>
            <w:r>
              <w:rPr>
                <w:b/>
                <w:color w:val="1F4E79"/>
                <w:sz w:val="18"/>
              </w:rPr>
              <w:t>Stronger metadata-to-code traceability</w:t>
            </w:r>
          </w:p>
        </w:tc>
        <w:tc>
          <w:tcPr>
            <w:tcW w:w="3051" w:type="pct"/>
            <w:shd w:val="clear" w:color="auto" w:fill="FFFFFF"/>
          </w:tcPr>
          <w:p w14:paraId="265D41B2" w14:textId="77777777" w:rsidR="00E70B5F" w:rsidRDefault="00BF39A7">
            <w:pPr>
              <w:spacing w:after="60"/>
            </w:pPr>
            <w:r>
              <w:rPr>
                <w:sz w:val="18"/>
              </w:rPr>
              <w:t>Connecting code generation to structured shell metadata creates a clearer line of sight from reporting definitions to programming logic, supporting review and documentation.</w:t>
            </w:r>
          </w:p>
        </w:tc>
      </w:tr>
      <w:tr w:rsidR="00E70B5F" w14:paraId="333906E9" w14:textId="77777777" w:rsidTr="003A3C89">
        <w:tc>
          <w:tcPr>
            <w:tcW w:w="1949" w:type="pct"/>
            <w:shd w:val="clear" w:color="auto" w:fill="F8FBFD"/>
          </w:tcPr>
          <w:p w14:paraId="4BE890CE" w14:textId="77777777" w:rsidR="00E70B5F" w:rsidRDefault="00BF39A7">
            <w:pPr>
              <w:spacing w:after="60"/>
            </w:pPr>
            <w:r>
              <w:rPr>
                <w:b/>
                <w:color w:val="1F4E79"/>
                <w:sz w:val="18"/>
              </w:rPr>
              <w:t>Improved standardization</w:t>
            </w:r>
          </w:p>
        </w:tc>
        <w:tc>
          <w:tcPr>
            <w:tcW w:w="3051" w:type="pct"/>
            <w:shd w:val="clear" w:color="auto" w:fill="FFFFFF"/>
          </w:tcPr>
          <w:p w14:paraId="34080874" w14:textId="77777777" w:rsidR="00E70B5F" w:rsidRDefault="00BF39A7">
            <w:pPr>
              <w:spacing w:after="60"/>
            </w:pPr>
            <w:r>
              <w:rPr>
                <w:sz w:val="18"/>
              </w:rPr>
              <w:t>Claude can be prompted with Gilead-aligned conventions and reusable examples, helping promote consistency in programming patterns and output development across studies.</w:t>
            </w:r>
          </w:p>
        </w:tc>
      </w:tr>
      <w:tr w:rsidR="00E70B5F" w14:paraId="669E78D4" w14:textId="77777777" w:rsidTr="003A3C89">
        <w:tc>
          <w:tcPr>
            <w:tcW w:w="1949" w:type="pct"/>
            <w:shd w:val="clear" w:color="auto" w:fill="F8FBFD"/>
          </w:tcPr>
          <w:p w14:paraId="2DCAD809" w14:textId="77777777" w:rsidR="00E70B5F" w:rsidRDefault="00BF39A7">
            <w:pPr>
              <w:spacing w:after="60"/>
            </w:pPr>
            <w:r>
              <w:rPr>
                <w:b/>
                <w:color w:val="1F4E79"/>
                <w:sz w:val="18"/>
              </w:rPr>
              <w:t>Enhanced programmer productivity</w:t>
            </w:r>
          </w:p>
        </w:tc>
        <w:tc>
          <w:tcPr>
            <w:tcW w:w="3051" w:type="pct"/>
            <w:shd w:val="clear" w:color="auto" w:fill="FFFFFF"/>
          </w:tcPr>
          <w:p w14:paraId="59CE9E5F" w14:textId="77777777" w:rsidR="00E70B5F" w:rsidRDefault="00BF39A7">
            <w:pPr>
              <w:spacing w:after="60"/>
            </w:pPr>
            <w:r>
              <w:rPr>
                <w:sz w:val="18"/>
              </w:rPr>
              <w:t>Programmers can spend less time creating boilerplate code and more time reviewing logic, addressing study-specific complexities, validating outputs, and applying scientific judgment.</w:t>
            </w:r>
          </w:p>
        </w:tc>
      </w:tr>
      <w:tr w:rsidR="00E70B5F" w14:paraId="43973FD4" w14:textId="77777777" w:rsidTr="003A3C89">
        <w:tc>
          <w:tcPr>
            <w:tcW w:w="1949" w:type="pct"/>
            <w:shd w:val="clear" w:color="auto" w:fill="F8FBFD"/>
          </w:tcPr>
          <w:p w14:paraId="688E4071" w14:textId="77777777" w:rsidR="00E70B5F" w:rsidRDefault="00BF39A7">
            <w:pPr>
              <w:spacing w:after="60"/>
            </w:pPr>
            <w:r>
              <w:rPr>
                <w:b/>
                <w:color w:val="1F4E79"/>
                <w:sz w:val="18"/>
              </w:rPr>
              <w:t>Scalable AI-assisted workflow</w:t>
            </w:r>
          </w:p>
        </w:tc>
        <w:tc>
          <w:tcPr>
            <w:tcW w:w="3051" w:type="pct"/>
            <w:shd w:val="clear" w:color="auto" w:fill="FFFFFF"/>
          </w:tcPr>
          <w:p w14:paraId="344B30AE" w14:textId="77777777" w:rsidR="00E70B5F" w:rsidRDefault="00BF39A7">
            <w:pPr>
              <w:spacing w:after="60"/>
            </w:pPr>
            <w:r>
              <w:rPr>
                <w:sz w:val="18"/>
              </w:rPr>
              <w:t>TFL Designer supplies the governed metadata foundation, while Claude converts that information into actionable programming assets, creating a practical path toward broader AI-assisted clinical reporting automation.</w:t>
            </w:r>
          </w:p>
        </w:tc>
      </w:tr>
      <w:tr w:rsidR="00E70B5F" w14:paraId="304905C7" w14:textId="77777777" w:rsidTr="003A3C89">
        <w:tc>
          <w:tcPr>
            <w:tcW w:w="1949" w:type="pct"/>
            <w:shd w:val="clear" w:color="auto" w:fill="F8FBFD"/>
          </w:tcPr>
          <w:p w14:paraId="1C787FD6" w14:textId="77777777" w:rsidR="00E70B5F" w:rsidRDefault="00BF39A7">
            <w:pPr>
              <w:spacing w:after="60"/>
            </w:pPr>
            <w:r>
              <w:rPr>
                <w:b/>
                <w:color w:val="1F4E79"/>
                <w:sz w:val="18"/>
              </w:rPr>
              <w:t>Human oversight and compliance readiness</w:t>
            </w:r>
          </w:p>
        </w:tc>
        <w:tc>
          <w:tcPr>
            <w:tcW w:w="3051" w:type="pct"/>
            <w:shd w:val="clear" w:color="auto" w:fill="FFFFFF"/>
          </w:tcPr>
          <w:p w14:paraId="55CCE3B9" w14:textId="77777777" w:rsidR="00E70B5F" w:rsidRDefault="00BF39A7">
            <w:pPr>
              <w:spacing w:after="60"/>
            </w:pPr>
            <w:r>
              <w:rPr>
                <w:sz w:val="18"/>
              </w:rPr>
              <w:t>The workflow keeps statistical programmers responsible for review, validation, and final approval, positioning AI as an assistive capability within a controlled reporting process.</w:t>
            </w:r>
          </w:p>
        </w:tc>
      </w:tr>
    </w:tbl>
    <w:p w14:paraId="7C6F6766" w14:textId="77777777" w:rsidR="00E70B5F" w:rsidRDefault="00BF39A7">
      <w:pPr>
        <w:pStyle w:val="Heading1"/>
      </w:pPr>
      <w:r>
        <w:t>Keywords</w:t>
      </w:r>
    </w:p>
    <w:p w14:paraId="58DEB887" w14:textId="77777777" w:rsidR="00E70B5F" w:rsidRDefault="00BF39A7">
      <w:r>
        <w:t>Generative AI; Claude; Statistical Programming; TFL Designer; TFL Automation; Metadata-Driven Development; SAS Code Generation; Clinical Reporting; Digital Transformation</w:t>
      </w:r>
    </w:p>
    <w:p w14:paraId="7359F246" w14:textId="77777777" w:rsidR="00E70B5F" w:rsidRDefault="00BF39A7">
      <w:pPr>
        <w:pStyle w:val="Heading1"/>
      </w:pPr>
      <w:r>
        <w:t>DSS Theme Alignment</w:t>
      </w:r>
    </w:p>
    <w:p w14:paraId="5CB06276" w14:textId="77777777" w:rsidR="00E70B5F" w:rsidRDefault="00BF39A7">
      <w:r>
        <w:t>This abstract aligns with the DSS theme, Data Sciences in Action Across Gilead, by demonstrating how metadata-driven workflows and generative AI can be applied to accelerate clinical reporting, improve standardization, and establish a scalable foundation for future automation initiatives.</w:t>
      </w:r>
    </w:p>
    <w:sectPr w:rsidR="00E70B5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C23E" w14:textId="77777777" w:rsidR="00BF39A7" w:rsidRDefault="00BF39A7">
      <w:pPr>
        <w:spacing w:after="0" w:line="240" w:lineRule="auto"/>
      </w:pPr>
      <w:r>
        <w:separator/>
      </w:r>
    </w:p>
  </w:endnote>
  <w:endnote w:type="continuationSeparator" w:id="0">
    <w:p w14:paraId="34B0B390" w14:textId="77777777" w:rsidR="00BF39A7" w:rsidRDefault="00BF3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BD2B" w14:textId="77777777" w:rsidR="00E70B5F" w:rsidRDefault="00BF39A7">
    <w:pPr>
      <w:pStyle w:val="Footer"/>
      <w:jc w:val="center"/>
    </w:pPr>
    <w:r>
      <w:rPr>
        <w:color w:val="787878"/>
        <w:sz w:val="16"/>
      </w:rPr>
      <w:t>Draft abstract for 2026 Data Science Symposium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28E2" w14:textId="77777777" w:rsidR="00BF39A7" w:rsidRDefault="00BF39A7">
      <w:pPr>
        <w:spacing w:after="0" w:line="240" w:lineRule="auto"/>
      </w:pPr>
      <w:r>
        <w:separator/>
      </w:r>
    </w:p>
  </w:footnote>
  <w:footnote w:type="continuationSeparator" w:id="0">
    <w:p w14:paraId="7B104CBC" w14:textId="77777777" w:rsidR="00BF39A7" w:rsidRDefault="00BF3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294268">
    <w:abstractNumId w:val="8"/>
  </w:num>
  <w:num w:numId="2" w16cid:durableId="940183558">
    <w:abstractNumId w:val="6"/>
  </w:num>
  <w:num w:numId="3" w16cid:durableId="1644894605">
    <w:abstractNumId w:val="5"/>
  </w:num>
  <w:num w:numId="4" w16cid:durableId="385950644">
    <w:abstractNumId w:val="4"/>
  </w:num>
  <w:num w:numId="5" w16cid:durableId="934409">
    <w:abstractNumId w:val="7"/>
  </w:num>
  <w:num w:numId="6" w16cid:durableId="1926768145">
    <w:abstractNumId w:val="3"/>
  </w:num>
  <w:num w:numId="7" w16cid:durableId="1093284573">
    <w:abstractNumId w:val="2"/>
  </w:num>
  <w:num w:numId="8" w16cid:durableId="926621382">
    <w:abstractNumId w:val="1"/>
  </w:num>
  <w:num w:numId="9" w16cid:durableId="105821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B3"/>
    <w:rsid w:val="0006063C"/>
    <w:rsid w:val="0015074B"/>
    <w:rsid w:val="0029639D"/>
    <w:rsid w:val="002F22EB"/>
    <w:rsid w:val="00326F90"/>
    <w:rsid w:val="003A3C89"/>
    <w:rsid w:val="0086126B"/>
    <w:rsid w:val="008752B4"/>
    <w:rsid w:val="00AA1D8D"/>
    <w:rsid w:val="00B47730"/>
    <w:rsid w:val="00BF39A7"/>
    <w:rsid w:val="00CB0664"/>
    <w:rsid w:val="00E70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76C4F0-D30E-4875-947F-6183B853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722</Words>
  <Characters>4857</Characters>
  <Application>Microsoft Office Word</Application>
  <DocSecurity>0</DocSecurity>
  <Lines>80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TFL Automation Abstract</dc:title>
  <dc:subject>Draft abstract for Data Science Symposium</dc:subject>
  <dc:creator>Caroline Pearson</dc:creator>
  <cp:keywords/>
  <dc:description>Generated draft document</dc:description>
  <cp:lastModifiedBy>Caroline Pearson</cp:lastModifiedBy>
  <cp:revision>3</cp:revision>
  <dcterms:created xsi:type="dcterms:W3CDTF">2026-07-15T18:00:00Z</dcterms:created>
  <dcterms:modified xsi:type="dcterms:W3CDTF">2026-07-17T15:01:00Z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de74a9-4f8a-4c74-b507-22417e17d25b_Enabled">
    <vt:lpwstr>true</vt:lpwstr>
  </property>
  <property fmtid="{D5CDD505-2E9C-101B-9397-08002B2CF9AE}" pid="3" name="MSIP_Label_16de74a9-4f8a-4c74-b507-22417e17d25b_SetDate">
    <vt:lpwstr>2026-07-15T18:00:22Z</vt:lpwstr>
  </property>
  <property fmtid="{D5CDD505-2E9C-101B-9397-08002B2CF9AE}" pid="4" name="MSIP_Label_16de74a9-4f8a-4c74-b507-22417e17d25b_Method">
    <vt:lpwstr>Standard</vt:lpwstr>
  </property>
  <property fmtid="{D5CDD505-2E9C-101B-9397-08002B2CF9AE}" pid="5" name="MSIP_Label_16de74a9-4f8a-4c74-b507-22417e17d25b_Name">
    <vt:lpwstr>16de74a9-4f8a-4c74-b507-22417e17d25b</vt:lpwstr>
  </property>
  <property fmtid="{D5CDD505-2E9C-101B-9397-08002B2CF9AE}" pid="6" name="MSIP_Label_16de74a9-4f8a-4c74-b507-22417e17d25b_SiteId">
    <vt:lpwstr>a5a8bcaa-3292-41e6-b735-5e8b21f4dbfd</vt:lpwstr>
  </property>
  <property fmtid="{D5CDD505-2E9C-101B-9397-08002B2CF9AE}" pid="7" name="MSIP_Label_16de74a9-4f8a-4c74-b507-22417e17d25b_ActionId">
    <vt:lpwstr>6b765c09-c3e7-42a6-9f0e-d9d4e29e1a3f</vt:lpwstr>
  </property>
  <property fmtid="{D5CDD505-2E9C-101B-9397-08002B2CF9AE}" pid="8" name="MSIP_Label_16de74a9-4f8a-4c74-b507-22417e17d25b_ContentBits">
    <vt:lpwstr>0</vt:lpwstr>
  </property>
</Properties>
</file>