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2E1848"/>
          </w:tcPr>
          <w:p>
            <w:r>
              <w:rPr>
                <w:b/>
                <w:color w:val="E8782A"/>
                <w:sz w:val="17"/>
              </w:rPr>
              <w:t>SERENIDADE LAB · EDUCAÇÃO OBSTÉTRICA</w:t>
            </w:r>
          </w:p>
          <w:p>
            <w:r>
              <w:rPr>
                <w:rFonts w:ascii="Playfair Display" w:hAnsi="Playfair Display"/>
                <w:b/>
                <w:color w:val="FFFFFF"/>
                <w:sz w:val="44"/>
              </w:rPr>
              <w:t>Avaliação do bem-estar fetal – Cardiotocografia</w:t>
            </w:r>
          </w:p>
          <w:p>
            <w:r>
              <w:rPr>
                <w:color w:val="E6DDF0"/>
                <w:sz w:val="20"/>
              </w:rPr>
              <w:t>Cardiotocografia com Serenidade · Edição Siaparto + Carol Reis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  <w:color w:val="2E1848"/>
          <w:sz w:val="18"/>
        </w:rPr>
        <w:t>RESUMO DE AULA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Profa. Caroline Reis · Ginecologista e Obstetra · CRM-MG 61402 · RQE 38120 · Instagram @carolinereisg</w:t>
      </w:r>
    </w:p>
    <w:p>
      <w:pPr>
        <w:spacing w:after="80" w:before="280"/>
        <w:pBdr>
          <w:bottom w:val="single" w:sz="8" w:space="2" w:color="E8782A"/>
        </w:pBdr>
      </w:pPr>
      <w:r>
        <w:rPr>
          <w:rFonts w:ascii="Playfair Display" w:hAnsi="Playfair Display"/>
          <w:b/>
          <w:i w:val="0"/>
          <w:color w:val="2E1848"/>
          <w:sz w:val="30"/>
        </w:rPr>
        <w:t>1. Resumo de poucas linhas</w:t>
      </w:r>
    </w:p>
    <w:p>
      <w:pPr>
        <w:spacing w:after="80"/>
      </w:pPr>
      <w:r>
        <w:rPr>
          <w:b w:val="0"/>
          <w:i w:val="0"/>
        </w:rPr>
        <w:t>A CTG reflete de forma indireta a função placentária e a integridade do sistema nervoso autônomo fetal, e só faz sentido interpretada no contexto clínico. Na prática: use CTG anteparto apenas nas indicações de risco (em baixo risco, não há evidência de benefício e o risco de falso-positivo é alto) e, no intraparto de baixo risco, prefira ausculta intermitente. Abandone "sofrimento fetal" em favor de "suspeita de hipóxia fetal". Diante de traçado suspeito ou patológico, identifique a causa, corrija conforme a fisiopatologia (sem O₂ de rotina e sem soro glicosado hipertônico, que não têm evidência), reavalie em janela curta e prepare o parto se não houver resposta. Padronize o sistema de classificação da unidade (FIGO, 5-tier etc.) e colha gasometria de cordão (arterial e venosa) na suspeita de hipóxia.</w:t>
      </w:r>
    </w:p>
    <w:p>
      <w:pPr>
        <w:spacing w:after="80" w:before="280"/>
        <w:pBdr>
          <w:bottom w:val="single" w:sz="8" w:space="2" w:color="E8782A"/>
        </w:pBdr>
      </w:pPr>
      <w:r>
        <w:rPr>
          <w:rFonts w:ascii="Playfair Display" w:hAnsi="Playfair Display"/>
          <w:b/>
          <w:i w:val="0"/>
          <w:color w:val="2E1848"/>
          <w:sz w:val="30"/>
        </w:rPr>
        <w:t>2. Pontos-chave</w:t>
      </w:r>
    </w:p>
    <w:p>
      <w:pPr>
        <w:pStyle w:val="ListBullet"/>
        <w:spacing w:after="40"/>
      </w:pPr>
      <w:r>
        <w:t>Evitar "sofrimento fetal", "asfixia ao nascimento" e "estado fetal não tranquilizador"; usar "suspeita de hipóxia fetal".</w:t>
      </w:r>
    </w:p>
    <w:p>
      <w:pPr>
        <w:pStyle w:val="ListBullet"/>
        <w:spacing w:after="40"/>
      </w:pPr>
      <w:r>
        <w:t>"Bradicardia" somente para redução da FCF por 10 minutos ou mais; reduções transitórias são "desacelerações".</w:t>
      </w:r>
    </w:p>
    <w:p>
      <w:pPr>
        <w:pStyle w:val="ListBullet"/>
        <w:spacing w:after="40"/>
      </w:pPr>
      <w:r>
        <w:t>Classificação DIP I, II e III foi substituída por desacelerações precoces, tardias, variáveis e prolongadas.</w:t>
      </w:r>
    </w:p>
    <w:p>
      <w:pPr>
        <w:pStyle w:val="ListBullet"/>
        <w:spacing w:after="40"/>
      </w:pPr>
      <w:r>
        <w:t>FCF basal normal: 110–160 bpm. Variabilidade normal: 5–25 bpm. Aceleração (&gt;32 sem): ≥15 bpm por ≥15 s e &lt;2 min.</w:t>
      </w:r>
    </w:p>
    <w:p>
      <w:pPr>
        <w:pStyle w:val="ListBullet"/>
        <w:spacing w:after="40"/>
      </w:pPr>
      <w:r>
        <w:t>Reatividade anteparto: ≥2 acelerações de ≥15 bpm por ≥15 s em 20 min (&lt;32 sem: ≥10 bpm por ≥10 s). Duração mínima 20–30 min, podendo estender até 90 min se atípico ou anormal.</w:t>
      </w:r>
    </w:p>
    <w:p>
      <w:pPr>
        <w:pStyle w:val="ListBullet"/>
        <w:spacing w:after="40"/>
      </w:pPr>
      <w:r>
        <w:t>Variabilidade moderada com acelerações torna improvável acidemia clinicamente relevante naquele momento.</w:t>
      </w:r>
    </w:p>
    <w:p>
      <w:pPr>
        <w:pStyle w:val="ListBullet"/>
        <w:spacing w:after="40"/>
      </w:pPr>
      <w:r>
        <w:t>Intraparto, a presença de acelerações não é obrigatória (diferença central em relação ao anteparto).</w:t>
      </w:r>
    </w:p>
    <w:p>
      <w:pPr>
        <w:pStyle w:val="ListBullet"/>
        <w:spacing w:after="40"/>
      </w:pPr>
      <w:r>
        <w:t>Sinusoidal verdadeiro é raro e emergência (anemia fetal grave/hipoxemia crítica); não confundir com o pseudossinusoidal, bem mais comum.</w:t>
      </w:r>
    </w:p>
    <w:p>
      <w:pPr>
        <w:pStyle w:val="ListBullet"/>
        <w:spacing w:after="40"/>
      </w:pPr>
      <w:r>
        <w:t>Sem evidência: O₂ de rotina em cateter nasal e soro glicosado hipertônico. O₂ suplementar só se hipoxemia materna (SpO₂ &lt;94%).</w:t>
      </w:r>
    </w:p>
    <w:p>
      <w:pPr>
        <w:pStyle w:val="ListBullet"/>
        <w:spacing w:after="40"/>
      </w:pPr>
      <w:r>
        <w:t>Gasometria de cordão: coletar logo após o nascimento e processar em até ~5 min; arterial e venosa. Acidose metabólica: pH &lt;7,0 e base excess abaixo de −12 mmol/L.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DEADB"/>
          </w:tcPr>
          <w:p>
            <w:r>
              <w:rPr>
                <w:b/>
                <w:color w:val="2E1848"/>
              </w:rPr>
              <w:t xml:space="preserve">Mensagem-chave: </w:t>
            </w:r>
            <w:r>
              <w:t>A CTG não diagnostica hipóxia isoladamente. O valor está em reconhecer o padrão, tratar a causa e reavaliar em tempo oportuno.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/>
          <w:color w:val="666666"/>
        </w:rPr>
        <w:t>Minhas anotações: ______________________________________________________________</w:t>
      </w:r>
    </w:p>
    <w:p>
      <w:pPr>
        <w:spacing w:after="80"/>
      </w:pPr>
      <w:r>
        <w:rPr>
          <w:b w:val="0"/>
          <w:i w:val="0"/>
          <w:color w:val="999999"/>
        </w:rPr>
        <w:t>_______________________________________________________________________________</w:t>
      </w:r>
    </w:p>
    <w:p>
      <w:pPr>
        <w:spacing w:after="80" w:before="280"/>
        <w:pBdr>
          <w:bottom w:val="single" w:sz="8" w:space="2" w:color="E8782A"/>
        </w:pBdr>
      </w:pPr>
      <w:r>
        <w:rPr>
          <w:rFonts w:ascii="Playfair Display" w:hAnsi="Playfair Display"/>
          <w:b/>
          <w:i w:val="0"/>
          <w:color w:val="2E1848"/>
          <w:sz w:val="30"/>
        </w:rPr>
        <w:t>3. Temas trabalhados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val="clear" w:color="auto" w:fill="2E1848"/>
          </w:tcPr>
          <w:p>
            <w:r/>
            <w:r>
              <w:rPr>
                <w:b/>
                <w:color w:val="FFFFFF"/>
                <w:sz w:val="19"/>
              </w:rPr>
              <w:t>Bloco</w:t>
            </w:r>
          </w:p>
        </w:tc>
        <w:tc>
          <w:tcPr>
            <w:tcW w:type="dxa" w:w="7087"/>
            <w:shd w:val="clear" w:color="auto" w:fill="2E1848"/>
          </w:tcPr>
          <w:p>
            <w:r/>
            <w:r>
              <w:rPr>
                <w:b/>
                <w:color w:val="FFFFFF"/>
                <w:sz w:val="19"/>
              </w:rPr>
              <w:t>Conteúdo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Introdução</w:t>
            </w:r>
          </w:p>
        </w:tc>
        <w:tc>
          <w:tcPr>
            <w:tcW w:type="dxa" w:w="7087"/>
          </w:tcPr>
          <w:p>
            <w:r/>
            <w:r>
              <w:rPr>
                <w:sz w:val="19"/>
              </w:rPr>
              <w:t>Histórico da CTG; bases da classificação FIGO 2015, SOGC 2023 e atualização ACOG 2025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Definições e terminologia</w:t>
            </w:r>
          </w:p>
        </w:tc>
        <w:tc>
          <w:tcPr>
            <w:tcW w:type="dxa" w:w="7087"/>
          </w:tcPr>
          <w:p>
            <w:r/>
            <w:r>
              <w:rPr>
                <w:sz w:val="19"/>
              </w:rPr>
              <w:t>CTG vs. CTB/MAP; suspeita de hipóxia fetal; acidemia grave e acidose metabólica; gasometria de cordão; cardiotocógrafo, velocidade do papel, artefatos, armazenamento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Fisiologia da FCF</w:t>
            </w:r>
          </w:p>
        </w:tc>
        <w:tc>
          <w:tcPr>
            <w:tcW w:type="dxa" w:w="7087"/>
          </w:tcPr>
          <w:p>
            <w:r/>
            <w:r>
              <w:rPr>
                <w:sz w:val="19"/>
              </w:rPr>
              <w:t>Quimiorreflexo periférico; estados comportamentais fetais 1F–4F; cycling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Indicações da CTG anteparto</w:t>
            </w:r>
          </w:p>
        </w:tc>
        <w:tc>
          <w:tcPr>
            <w:tcW w:type="dxa" w:w="7087"/>
          </w:tcPr>
          <w:p>
            <w:r/>
            <w:r>
              <w:rPr>
                <w:sz w:val="19"/>
              </w:rPr>
              <w:t>Quadro por condição, início e periodicidade; vigilância integrada e equidade (gestantes negras, indígenas, homens trans e pessoas transmasculinas)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Elementos da CTG</w:t>
            </w:r>
          </w:p>
        </w:tc>
        <w:tc>
          <w:tcPr>
            <w:tcW w:type="dxa" w:w="7087"/>
          </w:tcPr>
          <w:p>
            <w:r/>
            <w:r>
              <w:rPr>
                <w:sz w:val="19"/>
              </w:rPr>
              <w:t>Linha de base, variabilidade, padrões sinusoidais, acelerações, desacelerações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CTG anteparto</w:t>
            </w:r>
          </w:p>
        </w:tc>
        <w:tc>
          <w:tcPr>
            <w:tcW w:type="dxa" w:w="7087"/>
          </w:tcPr>
          <w:p>
            <w:r/>
            <w:r>
              <w:rPr>
                <w:sz w:val="19"/>
              </w:rPr>
              <w:t>Sistematização, critério de reatividade, classificação SOGC 2023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Testes adjuntos</w:t>
            </w:r>
          </w:p>
        </w:tc>
        <w:tc>
          <w:tcPr>
            <w:tcW w:type="dxa" w:w="7087"/>
          </w:tcPr>
          <w:p>
            <w:r/>
            <w:r>
              <w:rPr>
                <w:sz w:val="19"/>
              </w:rPr>
              <w:t>Teste de estresse por contrações, estímulo do escalpe fetal, CTG computadorizada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CTG intraparto</w:t>
            </w:r>
          </w:p>
        </w:tc>
        <w:tc>
          <w:tcPr>
            <w:tcW w:type="dxa" w:w="7087"/>
          </w:tcPr>
          <w:p>
            <w:r/>
            <w:r>
              <w:rPr>
                <w:sz w:val="19"/>
              </w:rPr>
              <w:t>Ausculta intermitente, classificação FIGO 2015, sistema 5-tier de Parer e Ikeda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Medidas corretivas</w:t>
            </w:r>
          </w:p>
        </w:tc>
        <w:tc>
          <w:tcPr>
            <w:tcW w:type="dxa" w:w="7087"/>
          </w:tcPr>
          <w:p>
            <w:r/>
            <w:r>
              <w:rPr>
                <w:sz w:val="19"/>
              </w:rPr>
              <w:t>Estratégia de 4 passos (Eller e Esplin, 2020); quadro de correção por achado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Recomendações e orientações</w:t>
            </w:r>
          </w:p>
        </w:tc>
        <w:tc>
          <w:tcPr>
            <w:tcW w:type="dxa" w:w="7087"/>
          </w:tcPr>
          <w:p>
            <w:r/>
            <w:r>
              <w:rPr>
                <w:sz w:val="19"/>
              </w:rPr>
              <w:t>Recomendações a profissionais; caixa de orientação à gestante/puérpera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</w:rPr>
        <w:t>Classificação anteparto (SOGC 2023), resumo: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2E1848"/>
          </w:tcPr>
          <w:p>
            <w:r/>
            <w:r>
              <w:rPr>
                <w:b/>
                <w:color w:val="FFFFFF"/>
                <w:sz w:val="19"/>
              </w:rPr>
              <w:t>Parâmetro</w:t>
            </w:r>
          </w:p>
        </w:tc>
        <w:tc>
          <w:tcPr>
            <w:tcW w:type="dxa" w:w="2438"/>
            <w:shd w:val="clear" w:color="auto" w:fill="2E1848"/>
          </w:tcPr>
          <w:p>
            <w:r/>
            <w:r>
              <w:rPr>
                <w:b/>
                <w:color w:val="FFFFFF"/>
                <w:sz w:val="19"/>
              </w:rPr>
              <w:t>Normal</w:t>
            </w:r>
          </w:p>
        </w:tc>
        <w:tc>
          <w:tcPr>
            <w:tcW w:type="dxa" w:w="2721"/>
            <w:shd w:val="clear" w:color="auto" w:fill="2E1848"/>
          </w:tcPr>
          <w:p>
            <w:r/>
            <w:r>
              <w:rPr>
                <w:b/>
                <w:color w:val="FFFFFF"/>
                <w:sz w:val="19"/>
              </w:rPr>
              <w:t>Atípica</w:t>
            </w:r>
          </w:p>
        </w:tc>
        <w:tc>
          <w:tcPr>
            <w:tcW w:type="dxa" w:w="2778"/>
            <w:shd w:val="clear" w:color="auto" w:fill="2E1848"/>
          </w:tcPr>
          <w:p>
            <w:r/>
            <w:r>
              <w:rPr>
                <w:b/>
                <w:color w:val="FFFFFF"/>
                <w:sz w:val="19"/>
              </w:rPr>
              <w:t>Anormal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Linha de base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110–160 bpm</w:t>
            </w:r>
          </w:p>
        </w:tc>
        <w:tc>
          <w:tcPr>
            <w:tcW w:type="dxa" w:w="2721"/>
          </w:tcPr>
          <w:p>
            <w:r/>
            <w:r>
              <w:rPr>
                <w:sz w:val="19"/>
              </w:rPr>
              <w:t>100–109 bpm; &gt;160 bpm por &gt;30–80 min; linha ascendente; arritmia</w:t>
            </w:r>
          </w:p>
        </w:tc>
        <w:tc>
          <w:tcPr>
            <w:tcW w:type="dxa" w:w="2778"/>
          </w:tcPr>
          <w:p>
            <w:r/>
            <w:r>
              <w:rPr>
                <w:sz w:val="19"/>
              </w:rPr>
              <w:t>&lt;100 bpm; &gt;160 bpm por &gt;80 min; instável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Variabilidade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Moderada (6–25) ou mínima por &lt;40 min</w:t>
            </w:r>
          </w:p>
        </w:tc>
        <w:tc>
          <w:tcPr>
            <w:tcW w:type="dxa" w:w="2721"/>
          </w:tcPr>
          <w:p>
            <w:r/>
            <w:r>
              <w:rPr>
                <w:sz w:val="19"/>
              </w:rPr>
              <w:t>Mínima (&lt;5) por 40–80 min</w:t>
            </w:r>
          </w:p>
        </w:tc>
        <w:tc>
          <w:tcPr>
            <w:tcW w:type="dxa" w:w="2778"/>
          </w:tcPr>
          <w:p>
            <w:r/>
            <w:r>
              <w:rPr>
                <w:sz w:val="19"/>
              </w:rPr>
              <w:t>Mínima por &gt;80 min; acentuada (&gt;25) por &gt;10 min; sinusoidal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Acelerações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≥2 em janela de 40 min (máx. 80 min)</w:t>
            </w:r>
          </w:p>
        </w:tc>
        <w:tc>
          <w:tcPr>
            <w:tcW w:type="dxa" w:w="2721"/>
          </w:tcPr>
          <w:p>
            <w:r/>
            <w:r>
              <w:rPr>
                <w:sz w:val="19"/>
              </w:rPr>
              <w:t>2 separadas por &gt;40 min em até 80 min</w:t>
            </w:r>
          </w:p>
        </w:tc>
        <w:tc>
          <w:tcPr>
            <w:tcW w:type="dxa" w:w="2778"/>
          </w:tcPr>
          <w:p>
            <w:r/>
            <w:r>
              <w:rPr>
                <w:sz w:val="19"/>
              </w:rPr>
              <w:t>&lt;2 em 80 min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Conduta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Avaliação adicional opcional</w:t>
            </w:r>
          </w:p>
        </w:tc>
        <w:tc>
          <w:tcPr>
            <w:tcW w:type="dxa" w:w="2721"/>
          </w:tcPr>
          <w:p>
            <w:r/>
            <w:r>
              <w:rPr>
                <w:sz w:val="19"/>
              </w:rPr>
              <w:t>Avaliação adicional necessária</w:t>
            </w:r>
          </w:p>
        </w:tc>
        <w:tc>
          <w:tcPr>
            <w:tcW w:type="dxa" w:w="2778"/>
          </w:tcPr>
          <w:p>
            <w:r/>
            <w:r>
              <w:rPr>
                <w:sz w:val="19"/>
              </w:rPr>
              <w:t>Ação urgente; pode ser necessário indicar nascimento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</w:rPr>
        <w:t>Classificação intraparto (FIGO 2015, texto original):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2E1848"/>
          </w:tcPr>
          <w:p>
            <w:r/>
            <w:r>
              <w:rPr>
                <w:b/>
                <w:color w:val="FFFFFF"/>
                <w:sz w:val="19"/>
              </w:rPr>
              <w:t>Parâmetro</w:t>
            </w:r>
          </w:p>
        </w:tc>
        <w:tc>
          <w:tcPr>
            <w:tcW w:type="dxa" w:w="1984"/>
            <w:shd w:val="clear" w:color="auto" w:fill="2E1848"/>
          </w:tcPr>
          <w:p>
            <w:r/>
            <w:r>
              <w:rPr>
                <w:b/>
                <w:color w:val="FFFFFF"/>
                <w:sz w:val="19"/>
              </w:rPr>
              <w:t>Normal</w:t>
            </w:r>
          </w:p>
        </w:tc>
        <w:tc>
          <w:tcPr>
            <w:tcW w:type="dxa" w:w="2835"/>
            <w:shd w:val="clear" w:color="auto" w:fill="2E1848"/>
          </w:tcPr>
          <w:p>
            <w:r/>
            <w:r>
              <w:rPr>
                <w:b/>
                <w:color w:val="FFFFFF"/>
                <w:sz w:val="19"/>
              </w:rPr>
              <w:t>Suspeito</w:t>
            </w:r>
          </w:p>
        </w:tc>
        <w:tc>
          <w:tcPr>
            <w:tcW w:type="dxa" w:w="3118"/>
            <w:shd w:val="clear" w:color="auto" w:fill="2E1848"/>
          </w:tcPr>
          <w:p>
            <w:r/>
            <w:r>
              <w:rPr>
                <w:b/>
                <w:color w:val="FFFFFF"/>
                <w:sz w:val="19"/>
              </w:rPr>
              <w:t>Patológico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Linha de base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110–160 bpm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Falta de pelo menos uma característica de normalidade, mas sem características patológicas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&lt;100 bpm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Variabilidade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5–25 bpm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Reduzida por &gt;50 min, aumentada por &gt;30 min, ou padrão sinusoidal por &gt;30 min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Desacelerações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Sem desacelerações repetitivas*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Desacelerações tardias ou prolongadas repetitivas* por &gt;30 min (ou &gt;20 min se variabilidade reduzida), ou uma desaceleração prolongada com &gt;5 min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Interpretação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Feto sem hipóxia/acidose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Feto com baixa probabilidade de hipóxia/acidose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Feto com alta probabilidade de hipóxia/acidose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Manejo clínico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Nenhuma intervenção necessária para melhorar a oxigenação fetal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Ação para corrigir causas reversíveis, se identificadas; monitorização próxima ou métodos adicionais de avaliação da oxigenação fetal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Ação imediata para corrigir causas reversíveis, métodos adicionais de avaliação ou, se não for possível, agilizar o parto. Em situações agudas (prolapso de cordão, rotura uterina, descolamento placentário), nascimento imediato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/>
          <w:sz w:val="17"/>
        </w:rPr>
        <w:t>*Desacelerações são repetitivas quando associadas a mais de 50% das contrações uterinas. Reavaliar o traçado pelo menos a cada 30 minutos. Acelerações indicam feto sem hipóxia/acidose; sua ausência durante o trabalho de parto tem significado incerto. Fonte: Ayres-de-Campos D, et al. FIGO consensus guidelines on intrapartum fetal monitoring: Cardiotocography. Int J Gynaecol Obstet. 2015;131(1):13-24 (Tabela 1; tradução própria).</w:t>
      </w:r>
    </w:p>
    <w:p>
      <w:pPr>
        <w:spacing w:after="80" w:before="280"/>
        <w:pBdr>
          <w:bottom w:val="single" w:sz="8" w:space="2" w:color="E8782A"/>
        </w:pBdr>
      </w:pPr>
      <w:r>
        <w:rPr>
          <w:rFonts w:ascii="Playfair Display" w:hAnsi="Playfair Display"/>
          <w:b/>
          <w:i w:val="0"/>
          <w:color w:val="2E1848"/>
          <w:sz w:val="30"/>
        </w:rPr>
        <w:t>4. Atividade de fixação</w:t>
      </w:r>
    </w:p>
    <w:p>
      <w:pPr>
        <w:spacing w:after="80"/>
      </w:pPr>
      <w:r>
        <w:rPr>
          <w:b w:val="0"/>
          <w:i/>
          <w:sz w:val="19"/>
        </w:rPr>
        <w:t>Questão fechada (o tema tem critérios objetivos de classificação)</w:t>
      </w:r>
    </w:p>
    <w:p>
      <w:pPr>
        <w:spacing w:after="80"/>
      </w:pPr>
      <w:r>
        <w:rPr>
          <w:b w:val="0"/>
          <w:i w:val="0"/>
        </w:rPr>
        <w:t>Segundo a classificação FIGO 2015 para CTG intraparto, qual dos achados abaixo, isoladamente, caracteriza traçado PATOLÓGICO?</w:t>
      </w:r>
    </w:p>
    <w:p>
      <w:pPr>
        <w:spacing w:after="20"/>
      </w:pPr>
      <w:r>
        <w:rPr>
          <w:b w:val="0"/>
          <w:i w:val="0"/>
        </w:rPr>
        <w:t>A) Linha de base de 105 bpm, sem outras alterações</w:t>
      </w:r>
    </w:p>
    <w:p>
      <w:pPr>
        <w:spacing w:after="20"/>
      </w:pPr>
      <w:r>
        <w:rPr>
          <w:b w:val="0"/>
          <w:i w:val="0"/>
        </w:rPr>
        <w:t>B) Linha de base &lt;100 bpm</w:t>
      </w:r>
    </w:p>
    <w:p>
      <w:pPr>
        <w:spacing w:after="20"/>
      </w:pPr>
      <w:r>
        <w:rPr>
          <w:b w:val="0"/>
          <w:i w:val="0"/>
        </w:rPr>
        <w:t>C) Desaceleração variável isolada, não repetitiva</w:t>
      </w:r>
    </w:p>
    <w:p>
      <w:pPr>
        <w:spacing w:after="20"/>
      </w:pPr>
      <w:r>
        <w:rPr>
          <w:b w:val="0"/>
          <w:i w:val="0"/>
        </w:rPr>
        <w:t>D) Ausência de acelerações transitórias</w:t>
      </w:r>
    </w:p>
    <w:p>
      <w:pPr>
        <w:spacing w:after="80"/>
      </w:pPr>
      <w:r>
        <w:rPr>
          <w:b w:val="0"/>
          <w:i w:val="0"/>
        </w:rPr>
      </w:r>
    </w:p>
    <w:p>
      <w:pPr>
        <w:spacing w:after="80"/>
      </w:pPr>
      <w:r>
        <w:rPr>
          <w:b/>
          <w:i w:val="0"/>
          <w:sz w:val="19"/>
        </w:rPr>
        <w:t>Gabarito: B. Pela FIGO 2015, linha de base &lt;100 bpm é critério de traçado patológico. Uma linha de base de 105 bpm foge da faixa de normalidade (110–160 bpm), mas sem critério patológico fica como suspeita; uma desaceleração variável isolada não é repetitiva; e a ausência de acelerações não é exigida no intraparto.</w:t>
      </w:r>
    </w:p>
    <w:p>
      <w:pPr>
        <w:spacing w:after="80" w:before="280"/>
        <w:pBdr>
          <w:bottom w:val="single" w:sz="8" w:space="2" w:color="E8782A"/>
        </w:pBdr>
      </w:pPr>
      <w:r>
        <w:rPr>
          <w:rFonts w:ascii="Playfair Display" w:hAnsi="Playfair Display"/>
          <w:b/>
          <w:i w:val="0"/>
          <w:color w:val="2E1848"/>
          <w:sz w:val="30"/>
        </w:rPr>
        <w:t>5. Checklist final</w:t>
      </w:r>
    </w:p>
    <w:p>
      <w:pPr>
        <w:spacing w:after="40"/>
      </w:pPr>
      <w:r>
        <w:rPr>
          <w:b/>
          <w:i w:val="0"/>
          <w:color w:val="2E1848"/>
        </w:rPr>
        <w:t>Conceitos teóricos</w:t>
      </w:r>
    </w:p>
    <w:p>
      <w:pPr>
        <w:spacing w:after="20"/>
      </w:pPr>
      <w:r>
        <w:rPr>
          <w:b w:val="0"/>
          <w:i w:val="0"/>
        </w:rPr>
        <w:t>☐  Sei explicar por que usar "suspeita de hipóxia fetal" e diferencio acidemia grave de acidose metabólica neonatal</w:t>
      </w:r>
    </w:p>
    <w:p>
      <w:pPr>
        <w:spacing w:after="20"/>
      </w:pPr>
      <w:r>
        <w:rPr>
          <w:b w:val="0"/>
          <w:i w:val="0"/>
        </w:rPr>
        <w:t>☐  Descrevo o quimiorreflexo periférico e por que a maioria das desacelerações transitórias não indica acidose</w:t>
      </w:r>
    </w:p>
    <w:p>
      <w:pPr>
        <w:spacing w:after="20"/>
      </w:pPr>
      <w:r>
        <w:rPr>
          <w:b w:val="0"/>
          <w:i w:val="0"/>
        </w:rPr>
        <w:t>☐  Reconheço os estados 1F a 4F e o cycling como sinal de bem-estar</w:t>
      </w:r>
    </w:p>
    <w:p>
      <w:pPr>
        <w:spacing w:after="20"/>
      </w:pPr>
      <w:r>
        <w:rPr>
          <w:b w:val="0"/>
          <w:i w:val="0"/>
        </w:rPr>
        <w:t>☐  Sei que a CTG anteparto não é indicada em baixo risco</w:t>
      </w:r>
    </w:p>
    <w:p>
      <w:pPr>
        <w:spacing w:after="40"/>
      </w:pPr>
      <w:r>
        <w:rPr>
          <w:b/>
          <w:i w:val="0"/>
          <w:color w:val="2E1848"/>
        </w:rPr>
        <w:t>Classificação/critérios</w:t>
      </w:r>
    </w:p>
    <w:p>
      <w:pPr>
        <w:spacing w:after="20"/>
      </w:pPr>
      <w:r>
        <w:rPr>
          <w:b w:val="0"/>
          <w:i w:val="0"/>
        </w:rPr>
        <w:t>☐  Defino linha de base, variabilidade, aceleração e os quatro tipos de desaceleração</w:t>
      </w:r>
    </w:p>
    <w:p>
      <w:pPr>
        <w:spacing w:after="20"/>
      </w:pPr>
      <w:r>
        <w:rPr>
          <w:b w:val="0"/>
          <w:i w:val="0"/>
        </w:rPr>
        <w:t>☐  Diferencio sinusoidal, sinusoidal atípico e pseudossinusoidal</w:t>
      </w:r>
    </w:p>
    <w:p>
      <w:pPr>
        <w:spacing w:after="20"/>
      </w:pPr>
      <w:r>
        <w:rPr>
          <w:b w:val="0"/>
          <w:i w:val="0"/>
        </w:rPr>
        <w:t>☐  Aplico o critério de reatividade anteparto e a classificação SOGC 2023</w:t>
      </w:r>
    </w:p>
    <w:p>
      <w:pPr>
        <w:spacing w:after="20"/>
      </w:pPr>
      <w:r>
        <w:rPr>
          <w:b w:val="0"/>
          <w:i w:val="0"/>
        </w:rPr>
        <w:t>☐  Classifico traçados intraparto pela FIGO 2015 e pelo 5-tier</w:t>
      </w:r>
    </w:p>
    <w:p>
      <w:pPr>
        <w:spacing w:after="40"/>
      </w:pPr>
      <w:r>
        <w:rPr>
          <w:b/>
          <w:i w:val="0"/>
          <w:color w:val="2E1848"/>
        </w:rPr>
        <w:t>Conduta clínica</w:t>
      </w:r>
    </w:p>
    <w:p>
      <w:pPr>
        <w:spacing w:after="20"/>
      </w:pPr>
      <w:r>
        <w:rPr>
          <w:b w:val="0"/>
          <w:i w:val="0"/>
        </w:rPr>
        <w:t>☐  Sei as indicações, o início e a periodicidade da CTG anteparto por condição</w:t>
      </w:r>
    </w:p>
    <w:p>
      <w:pPr>
        <w:spacing w:after="20"/>
      </w:pPr>
      <w:r>
        <w:rPr>
          <w:b w:val="0"/>
          <w:i w:val="0"/>
        </w:rPr>
        <w:t>☐  Aplico os 4 passos: causa e eventos graves, medidas por etiologia, reavaliação, preparo do parto</w:t>
      </w:r>
    </w:p>
    <w:p>
      <w:pPr>
        <w:spacing w:after="20"/>
      </w:pPr>
      <w:r>
        <w:rPr>
          <w:b w:val="0"/>
          <w:i w:val="0"/>
        </w:rPr>
        <w:t>☐  Não uso O₂ de rotina nem soro glicosado hipertônico; sei a única indicação de O₂</w:t>
      </w:r>
    </w:p>
    <w:p>
      <w:pPr>
        <w:spacing w:after="20"/>
      </w:pPr>
      <w:r>
        <w:rPr>
          <w:b w:val="0"/>
          <w:i w:val="0"/>
        </w:rPr>
        <w:t>☐  Defino o intervalo de reavaliação (15–30 min no 1º estágio; 5–15 min no 2º)</w:t>
      </w:r>
    </w:p>
    <w:p>
      <w:pPr>
        <w:spacing w:after="40"/>
      </w:pPr>
      <w:r>
        <w:rPr>
          <w:b/>
          <w:i w:val="0"/>
          <w:color w:val="2E1848"/>
        </w:rPr>
        <w:t>Habilidade técnica/prática</w:t>
      </w:r>
    </w:p>
    <w:p>
      <w:pPr>
        <w:spacing w:after="20"/>
      </w:pPr>
      <w:r>
        <w:rPr>
          <w:b w:val="0"/>
          <w:i w:val="0"/>
        </w:rPr>
        <w:t>☐  Checo o pulso materno para excluir registro da FCF materna e reconheço half/double-counting</w:t>
      </w:r>
    </w:p>
    <w:p>
      <w:pPr>
        <w:spacing w:after="20"/>
      </w:pPr>
      <w:r>
        <w:rPr>
          <w:b w:val="0"/>
          <w:i w:val="0"/>
        </w:rPr>
        <w:t>☐  Realizo ausculta intermitente por 60 s, após contrações, nos intervalos corretos</w:t>
      </w:r>
    </w:p>
    <w:p>
      <w:pPr>
        <w:spacing w:after="20"/>
      </w:pPr>
      <w:r>
        <w:rPr>
          <w:b w:val="0"/>
          <w:i w:val="0"/>
        </w:rPr>
        <w:t>☐  Colho sangue arterial e venoso do cordão e processo rapidamente</w:t>
      </w:r>
    </w:p>
    <w:p>
      <w:pPr>
        <w:spacing w:after="20"/>
      </w:pPr>
      <w:r>
        <w:rPr>
          <w:b w:val="0"/>
          <w:i w:val="0"/>
        </w:rPr>
        <w:t>☐  Documento e armazeno o traçado no prontuário (atenção à impressão térmica)</w:t>
      </w:r>
    </w:p>
    <w:p>
      <w:pPr>
        <w:spacing w:after="80"/>
      </w:pPr>
      <w:r>
        <w:rPr>
          <w:b w:val="0"/>
          <w:i/>
          <w:color w:val="666666"/>
        </w:rPr>
        <w:t>Minhas anotações: ______________________________________________________________</w:t>
      </w:r>
    </w:p>
    <w:p>
      <w:pPr>
        <w:spacing w:after="80"/>
      </w:pPr>
      <w:r>
        <w:rPr>
          <w:b w:val="0"/>
          <w:i w:val="0"/>
          <w:color w:val="999999"/>
        </w:rPr>
        <w:t>_______________________________________________________________________________</w:t>
      </w:r>
    </w:p>
    <w:p>
      <w:pPr>
        <w:spacing w:after="80" w:before="280"/>
      </w:pPr>
      <w:r>
        <w:rPr>
          <w:rFonts w:ascii="Playfair Display" w:hAnsi="Playfair Display"/>
          <w:b/>
          <w:i w:val="0"/>
          <w:color w:val="2E1848"/>
          <w:sz w:val="30"/>
        </w:rPr>
        <w:t>Anexo · Simulação: desaceleração prolongada após analgesia peridural</w:t>
      </w:r>
    </w:p>
    <w:p>
      <w:pPr>
        <w:spacing w:after="80"/>
      </w:pPr>
      <w:r>
        <w:rPr>
          <w:b w:val="0"/>
          <w:i/>
          <w:sz w:val="19"/>
        </w:rPr>
        <w:t>Cenário simulado de CTG logo após peridural no primeiro estágio do trabalho de parto, com foco em medidas corretivas, comunicação da equipe e comunicação com a gestante.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DEADB"/>
          </w:tcPr>
          <w:p>
            <w:r>
              <w:rPr>
                <w:b/>
                <w:color w:val="2E1848"/>
              </w:rPr>
              <w:t xml:space="preserve">Parâmetros a confirmar: </w:t>
            </w:r>
            <w:r>
              <w:t>os valores marcados com (*) neste anexo são sugestões minhas para completar o cenário e não vieram da sua narração nem do capítulo. Revise antes de usar.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color w:val="2E1848"/>
        </w:rPr>
        <w:t>Objetivos de aprendizagem</w:t>
      </w:r>
    </w:p>
    <w:p>
      <w:pPr>
        <w:pStyle w:val="ListBullet"/>
        <w:spacing w:after="40"/>
      </w:pPr>
      <w:r>
        <w:t>Reconhecer uma desaceleração prolongada após analgesia e investigar a causa, incluindo hipotensão materna.</w:t>
      </w:r>
    </w:p>
    <w:p>
      <w:pPr>
        <w:pStyle w:val="ListBullet"/>
        <w:spacing w:after="40"/>
      </w:pPr>
      <w:r>
        <w:t>Executar as medidas corretivas dirigidas à causa: correção da hipotensão (volume venoso e/ou efedrina) e mudança de posição, seguidas de reavaliação da CTG.</w:t>
      </w:r>
    </w:p>
    <w:p>
      <w:pPr>
        <w:pStyle w:val="ListBullet"/>
        <w:spacing w:after="40"/>
      </w:pPr>
      <w:r>
        <w:t>Promover comunicação efetiva entre anestesista, obstetra, enfermagem, doula e residente.</w:t>
      </w:r>
    </w:p>
    <w:p>
      <w:pPr>
        <w:pStyle w:val="ListBullet"/>
        <w:spacing w:after="40"/>
      </w:pPr>
      <w:r>
        <w:t>Explicar de forma clara e acolhedora à gestante o que está acontecendo.</w:t>
      </w:r>
    </w:p>
    <w:p>
      <w:pPr>
        <w:pStyle w:val="ListBullet"/>
        <w:spacing w:after="40"/>
      </w:pPr>
      <w:r>
        <w:t>Discutir a necessidade de cesariana e o que a ausência de fatores de risco e uma CTG de admissão normal significam na interpretação do caso.</w:t>
      </w:r>
    </w:p>
    <w:p>
      <w:pPr>
        <w:spacing w:after="80"/>
      </w:pPr>
      <w:r>
        <w:rPr>
          <w:b/>
          <w:i w:val="0"/>
          <w:color w:val="2E1848"/>
        </w:rPr>
        <w:t>Participantes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2E1848"/>
          </w:tcPr>
          <w:p>
            <w:r/>
            <w:r>
              <w:rPr>
                <w:b/>
                <w:color w:val="FFFFFF"/>
                <w:sz w:val="19"/>
              </w:rPr>
              <w:t>Papel</w:t>
            </w:r>
          </w:p>
        </w:tc>
        <w:tc>
          <w:tcPr>
            <w:tcW w:type="dxa" w:w="6803"/>
            <w:shd w:val="clear" w:color="auto" w:fill="2E1848"/>
          </w:tcPr>
          <w:p>
            <w:r/>
            <w:r>
              <w:rPr>
                <w:b/>
                <w:color w:val="FFFFFF"/>
                <w:sz w:val="19"/>
              </w:rPr>
              <w:t>Função no cenário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Gestante (atriz/simulador)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Primigesta, 7 cm de dilatação, recém-submetida à peridural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Anestesista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Avalia a pressão arterial e conduz a correção da hipotensão (volume e/ou efedrina)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Obstetra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Lidera a avaliação do traçado, a decisão sobre as medidas corretivas e sobre a via de parto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Enfermeiro(a)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Instala a CTG, afere sinais vitais, executa as medidas e registra os horários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Médica residente de GO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Auxilia a leitura do traçado, verbaliza a classificação e a reavaliação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Doula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Apoio emocional e comunicação com a gestante durante a intercorrência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Observador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Não interage; preenche o checklist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color w:val="2E1848"/>
        </w:rPr>
        <w:t>Briefing geral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DEADB"/>
          </w:tcPr>
          <w:p>
            <w:r>
              <w:rPr>
                <w:b/>
                <w:color w:val="2E1848"/>
              </w:rPr>
              <w:t xml:space="preserve">Contexto: </w:t>
            </w:r>
            <w:r>
              <w:t>Gestante em primeira gestação, sem fatores de risco, com 7 cm de dilatação. Havia realizado CTG na admissão, duas horas antes, normal. Solicitou analgesia e foi submetida à peridural. Logo em seguida, a CTG é instalada: este é o momento em que a simulação começa. Idade gestacional: 39 semanas (*).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</w:rPr>
        <w:t>Evolução do cenário (sugestão de roteiro):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74"/>
            <w:shd w:val="clear" w:color="auto" w:fill="2E1848"/>
          </w:tcPr>
          <w:p>
            <w:r/>
            <w:r>
              <w:rPr>
                <w:b/>
                <w:color w:val="FFFFFF"/>
                <w:sz w:val="19"/>
              </w:rPr>
              <w:t>Tempo</w:t>
            </w:r>
          </w:p>
        </w:tc>
        <w:tc>
          <w:tcPr>
            <w:tcW w:type="dxa" w:w="4649"/>
            <w:shd w:val="clear" w:color="auto" w:fill="2E1848"/>
          </w:tcPr>
          <w:p>
            <w:r/>
            <w:r>
              <w:rPr>
                <w:b/>
                <w:color w:val="FFFFFF"/>
                <w:sz w:val="19"/>
              </w:rPr>
              <w:t>Evento</w:t>
            </w:r>
          </w:p>
        </w:tc>
        <w:tc>
          <w:tcPr>
            <w:tcW w:type="dxa" w:w="3515"/>
            <w:shd w:val="clear" w:color="auto" w:fill="2E1848"/>
          </w:tcPr>
          <w:p>
            <w:r/>
            <w:r>
              <w:rPr>
                <w:b/>
                <w:color w:val="FFFFFF"/>
                <w:sz w:val="19"/>
              </w:rPr>
              <w:t>Dados sugeridos (*)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</w:rPr>
              <w:t>0 min</w:t>
            </w:r>
          </w:p>
        </w:tc>
        <w:tc>
          <w:tcPr>
            <w:tcW w:type="dxa" w:w="4649"/>
          </w:tcPr>
          <w:p>
            <w:r/>
            <w:r>
              <w:rPr>
                <w:sz w:val="19"/>
              </w:rPr>
              <w:t>CTG instalada. Linha de base normal, boa variabilidade.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FCF ~140 bpm; contrações a cada ~3–4 min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</w:rPr>
              <w:t>~5 min</w:t>
            </w:r>
          </w:p>
        </w:tc>
        <w:tc>
          <w:tcPr>
            <w:tcW w:type="dxa" w:w="4649"/>
          </w:tcPr>
          <w:p>
            <w:r/>
            <w:r>
              <w:rPr>
                <w:sz w:val="19"/>
              </w:rPr>
              <w:t>A FCF começa a cair. Início da desaceleração prolongada.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Queda para ~80 bpm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</w:rPr>
              <w:t>5–12 min</w:t>
            </w:r>
          </w:p>
        </w:tc>
        <w:tc>
          <w:tcPr>
            <w:tcW w:type="dxa" w:w="4649"/>
          </w:tcPr>
          <w:p>
            <w:r/>
            <w:r>
              <w:rPr>
                <w:sz w:val="19"/>
              </w:rPr>
              <w:t>Desaceleração com duração total de 7 minutos. A equipe é chamada.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Gestante com tontura/palidez; PA queda importante em relação ao basal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</w:rPr>
              <w:t>Após medidas</w:t>
            </w:r>
          </w:p>
        </w:tc>
        <w:tc>
          <w:tcPr>
            <w:tcW w:type="dxa" w:w="4649"/>
          </w:tcPr>
          <w:p>
            <w:r/>
            <w:r>
              <w:rPr>
                <w:sz w:val="19"/>
              </w:rPr>
              <w:t>Retorno da FCF à linha de base se as medidas corretas forem executadas.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FCF ~140 bpm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</w:rPr>
              <w:t>Persistência</w:t>
            </w:r>
          </w:p>
        </w:tc>
        <w:tc>
          <w:tcPr>
            <w:tcW w:type="dxa" w:w="4649"/>
          </w:tcPr>
          <w:p>
            <w:r/>
            <w:r>
              <w:rPr>
                <w:sz w:val="19"/>
              </w:rPr>
              <w:t>Se hipotensão persistir, escalonar medidas e reavaliar a necessidade de cesariana.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Definido pelo facilitador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/>
          <w:sz w:val="19"/>
        </w:rPr>
        <w:t>Papel de condução do facilitador: se a equipe não perguntar pela pressão arterial, o facilitador informa que ela ainda não foi aferida e conduz a equipe a essa checagem, sem indicar a conduta.</w:t>
      </w:r>
    </w:p>
    <w:p>
      <w:r>
        <w:drawing>
          <wp:inline xmlns:a="http://schemas.openxmlformats.org/drawingml/2006/main" xmlns:pic="http://schemas.openxmlformats.org/drawingml/2006/picture">
            <wp:extent cx="5760000" cy="358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8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 w:val="0"/>
          <w:i/>
          <w:sz w:val="17"/>
        </w:rPr>
        <w:t>Figura. Traçado simulado, papel a 1 cm/min: linha de base ~140 bpm, desaceleração prolongada de 7 minutos (nadir ~80 bpm) e retorno à linha de base. A atividade uterina é ilustrativa (*).</w:t>
      </w:r>
    </w:p>
    <w:p>
      <w:pPr>
        <w:spacing w:after="80"/>
      </w:pPr>
      <w:r>
        <w:rPr>
          <w:b/>
          <w:i w:val="0"/>
          <w:color w:val="2E1848"/>
        </w:rPr>
        <w:t>Conduta esperada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041"/>
            <w:shd w:val="clear" w:color="auto" w:fill="2E1848"/>
          </w:tcPr>
          <w:p>
            <w:r/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597"/>
            <w:shd w:val="clear" w:color="auto" w:fill="2E1848"/>
          </w:tcPr>
          <w:p>
            <w:r/>
            <w:r>
              <w:rPr>
                <w:b/>
                <w:color w:val="FFFFFF"/>
                <w:sz w:val="19"/>
              </w:rPr>
              <w:t>Conduta recomendada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Reconhecimento</w:t>
            </w:r>
          </w:p>
        </w:tc>
        <w:tc>
          <w:tcPr>
            <w:tcW w:type="dxa" w:w="7597"/>
          </w:tcPr>
          <w:p>
            <w:r/>
            <w:r>
              <w:rPr>
                <w:sz w:val="19"/>
              </w:rPr>
              <w:t>Identificar desaceleração prolongada; pela FIGO 2015, uma desaceleração prolongada com &gt;5 min é achado patológico. Verbalizar a classificação.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Eventos graves</w:t>
            </w:r>
          </w:p>
        </w:tc>
        <w:tc>
          <w:tcPr>
            <w:tcW w:type="dxa" w:w="7597"/>
          </w:tcPr>
          <w:p>
            <w:r/>
            <w:r>
              <w:rPr>
                <w:sz w:val="19"/>
              </w:rPr>
              <w:t>Descartar causas que exigem parto imediato (prolapso de cordão, rotura uterina, descolamento placentário, descompensação materna) (Eller e Esplin, 2020; Passo 1).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Causa provável</w:t>
            </w:r>
          </w:p>
        </w:tc>
        <w:tc>
          <w:tcPr>
            <w:tcW w:type="dxa" w:w="7597"/>
          </w:tcPr>
          <w:p>
            <w:r/>
            <w:r>
              <w:rPr>
                <w:sz w:val="19"/>
              </w:rPr>
              <w:t>Hipotensão materna após analgesia: aferir a pressão arterial imediatamente.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Correção</w:t>
            </w:r>
          </w:p>
        </w:tc>
        <w:tc>
          <w:tcPr>
            <w:tcW w:type="dxa" w:w="7597"/>
          </w:tcPr>
          <w:p>
            <w:r/>
            <w:r>
              <w:rPr>
                <w:sz w:val="19"/>
              </w:rPr>
              <w:t>Volume venoso (soro fisiológico) e/ou efedrina para corrigir a hipotensão; mudança de posição da gestante. Se a hipotensão persistir, escalonar as medidas.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Não indicado</w:t>
            </w:r>
          </w:p>
        </w:tc>
        <w:tc>
          <w:tcPr>
            <w:tcW w:type="dxa" w:w="7597"/>
          </w:tcPr>
          <w:p>
            <w:r/>
            <w:r>
              <w:rPr>
                <w:sz w:val="19"/>
              </w:rPr>
              <w:t>Oxigênio suplementar de rotina e administração de glicose: não têm evidência. O₂ só se hipoxemia materna (SpO₂ &lt;94%), que não é o caso.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Reavaliação</w:t>
            </w:r>
          </w:p>
        </w:tc>
        <w:tc>
          <w:tcPr>
            <w:tcW w:type="dxa" w:w="7597"/>
          </w:tcPr>
          <w:p>
            <w:r/>
            <w:r>
              <w:rPr>
                <w:sz w:val="19"/>
              </w:rPr>
              <w:t>Reavaliar o traçado após as medidas: 15–30 min no 1º estágio (capítulo).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Se não houver melhora</w:t>
            </w:r>
          </w:p>
        </w:tc>
        <w:tc>
          <w:tcPr>
            <w:tcW w:type="dxa" w:w="7597"/>
          </w:tcPr>
          <w:p>
            <w:r/>
            <w:r>
              <w:rPr>
                <w:sz w:val="19"/>
              </w:rPr>
              <w:t>Preparar o parto e discutir a via; o capítulo usa o tempo de ~60 minutos para evolução da acidemia como referência no planejamento.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Comunicação</w:t>
            </w:r>
          </w:p>
        </w:tc>
        <w:tc>
          <w:tcPr>
            <w:tcW w:type="dxa" w:w="7597"/>
          </w:tcPr>
          <w:p>
            <w:r/>
            <w:r>
              <w:rPr>
                <w:sz w:val="19"/>
              </w:rPr>
              <w:t>Apresentar-se, explicar à gestante o que está acontecendo e o que será feito, em linguagem acessível; a doula acolhe; o líder da equipe distribui tarefas em voz alta.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DEADB"/>
          </w:tcPr>
          <w:p>
            <w:r>
              <w:rPr>
                <w:b/>
                <w:color w:val="2E1848"/>
              </w:rPr>
              <w:t xml:space="preserve">Mensagem-chave: </w:t>
            </w:r>
            <w:r>
              <w:t>Gestante sem fatores de risco e CTG de admissão normal duas horas antes não excluem alteração aguda do traçado. Identifique a causa (aqui, a analgesia), trate-a e reavalie.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color w:val="2E1848"/>
        </w:rPr>
        <w:t>Roteiro de debriefing</w:t>
      </w:r>
    </w:p>
    <w:p>
      <w:pPr>
        <w:pStyle w:val="ListBullet"/>
        <w:spacing w:after="40"/>
      </w:pPr>
      <w:r>
        <w:t>Reações: como vocês se sentiram durante a cena?</w:t>
      </w:r>
    </w:p>
    <w:p>
      <w:pPr>
        <w:pStyle w:val="ListBullet"/>
        <w:spacing w:after="40"/>
      </w:pPr>
      <w:r>
        <w:t>Descrição: o que aconteceu, em ordem, desde a instalação da CTG até a reavaliação?</w:t>
      </w:r>
    </w:p>
    <w:p>
      <w:pPr>
        <w:pStyle w:val="ListBullet"/>
        <w:spacing w:after="40"/>
      </w:pPr>
      <w:r>
        <w:t>Como a equipe classificou o traçado e quem verbalizou a classificação?</w:t>
      </w:r>
    </w:p>
    <w:p>
      <w:pPr>
        <w:pStyle w:val="ListBullet"/>
        <w:spacing w:after="40"/>
      </w:pPr>
      <w:r>
        <w:t>A causa (hipotensão após analgesia) foi identificada rapidamente? Que dado ajudou?</w:t>
      </w:r>
    </w:p>
    <w:p>
      <w:pPr>
        <w:pStyle w:val="ListBullet"/>
        <w:spacing w:after="40"/>
      </w:pPr>
      <w:r>
        <w:t>Que medidas foram tomadas e na ordem correta? Alguma conduta sem evidência (O₂, glicose) foi cogitada?</w:t>
      </w:r>
    </w:p>
    <w:p>
      <w:pPr>
        <w:pStyle w:val="ListBullet"/>
        <w:spacing w:after="40"/>
      </w:pPr>
      <w:r>
        <w:t>A gestante recebeu explicação clara? Como a doula e a equipe a apoiaram?</w:t>
      </w:r>
    </w:p>
    <w:p>
      <w:pPr>
        <w:pStyle w:val="ListBullet"/>
        <w:spacing w:after="40"/>
      </w:pPr>
      <w:r>
        <w:t>Havia necessidade de cesariana nesse momento? Que achados mudariam essa decisão?</w:t>
      </w:r>
    </w:p>
    <w:p>
      <w:pPr>
        <w:pStyle w:val="ListBullet"/>
        <w:spacing w:after="40"/>
      </w:pPr>
      <w:r>
        <w:t>O fato de ser uma gestante sem fatores de risco, com CTG admissional normal, mudou a vigilância? Como?</w:t>
      </w:r>
    </w:p>
    <w:p>
      <w:pPr>
        <w:pStyle w:val="ListBullet"/>
        <w:spacing w:after="40"/>
      </w:pPr>
      <w:r>
        <w:t>Síntese: o que cada um leva para a prática?</w:t>
      </w:r>
    </w:p>
    <w:p>
      <w:pPr>
        <w:spacing w:after="80"/>
      </w:pPr>
      <w:r>
        <w:rPr>
          <w:b/>
          <w:i w:val="0"/>
          <w:color w:val="2E1848"/>
        </w:rPr>
        <w:t>Checklist do observador</w:t>
      </w:r>
    </w:p>
    <w:p>
      <w:pPr>
        <w:spacing w:after="20"/>
      </w:pPr>
      <w:r>
        <w:rPr>
          <w:b w:val="0"/>
          <w:i w:val="0"/>
        </w:rPr>
        <w:t>☐  A equipe classificou o traçado e verbalizou a desaceleração prolongada?</w:t>
      </w:r>
    </w:p>
    <w:p>
      <w:pPr>
        <w:spacing w:after="20"/>
      </w:pPr>
      <w:r>
        <w:rPr>
          <w:b w:val="0"/>
          <w:i w:val="0"/>
        </w:rPr>
        <w:t>☐  A pressão arterial foi aferida prontamente?</w:t>
      </w:r>
    </w:p>
    <w:p>
      <w:pPr>
        <w:spacing w:after="20"/>
      </w:pPr>
      <w:r>
        <w:rPr>
          <w:b w:val="0"/>
          <w:i w:val="0"/>
        </w:rPr>
        <w:t>☐  Houve correção da hipotensão com volume venoso e/ou efedrina?</w:t>
      </w:r>
    </w:p>
    <w:p>
      <w:pPr>
        <w:spacing w:after="20"/>
      </w:pPr>
      <w:r>
        <w:rPr>
          <w:b w:val="0"/>
          <w:i w:val="0"/>
        </w:rPr>
        <w:t>☐  Houve mudança de posição da gestante?</w:t>
      </w:r>
    </w:p>
    <w:p>
      <w:pPr>
        <w:spacing w:after="20"/>
      </w:pPr>
      <w:r>
        <w:rPr>
          <w:b w:val="0"/>
          <w:i w:val="0"/>
        </w:rPr>
        <w:t>☐  O oxigênio e a glicose foram evitados?</w:t>
      </w:r>
    </w:p>
    <w:p>
      <w:pPr>
        <w:spacing w:after="20"/>
      </w:pPr>
      <w:r>
        <w:rPr>
          <w:b w:val="0"/>
          <w:i w:val="0"/>
        </w:rPr>
        <w:t>☐  A reavaliação do traçado foi feita e verbalizada?</w:t>
      </w:r>
    </w:p>
    <w:p>
      <w:pPr>
        <w:spacing w:after="20"/>
      </w:pPr>
      <w:r>
        <w:rPr>
          <w:b w:val="0"/>
          <w:i w:val="0"/>
        </w:rPr>
        <w:t>☐  A necessidade de cesariana foi discutida com critérios claros?</w:t>
      </w:r>
    </w:p>
    <w:p>
      <w:pPr>
        <w:spacing w:after="20"/>
      </w:pPr>
      <w:r>
        <w:rPr>
          <w:b w:val="0"/>
          <w:i w:val="0"/>
        </w:rPr>
        <w:t>☐  A gestante foi informada de forma clara e acolhedora?</w:t>
      </w:r>
    </w:p>
    <w:p>
      <w:pPr>
        <w:spacing w:after="20"/>
      </w:pPr>
      <w:r>
        <w:rPr>
          <w:b w:val="0"/>
          <w:i w:val="0"/>
        </w:rPr>
        <w:t>☐  Os papéis (anestesista, obstetra, enfermagem, residente, doula) foram cumpridos e a comunicação entre a equipe foi clara?</w:t>
      </w:r>
    </w:p>
    <w:p>
      <w:pPr>
        <w:spacing w:after="80"/>
      </w:pPr>
      <w:r>
        <w:rPr>
          <w:b w:val="0"/>
          <w:i/>
          <w:color w:val="666666"/>
        </w:rPr>
        <w:t>Minhas anotações: ______________________________________________________________</w:t>
      </w:r>
    </w:p>
    <w:p>
      <w:pPr>
        <w:spacing w:after="80"/>
      </w:pPr>
      <w:r>
        <w:rPr>
          <w:b w:val="0"/>
          <w:i w:val="0"/>
          <w:color w:val="999999"/>
        </w:rPr>
        <w:t>_______________________________________________________________________________</w:t>
      </w:r>
    </w:p>
    <w:p>
      <w:pPr>
        <w:spacing w:after="80" w:before="280"/>
        <w:pBdr>
          <w:bottom w:val="single" w:sz="8" w:space="2" w:color="E8782A"/>
        </w:pBdr>
      </w:pPr>
      <w:r>
        <w:rPr>
          <w:rFonts w:ascii="Playfair Display" w:hAnsi="Playfair Display"/>
          <w:b/>
          <w:i w:val="0"/>
          <w:color w:val="2E1848"/>
          <w:sz w:val="30"/>
        </w:rPr>
        <w:t>6. Referências bibliográficas</w:t>
      </w:r>
    </w:p>
    <w:p>
      <w:pPr>
        <w:spacing w:after="40"/>
      </w:pPr>
      <w:r>
        <w:rPr>
          <w:b w:val="0"/>
          <w:i w:val="0"/>
          <w:sz w:val="17"/>
        </w:rPr>
        <w:t>American College of Obstetricians and Gynecologists. Inappropriate use of the terms fetal distress and birth asphyxia. Obstet Gynecol. 2005;106(6):1469-1470.</w:t>
      </w:r>
    </w:p>
    <w:p>
      <w:pPr>
        <w:spacing w:after="40"/>
      </w:pPr>
      <w:r>
        <w:rPr>
          <w:b w:val="0"/>
          <w:i w:val="0"/>
          <w:sz w:val="17"/>
        </w:rPr>
        <w:t>American College of Obstetricians and Gynecologists. Intrapartum fetal heart rate monitoring: interpretation and management. Clinical Practice Guideline n. 10. 2025.</w:t>
      </w:r>
    </w:p>
    <w:p>
      <w:pPr>
        <w:spacing w:after="40"/>
      </w:pPr>
      <w:r>
        <w:rPr>
          <w:b w:val="0"/>
          <w:i w:val="0"/>
          <w:sz w:val="17"/>
        </w:rPr>
        <w:t>ACOG Committee on Obstetric Practice; SMFM. Indications for outpatient antenatal fetal surveillance. Committee Opinion No. 828. Obstet Gynecol. 2021;137(6).</w:t>
      </w:r>
    </w:p>
    <w:p>
      <w:pPr>
        <w:spacing w:after="40"/>
      </w:pPr>
      <w:r>
        <w:rPr>
          <w:b w:val="0"/>
          <w:i w:val="0"/>
          <w:sz w:val="17"/>
        </w:rPr>
        <w:t>Amorim-Costa C, et al. Longitudinal evaluation of computerized cardiotocographic parameters throughout pregnancy in normal fetuses: a prospective cohort study. Acta Obstet Gynecol Scand. 2016;95(10):1143-1152.</w:t>
      </w:r>
    </w:p>
    <w:p>
      <w:pPr>
        <w:spacing w:after="40"/>
      </w:pPr>
      <w:r>
        <w:rPr>
          <w:b w:val="0"/>
          <w:i w:val="0"/>
          <w:sz w:val="17"/>
        </w:rPr>
        <w:t>Anteby M, et al. Interpreting fetal heart rate monitoring in undiagnosed severe fetal anemia – rethinking the sinusoidal pattern. Am J Obstet Gynecol. 2025;233(5):e197-e199.</w:t>
      </w:r>
    </w:p>
    <w:p>
      <w:pPr>
        <w:spacing w:after="40"/>
      </w:pPr>
      <w:r>
        <w:rPr>
          <w:b w:val="0"/>
          <w:i w:val="0"/>
          <w:sz w:val="17"/>
        </w:rPr>
        <w:t>Arnold JJ, Gawrys BL. Intrapartum fetal monitoring. Am Fam Physician. 2020;102(3):158-167.</w:t>
      </w:r>
    </w:p>
    <w:p>
      <w:pPr>
        <w:spacing w:after="40"/>
      </w:pPr>
      <w:r>
        <w:rPr>
          <w:b w:val="0"/>
          <w:i w:val="0"/>
          <w:sz w:val="17"/>
        </w:rPr>
        <w:t>Ayres-de-Campos D, et al. FIGO consensus guidelines on intrapartum fetal monitoring: Cardiotocography. Int J Gynaecol Obstet. 2015;131(1):13.</w:t>
      </w:r>
    </w:p>
    <w:p>
      <w:pPr>
        <w:spacing w:after="40"/>
      </w:pPr>
      <w:r>
        <w:rPr>
          <w:b w:val="0"/>
          <w:i w:val="0"/>
          <w:sz w:val="17"/>
        </w:rPr>
        <w:t>Ayres-de-Campos D, Nogueira-Reis Z. Technical characteristics of current cardiotocographic monitors. Best Pract Res Clin Obstet Gynaecol. 2016;30:22-32.</w:t>
      </w:r>
    </w:p>
    <w:p>
      <w:pPr>
        <w:spacing w:after="40"/>
      </w:pPr>
      <w:r>
        <w:rPr>
          <w:b w:val="0"/>
          <w:i w:val="0"/>
          <w:sz w:val="17"/>
        </w:rPr>
        <w:t>Eller AG, Esplin MS. Management of the Category II fetal heart rate tracing. Clin Obstet Gynecol. 2020;63(3):659-667.</w:t>
      </w:r>
    </w:p>
    <w:p>
      <w:pPr>
        <w:spacing w:after="40"/>
      </w:pPr>
      <w:r>
        <w:rPr>
          <w:b w:val="0"/>
          <w:i w:val="0"/>
          <w:sz w:val="17"/>
        </w:rPr>
        <w:t>Fernández-Basanta S, et al. Conception, pregnancy, and childbirth from the perspective of transgender men: a meta-ethnography. Women Birth. 2024;37(5):101659.</w:t>
      </w:r>
    </w:p>
    <w:p>
      <w:pPr>
        <w:spacing w:after="40"/>
      </w:pPr>
      <w:r>
        <w:rPr>
          <w:b w:val="0"/>
          <w:i w:val="0"/>
          <w:sz w:val="17"/>
        </w:rPr>
        <w:t>Gamboa SM, et al. Diagnostic accuracy of the FIGO and the 5-tier fetal heart rate classification systems in the detection of neonatal acidemia. Am J Perinatol. 2017;34(5):508-514.</w:t>
      </w:r>
    </w:p>
    <w:p>
      <w:pPr>
        <w:spacing w:after="40"/>
      </w:pPr>
      <w:r>
        <w:rPr>
          <w:b w:val="0"/>
          <w:i w:val="0"/>
          <w:sz w:val="17"/>
        </w:rPr>
        <w:t>Gibb D, Arulkumaran S. Fetal Monitoring in Practice. 4th ed. London: Thieme; 2018.</w:t>
      </w:r>
    </w:p>
    <w:p>
      <w:pPr>
        <w:spacing w:after="40"/>
      </w:pPr>
      <w:r>
        <w:rPr>
          <w:b w:val="0"/>
          <w:i w:val="0"/>
          <w:sz w:val="17"/>
        </w:rPr>
        <w:t>Gonçalves CR, Pontelo TM, Campos GM. Monitoração eletrônica fetal intraparto: interpretação e manejo atual. In: PROAGO, Ciclo 20. Porto Alegre: Artmed Panamericana; 2023. p. 9-58.</w:t>
      </w:r>
    </w:p>
    <w:p>
      <w:pPr>
        <w:spacing w:after="40"/>
      </w:pPr>
      <w:r>
        <w:rPr>
          <w:b w:val="0"/>
          <w:i w:val="0"/>
          <w:sz w:val="17"/>
        </w:rPr>
        <w:t>Grivell RM, et al. Antenatal cardiotocography for fetal assessment. Cochrane Database Syst Rev. 2015;(9):CD007863.</w:t>
      </w:r>
    </w:p>
    <w:p>
      <w:pPr>
        <w:spacing w:after="40"/>
      </w:pPr>
      <w:r>
        <w:rPr>
          <w:b w:val="0"/>
          <w:i w:val="0"/>
          <w:sz w:val="17"/>
        </w:rPr>
        <w:t>Gumley SJ, Humphrey MD. Sinusoidal antenatal fetal heart rate patterns. Aust N Z J Obstet Gynaecol. 1985;25(4):273-281.</w:t>
      </w:r>
    </w:p>
    <w:p>
      <w:pPr>
        <w:spacing w:after="40"/>
      </w:pPr>
      <w:r>
        <w:rPr>
          <w:b w:val="0"/>
          <w:i w:val="0"/>
          <w:sz w:val="17"/>
        </w:rPr>
        <w:t>Hofmeyr GJ, Lawrie TA. Amnioinfusion for potential or suspected umbilical cord compression in labour. Cochrane Database Syst Rev. 2012;(1).</w:t>
      </w:r>
    </w:p>
    <w:p>
      <w:pPr>
        <w:spacing w:after="40"/>
      </w:pPr>
      <w:r>
        <w:rPr>
          <w:b w:val="0"/>
          <w:i w:val="0"/>
          <w:sz w:val="17"/>
        </w:rPr>
        <w:t>Hon EH, Quilligan EJ. Electronic evaluation of fetal heart rate. Clin Obstet Gynecol. 1968;11(1):145.</w:t>
      </w:r>
    </w:p>
    <w:p>
      <w:pPr>
        <w:spacing w:after="40"/>
      </w:pPr>
      <w:r>
        <w:rPr>
          <w:b w:val="0"/>
          <w:i w:val="0"/>
          <w:sz w:val="17"/>
        </w:rPr>
        <w:t>Lauersen NH, Hochberg HM, George ME. Microfilm storage of fetal monitoring records: a practical solution. Obstet Gynecol. 1978;51(5):632-634.</w:t>
      </w:r>
    </w:p>
    <w:p>
      <w:pPr>
        <w:spacing w:after="40"/>
      </w:pPr>
      <w:r>
        <w:rPr>
          <w:b w:val="0"/>
          <w:i w:val="0"/>
          <w:sz w:val="17"/>
        </w:rPr>
        <w:t>Lear CA, et al. The myths and physiology surrounding intrapartum decelerations: the critical role of the peripheral chemoreflex. J Physiol. 2016;594(17).</w:t>
      </w:r>
    </w:p>
    <w:p>
      <w:pPr>
        <w:spacing w:after="40"/>
      </w:pPr>
      <w:r>
        <w:rPr>
          <w:b w:val="0"/>
          <w:i w:val="0"/>
          <w:sz w:val="17"/>
        </w:rPr>
        <w:t>Lear CA, et al. The peripheral chemoreflex: indefatigable guardian of fetal physiological adaptation to labour. J Physiol. 2018;596(23):5611.</w:t>
      </w:r>
    </w:p>
    <w:p>
      <w:pPr>
        <w:spacing w:after="40"/>
      </w:pPr>
      <w:r>
        <w:rPr>
          <w:b w:val="0"/>
          <w:i w:val="0"/>
          <w:sz w:val="17"/>
        </w:rPr>
        <w:t>Maeda K. History of fetal heart rate monitoring. Ultrasound Rev Obstet Gynecol. 2002;2(3):129.</w:t>
      </w:r>
    </w:p>
    <w:p>
      <w:pPr>
        <w:spacing w:after="40"/>
      </w:pPr>
      <w:r>
        <w:rPr>
          <w:b w:val="0"/>
          <w:i w:val="0"/>
          <w:sz w:val="17"/>
        </w:rPr>
        <w:t>Martis R, et al. Intermittent auscultation (IA) of fetal heart rate in labour for fetal well-being. Cochrane Database Syst Rev. 2017;2:CD008680.</w:t>
      </w:r>
    </w:p>
    <w:p>
      <w:pPr>
        <w:spacing w:after="40"/>
      </w:pPr>
      <w:r>
        <w:rPr>
          <w:b w:val="0"/>
          <w:i w:val="0"/>
          <w:sz w:val="17"/>
        </w:rPr>
        <w:t>National Institute for Health and Care Excellence (NICE). Antenatal care. NICE guideline NG201. London: NICE; 2021.</w:t>
      </w:r>
    </w:p>
    <w:p>
      <w:pPr>
        <w:spacing w:after="40"/>
      </w:pPr>
      <w:r>
        <w:rPr>
          <w:b w:val="0"/>
          <w:i w:val="0"/>
          <w:sz w:val="17"/>
        </w:rPr>
        <w:t>NICHD Research Planning Workshop. Electronic fetal heart rate monitoring: research guidelines for interpretation. Am J Obstet Gynecol. 1997;177(6):1385-1390.</w:t>
      </w:r>
    </w:p>
    <w:p>
      <w:pPr>
        <w:spacing w:after="40"/>
      </w:pPr>
      <w:r>
        <w:rPr>
          <w:b w:val="0"/>
          <w:i w:val="0"/>
          <w:sz w:val="17"/>
        </w:rPr>
        <w:t>Nijhuis JG, et al. Are there behavioural states in the human fetus? Early Hum Dev. 1982;6(2):177-195.</w:t>
      </w:r>
    </w:p>
    <w:p>
      <w:pPr>
        <w:spacing w:after="40"/>
      </w:pPr>
      <w:r>
        <w:rPr>
          <w:b w:val="0"/>
          <w:i w:val="0"/>
          <w:sz w:val="17"/>
        </w:rPr>
        <w:t>Niles KM, et al. Guideline No. 441: Antenatal fetal health surveillance. J Obstet Gynaecol Can. 2023;45(9):665-677.</w:t>
      </w:r>
    </w:p>
    <w:p>
      <w:pPr>
        <w:spacing w:after="40"/>
      </w:pPr>
      <w:r>
        <w:rPr>
          <w:b w:val="0"/>
          <w:i w:val="0"/>
          <w:sz w:val="17"/>
        </w:rPr>
        <w:t>Nunes I, et al. Prolonged saltatory fetal heart rate pattern leading to newborn metabolic acidosis. Clin Exp Obstet Gynecol. 2014;41(5):507-511.</w:t>
      </w:r>
    </w:p>
    <w:p>
      <w:pPr>
        <w:spacing w:after="40"/>
      </w:pPr>
      <w:r>
        <w:rPr>
          <w:b w:val="0"/>
          <w:i w:val="0"/>
          <w:sz w:val="17"/>
        </w:rPr>
        <w:t>Nurani R, et al. Misidentification of maternal heart rate as fetal on cardiotocography during the second stage of labor: the role of the fetal electrocardiograph. Acta Obstet Gynecol Scand. 2012;91(12):1428.</w:t>
      </w:r>
    </w:p>
    <w:p>
      <w:pPr>
        <w:spacing w:after="40"/>
      </w:pPr>
      <w:r>
        <w:rPr>
          <w:b w:val="0"/>
          <w:i w:val="0"/>
          <w:sz w:val="17"/>
        </w:rPr>
        <w:t>Olofsson P. Umbilical cord pH, blood gases, and lactate at birth: normal values, interpretation, and clinical utility. Am J Obstet Gynecol. 2023;228(5S):S1222-S1240.</w:t>
      </w:r>
    </w:p>
    <w:p>
      <w:pPr>
        <w:spacing w:after="40"/>
      </w:pPr>
      <w:r>
        <w:rPr>
          <w:b w:val="0"/>
          <w:i w:val="0"/>
          <w:sz w:val="17"/>
        </w:rPr>
        <w:t>Parer JT, Ikeda T. A framework for standardized management of intrapartum fetal heart rate patterns. Am J Obstet Gynecol. 2007;197(1):26.e1-26.e6.</w:t>
      </w:r>
    </w:p>
    <w:p>
      <w:pPr>
        <w:spacing w:after="40"/>
      </w:pPr>
      <w:r>
        <w:rPr>
          <w:b w:val="0"/>
          <w:i w:val="0"/>
          <w:sz w:val="17"/>
        </w:rPr>
        <w:t>Pozo CZ, et al. Diagnostic capacity and interobserver variability in FIGO, ACOG, NICE and Chandraharan cardiotocographic guidelines to predict neonatal acidemia. J Matern Fetal Neonatal Med. 2021;35(25):8498.</w:t>
      </w:r>
    </w:p>
    <w:p>
      <w:pPr>
        <w:spacing w:after="40"/>
      </w:pPr>
      <w:r>
        <w:rPr>
          <w:b w:val="0"/>
          <w:i w:val="0"/>
          <w:sz w:val="17"/>
        </w:rPr>
        <w:t>Raghuraman N, et al. The effect of intrapartum oxygen supplementation on category II fetal monitoring. Am J Obstet Gynecol. 2020;223(6):905.e1.</w:t>
      </w:r>
    </w:p>
    <w:p>
      <w:pPr>
        <w:spacing w:after="40"/>
      </w:pPr>
      <w:r>
        <w:rPr>
          <w:b w:val="0"/>
          <w:i w:val="0"/>
          <w:sz w:val="17"/>
        </w:rPr>
        <w:t>Raghuraman N. Response to Category II tracings: does anything help? Semin Perinatol. 2019:151217.</w:t>
      </w:r>
    </w:p>
    <w:p>
      <w:pPr>
        <w:spacing w:after="40"/>
      </w:pPr>
      <w:r>
        <w:rPr>
          <w:b w:val="0"/>
          <w:i w:val="0"/>
          <w:sz w:val="17"/>
        </w:rPr>
        <w:t>Schiermeier S, et al. Fetal assessment in pregnancy (indication and methodology for fetal monitoring in a low-risk population). Geburtshilfe Frauenheilkd. 2023;83(8):996-1016.</w:t>
      </w:r>
    </w:p>
    <w:p>
      <w:pPr>
        <w:spacing w:after="40"/>
      </w:pPr>
      <w:r>
        <w:rPr>
          <w:b w:val="0"/>
          <w:i w:val="0"/>
          <w:sz w:val="17"/>
        </w:rPr>
        <w:t>Silva AM, et al. The role of prenatal care in fetal and infant development in Brazil: a narrative review. Healthcare (Basel). 2025;13(19):2414.</w:t>
      </w:r>
    </w:p>
    <w:p>
      <w:pPr>
        <w:spacing w:after="40"/>
      </w:pPr>
      <w:r>
        <w:rPr>
          <w:b w:val="0"/>
          <w:i w:val="0"/>
          <w:sz w:val="17"/>
        </w:rPr>
        <w:t>Society for Maternal-Fetal Medicine; Martins JG, Biggio JR, Abuhamad A. SMFM Consult Series #52: Diagnosis and management of fetal growth restriction. Am J Obstet Gynecol. 2020;223(4):B2-B17.</w:t>
      </w:r>
    </w:p>
    <w:p>
      <w:pPr>
        <w:spacing w:after="40"/>
      </w:pPr>
      <w:r>
        <w:rPr>
          <w:b w:val="0"/>
          <w:i w:val="0"/>
          <w:sz w:val="17"/>
        </w:rPr>
        <w:t>Tarvonen MJ, et al. Increased variability of fetal heart rate during labour: a review of preclinical and clinical studies. BJOG. 2022;129(12):2070-2081.</w:t>
      </w:r>
    </w:p>
    <w:p>
      <w:pPr>
        <w:spacing w:after="40"/>
      </w:pPr>
      <w:r>
        <w:rPr>
          <w:b w:val="0"/>
          <w:i w:val="0"/>
          <w:sz w:val="17"/>
        </w:rPr>
        <w:t>Troha N, et al. Comparison of four intrapartum cardiotocography classifications for predicting neonatal acidemia at birth. J Pregnancy. 2023;2023:5853889.</w:t>
      </w:r>
    </w:p>
    <w:p>
      <w:pPr>
        <w:spacing w:after="40"/>
      </w:pPr>
      <w:r>
        <w:rPr>
          <w:b w:val="0"/>
          <w:i w:val="0"/>
          <w:sz w:val="17"/>
        </w:rPr>
        <w:t>Vayssière C, et al. European Association of Perinatal Medicine (EAPM) position statement: use of appropriate terminology for situations related to inadequate fetal oxygenation in labor. Eur J Obstet Gynecol Reprod Biol. 2024;294:55-57.</w:t>
      </w:r>
    </w:p>
    <w:p>
      <w:pPr>
        <w:spacing w:after="40"/>
      </w:pPr>
      <w:r>
        <w:rPr>
          <w:b w:val="0"/>
          <w:i w:val="0"/>
          <w:sz w:val="17"/>
        </w:rPr>
        <w:t>Visser GH, et al. Diurnal and other cyclic variations in human fetal heart rate near term. Am J Obstet Gynecol. 1982;142(5):535-544.</w:t>
      </w:r>
    </w:p>
    <w:p>
      <w:pPr>
        <w:spacing w:after="40"/>
      </w:pPr>
      <w:r>
        <w:rPr>
          <w:b w:val="0"/>
          <w:i w:val="0"/>
          <w:sz w:val="17"/>
        </w:rPr>
        <w:t>Wolf H, et al. Computerized fetal heart rate analysis in early preterm fetal growth restriction. Ultrasound Obstet Gynecol. 2020;56(1):51-60.</w:t>
      </w:r>
    </w:p>
    <w:p>
      <w:pPr>
        <w:spacing w:after="40"/>
      </w:pPr>
      <w:r>
        <w:rPr>
          <w:b w:val="0"/>
          <w:i w:val="0"/>
          <w:sz w:val="17"/>
        </w:rPr>
        <w:t>Yambasu S, et al. Digital foetal scalp stimulation versus foetal blood sampling to assess foetal well-being in labour: a multicentre randomised controlled trial. BJOG. 2025;132(5):557-564.</w:t>
      </w:r>
    </w:p>
    <w:p>
      <w:pPr>
        <w:spacing w:after="80"/>
      </w:pPr>
      <w:r>
        <w:rPr>
          <w:b w:val="0"/>
          <w:i w:val="0"/>
        </w:rPr>
      </w:r>
    </w:p>
    <w:p>
      <w:pPr>
        <w:spacing w:after="80"/>
      </w:pPr>
      <w:r>
        <w:rPr>
          <w:b/>
          <w:i w:val="0"/>
          <w:sz w:val="19"/>
        </w:rPr>
        <w:t>Observação sobre fontes:</w:t>
      </w:r>
    </w:p>
    <w:p>
      <w:pPr>
        <w:pStyle w:val="ListBullet"/>
      </w:pPr>
      <w:r>
        <w:rPr>
          <w:sz w:val="17"/>
        </w:rPr>
        <w:t>O quadro FIGO 2015 foi conferido com o texto original da diretriz (Ayres-de-Campos et al., 2015).</w:t>
      </w:r>
    </w:p>
    <w:p>
      <w:pPr>
        <w:pStyle w:val="ListBullet"/>
      </w:pPr>
      <w:r>
        <w:rPr>
          <w:sz w:val="17"/>
        </w:rPr>
        <w:t>Padrão sinusoidal: neste material, 2–5 ciclos/min, conforme o texto do capítulo; o texto original da FIGO 2015 descreve 3–5 ciclos/min.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M Sans" w:hAnsi="DM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