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2E1848"/>
          </w:tcPr>
          <w:p>
            <w:r>
              <w:rPr>
                <w:b/>
                <w:color w:val="E8782A"/>
                <w:sz w:val="17"/>
              </w:rPr>
              <w:t>SERENIDADE LAB · EDUCAÇÃO OBSTÉTRICA</w:t>
            </w:r>
          </w:p>
          <w:p>
            <w:r>
              <w:rPr>
                <w:rFonts w:ascii="Playfair Display" w:hAnsi="Playfair Display"/>
                <w:b/>
                <w:color w:val="FFFFFF"/>
                <w:sz w:val="44"/>
              </w:rPr>
              <w:t>Avaliação do bem-estar fetal – Cardiotocografia</w:t>
            </w:r>
          </w:p>
          <w:p>
            <w:r>
              <w:rPr>
                <w:color w:val="E6DDF0"/>
                <w:sz w:val="20"/>
              </w:rPr>
              <w:t>Cardiotocografia com Serenidade · Edição Siaparto + Carol Reis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2E1848"/>
          <w:sz w:val="18"/>
        </w:rPr>
        <w:t>RESUMO DE AULA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Profa. Caroline Reis · Ginecologista e Obstetra · CRM-MG 61402 · RQE 38120 · Instagram @carolinereisg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1. Resumo de poucas linhas</w:t>
      </w:r>
    </w:p>
    <w:p>
      <w:pPr>
        <w:spacing w:after="80"/>
      </w:pPr>
      <w:r>
        <w:rPr>
          <w:b w:val="0"/>
          <w:i w:val="0"/>
        </w:rPr>
        <w:t>A CTG reflete de forma indireta a função placentária e a integridade do sistema nervoso autônomo fetal, e só faz sentido interpretada no contexto clínico. Na prática: use CTG anteparto apenas nas indicações de risco (em baixo risco, não há evidência de benefício e o risco de falso-positivo é alto) e, no intraparto de baixo risco, prefira ausculta intermitente. Abandone "sofrimento fetal" em favor de "suspeita de hipóxia fetal". Diante de traçado suspeito ou patológico, identifique a causa, corrija conforme a fisiopatologia (sem O₂ de rotina e sem soro glicosado hipertônico, que não têm evidência), reavalie em janela curta e prepare o parto se não houver resposta. Padronize o sistema de classificação da unidade (FIGO, 5-tier etc.) e colha gasometria de cordão (arterial e venosa) na suspeita de hipóxia.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2. Pontos-chave</w:t>
      </w:r>
    </w:p>
    <w:p>
      <w:pPr>
        <w:pStyle w:val="ListBullet"/>
        <w:spacing w:after="40"/>
      </w:pPr>
      <w:r>
        <w:t>Evitar "sofrimento fetal", "asfixia ao nascimento" e "estado fetal não tranquilizador"; usar "suspeita de hipóxia fetal".</w:t>
      </w:r>
    </w:p>
    <w:p>
      <w:pPr>
        <w:pStyle w:val="ListBullet"/>
        <w:spacing w:after="40"/>
      </w:pPr>
      <w:r>
        <w:t>"Bradicardia" somente para redução da FCF por 10 minutos ou mais; reduções transitórias são "desacelerações".</w:t>
      </w:r>
    </w:p>
    <w:p>
      <w:pPr>
        <w:pStyle w:val="ListBullet"/>
        <w:spacing w:after="40"/>
      </w:pPr>
      <w:r>
        <w:t>Classificação DIP I, II e III foi substituída por desacelerações precoces, tardias, variáveis e prolongadas.</w:t>
      </w:r>
    </w:p>
    <w:p>
      <w:pPr>
        <w:pStyle w:val="ListBullet"/>
        <w:spacing w:after="40"/>
      </w:pPr>
      <w:r>
        <w:t>FCF basal normal: 110–160 bpm. Variabilidade normal: 5–25 bpm. Aceleração (&gt;32 sem): ≥15 bpm por ≥15 s e &lt;2 min.</w:t>
      </w:r>
    </w:p>
    <w:p>
      <w:pPr>
        <w:pStyle w:val="ListBullet"/>
        <w:spacing w:after="40"/>
      </w:pPr>
      <w:r>
        <w:t>Reatividade anteparto: ≥2 acelerações de ≥15 bpm por ≥15 s em 20 min (&lt;32 sem: ≥10 bpm por ≥10 s). Duração mínima 20–30 min, podendo estender até 90 min se atípico ou anormal.</w:t>
      </w:r>
    </w:p>
    <w:p>
      <w:pPr>
        <w:pStyle w:val="ListBullet"/>
        <w:spacing w:after="40"/>
      </w:pPr>
      <w:r>
        <w:t>Variabilidade moderada com acelerações torna improvável acidemia clinicamente relevante naquele momento.</w:t>
      </w:r>
    </w:p>
    <w:p>
      <w:pPr>
        <w:pStyle w:val="ListBullet"/>
        <w:spacing w:after="40"/>
      </w:pPr>
      <w:r>
        <w:t>Intraparto, a presença de acelerações não é obrigatória (diferença central em relação ao anteparto).</w:t>
      </w:r>
    </w:p>
    <w:p>
      <w:pPr>
        <w:pStyle w:val="ListBullet"/>
        <w:spacing w:after="40"/>
      </w:pPr>
      <w:r>
        <w:t>Sinusoidal verdadeiro é raro e emergência (anemia fetal grave/hipoxemia crítica); não confundir com o pseudossinusoidal, bem mais comum.</w:t>
      </w:r>
    </w:p>
    <w:p>
      <w:pPr>
        <w:pStyle w:val="ListBullet"/>
        <w:spacing w:after="40"/>
      </w:pPr>
      <w:r>
        <w:t>Sem evidência: O₂ de rotina em cateter nasal e soro glicosado hipertônico. O₂ suplementar só se hipoxemia materna (SpO₂ &lt;94%).</w:t>
      </w:r>
    </w:p>
    <w:p>
      <w:pPr>
        <w:pStyle w:val="ListBullet"/>
        <w:spacing w:after="40"/>
      </w:pPr>
      <w:r>
        <w:t>Gasometria de cordão: coletar logo após o nascimento e processar em até ~5 min; arterial e venosa. Acidose metabólica: pH &lt;7,0 e déficit de bases ≥12 mmol/L.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DEADB"/>
          </w:tcPr>
          <w:p>
            <w:r>
              <w:rPr>
                <w:b/>
                <w:color w:val="2E1848"/>
              </w:rPr>
              <w:t xml:space="preserve">Mensagem-chave: </w:t>
            </w:r>
            <w:r>
              <w:t>A CTG não diagnostica hipóxia isoladamente. O valor está em reconhecer o padrão, tratar a causa e reavaliar em tempo oportuno.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3. Temas trabalhados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708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Introdução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Histórico da CTG; bases da classificação FIGO 2015, SOGC 2023 e atualização ACOG 2025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Definições e terminologia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CTG vs. CTB/MAP; suspeita de hipóxia fetal; acidemia grave e acidose metabólica; gasometria de cordão; cardiotocógrafo, velocidade do papel, artefatos, armazenamento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Fisiologia da FCF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Quimiorreflexo periférico; estados comportamentais fetais 1F–4F; cycling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Indicações da 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Quadro por condição, início e periodicidade; vigilância integrada e equidade (gestantes negras, indígenas, homens trans e pessoas transmasculinas)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Elementos da CTG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Linha de base, variabilidade, padrões sinusoidais, acelerações, desacelerações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Sistematização, critério de reatividade, classificação SOGC 2023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Testes adjuntos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Teste de estresse por contrações, estímulo do escalpe fetal, CTG computadorizada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intraparto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Ausculta intermitente, classificação FIGO 2015, sistema 5-tier de Parer e Ikeda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Medidas corretivas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Estratégia de 4 passos (Eller e Esplin, 2020); quadro de correção por achado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Recomendações e orientações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Recomendações a profissionais; caixa de orientação à gestante/puérpera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anteparto (SOGC 2023),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243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72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Atípica</w:t>
            </w:r>
          </w:p>
        </w:tc>
        <w:tc>
          <w:tcPr>
            <w:tcW w:type="dxa" w:w="277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Anormal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100–109 bpm; &gt;160 bpm por &gt;30–80 min; linha ascendente; arritmia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&lt;100 bpm; &gt;160 bpm por &gt;80 min; instável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Moderada (6–25) ou mínima por &lt;40 min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Mínima (&lt;5) por 40–80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Mínima por &gt;80 min; acentuada (&gt;25) por &gt;10 min; sinusoidal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Acelerações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≥2 em janela de 40 min (máx. 80 min)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2 separadas por &gt;40 min em até 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&lt;2 em 80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Conduta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Avaliação adicional opcional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Avaliação adicional necessária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Ação urgente; pode ser necessário indicar nascimento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intraparto (FIGO 2015):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1984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Suspeito</w:t>
            </w:r>
          </w:p>
        </w:tc>
        <w:tc>
          <w:tcPr>
            <w:tcW w:type="dxa" w:w="3118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Patológico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Falta de ≥1 característica de normalidade, sem achado patológico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&lt;100 bpm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5–25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Reduzida; aumentada; sinusoidal*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(ver nota)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Desacelerações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repetitivas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Tardias ou prolongadas repetitivas por &gt;30 min (&gt;20 min se variabilidade reduzida); uma desaceleração &gt;5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Interpretação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hipóxia/acidose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Baixa probabilidade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Alta probabilidade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Manejo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Nenhuma intervenção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Corrigir causas reversíveis; monitorização próxima/adjuvantes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Ação imediata; agilizar o parto se não corrigir. Prolapso de cordão, rotura uterina, DPP: nascimento imediato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7"/>
        </w:rPr>
        <w:t>*Transcrição fiel do quadro do material de origem. Ver observação ao final do documento.</w:t>
      </w:r>
    </w:p>
    <w:p>
      <w:pPr>
        <w:spacing w:after="80"/>
      </w:pPr>
      <w:r>
        <w:rPr>
          <w:b/>
          <w:i w:val="0"/>
        </w:rPr>
        <w:t>Sistema 5-tier (Parer e Ikeda, 2007):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Cor</w:t>
            </w:r>
          </w:p>
        </w:tc>
        <w:tc>
          <w:tcPr>
            <w:tcW w:type="dxa" w:w="7937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Significado e conduta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Verde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Bem-estar, sem acidemia; sem intervenção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Azul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Sem acidemia, risco baixo de piora; medidas conservadoras e preparo da equipe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Amarelo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Sem acidemia central; hipóxia intermitente, risco moderado; otimizar medidas intraútero e vigiar de perto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Laranja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Risco alto de descompensação; atuar ativamente e preparar parto urgente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Vermelho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Asfixia significativa atual ou iminente; parto imediato, sem estabilização adicional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9"/>
        </w:rPr>
        <w:t>Uso: Passo 1 variabilidade (moderada = triângulo superior; reduzida = inferior; acentuada = amarelo; sinusoidal = vermelho; ausente com linha de base normal = laranja, demais = vermelho). Passo 2 linha de base (linha da tabela). Passo 3 desacelerações (coluna).</w:t>
      </w:r>
    </w:p>
    <w:p>
      <w:pPr>
        <w:spacing w:after="80"/>
      </w:pPr>
      <w:r>
        <w:rPr>
          <w:b/>
          <w:i w:val="0"/>
        </w:rPr>
        <w:t>Medidas corretivas por achado: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Achado</w:t>
            </w:r>
          </w:p>
        </w:tc>
        <w:tc>
          <w:tcPr>
            <w:tcW w:type="dxa" w:w="2835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Hipótese</w:t>
            </w:r>
          </w:p>
        </w:tc>
        <w:tc>
          <w:tcPr>
            <w:tcW w:type="dxa" w:w="4252"/>
            <w:shd w:val="clear" w:color="auto" w:fill="2E1848"/>
          </w:tcPr>
          <w:p>
            <w:r/>
            <w:r>
              <w:rPr>
                <w:b/>
                <w:color w:val="FFFFFF"/>
                <w:sz w:val="19"/>
              </w:rPr>
              <w:t>Conduta imediata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Desacelerações recorrentes ± variabilidade reduzida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Insuficiência útero-placentária; taquissistolia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Reduzir/cessar ocitocina; cessar ou alternar puxos; tocolítico (salbutamol, terbutalina)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Compressão funicular repetida; oligoidrâmnio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Compressão de cordão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Reposicionar a gestante; amnioinfusão transcervical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Hipóxia aguda súbita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Hipotensão (ex.: analgesia), causa mecânica; prolapso, DPP maciço, rotura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Volume ou simpaticomimético se hipotensão; se irreversível, ultimar o parto; O₂ só se SpO₂ &lt;94%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Taquicardia &gt;160–180 + variabilidade mínima e/ou desacelerações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Corioamnionite, sepse, hipertermia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Antitérmico, antibiótico se critérios, hidratação EV; reavaliar via de parto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Sinusoidal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Anemia fetal grave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Emergência; preparar interrupção imediata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4. Atividade de fixação</w:t>
      </w:r>
    </w:p>
    <w:p>
      <w:pPr>
        <w:spacing w:after="80"/>
      </w:pPr>
      <w:r>
        <w:rPr>
          <w:b w:val="0"/>
          <w:i/>
          <w:sz w:val="19"/>
        </w:rPr>
        <w:t>Questão fechada (o tema tem critérios objetivos de classificação)</w:t>
      </w:r>
    </w:p>
    <w:p>
      <w:pPr>
        <w:spacing w:after="80"/>
      </w:pPr>
      <w:r>
        <w:rPr>
          <w:b w:val="0"/>
          <w:i w:val="0"/>
        </w:rPr>
        <w:t>Segundo a classificação FIGO 2015 para CTG intraparto, qual dos achados abaixo, isoladamente, caracteriza traçado PATOLÓGICO?</w:t>
      </w:r>
    </w:p>
    <w:p>
      <w:pPr>
        <w:spacing w:after="20"/>
      </w:pPr>
      <w:r>
        <w:rPr>
          <w:b w:val="0"/>
          <w:i w:val="0"/>
        </w:rPr>
        <w:t>A) Variabilidade reduzida, com linha de base de 130 bpm</w:t>
      </w:r>
    </w:p>
    <w:p>
      <w:pPr>
        <w:spacing w:after="20"/>
      </w:pPr>
      <w:r>
        <w:rPr>
          <w:b w:val="0"/>
          <w:i w:val="0"/>
        </w:rPr>
        <w:t>B) Linha de base &lt;100 bpm</w:t>
      </w:r>
    </w:p>
    <w:p>
      <w:pPr>
        <w:spacing w:after="20"/>
      </w:pPr>
      <w:r>
        <w:rPr>
          <w:b w:val="0"/>
          <w:i w:val="0"/>
        </w:rPr>
        <w:t>C) Desaceleração variável isolada, não repetitiva</w:t>
      </w:r>
    </w:p>
    <w:p>
      <w:pPr>
        <w:spacing w:after="20"/>
      </w:pPr>
      <w:r>
        <w:rPr>
          <w:b w:val="0"/>
          <w:i w:val="0"/>
        </w:rPr>
        <w:t>D) Ausência de acelerações transitórias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Gabarito: B. Pelo Quadro 7 do material, linha de base &lt;100 bpm é critério de traçado patológico. Variabilidade reduzida enquadra-se como suspeita; desaceleração variável isolada não é repetitiva; a ausência de acelerações não é exigida no intraparto.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5. Checklist final</w:t>
      </w:r>
    </w:p>
    <w:p>
      <w:pPr>
        <w:spacing w:after="40"/>
      </w:pPr>
      <w:r>
        <w:rPr>
          <w:b/>
          <w:i w:val="0"/>
          <w:color w:val="2E1848"/>
        </w:rPr>
        <w:t>Conceitos teóricos</w:t>
      </w:r>
    </w:p>
    <w:p>
      <w:pPr>
        <w:spacing w:after="20"/>
      </w:pPr>
      <w:r>
        <w:rPr>
          <w:b w:val="0"/>
          <w:i w:val="0"/>
        </w:rPr>
        <w:t>☐  Sei explicar por que usar "suspeita de hipóxia fetal" e diferencio acidemia grave de acidose metabólica neonatal</w:t>
      </w:r>
    </w:p>
    <w:p>
      <w:pPr>
        <w:spacing w:after="20"/>
      </w:pPr>
      <w:r>
        <w:rPr>
          <w:b w:val="0"/>
          <w:i w:val="0"/>
        </w:rPr>
        <w:t>☐  Descrevo o quimiorreflexo periférico e por que a maioria das desacelerações transitórias não indica acidose</w:t>
      </w:r>
    </w:p>
    <w:p>
      <w:pPr>
        <w:spacing w:after="20"/>
      </w:pPr>
      <w:r>
        <w:rPr>
          <w:b w:val="0"/>
          <w:i w:val="0"/>
        </w:rPr>
        <w:t>☐  Reconheço os estados 1F a 4F e o cycling como sinal de bem-estar</w:t>
      </w:r>
    </w:p>
    <w:p>
      <w:pPr>
        <w:spacing w:after="20"/>
      </w:pPr>
      <w:r>
        <w:rPr>
          <w:b w:val="0"/>
          <w:i w:val="0"/>
        </w:rPr>
        <w:t>☐  Sei que a CTG anteparto não é indicada em baixo risco</w:t>
      </w:r>
    </w:p>
    <w:p>
      <w:pPr>
        <w:spacing w:after="40"/>
      </w:pPr>
      <w:r>
        <w:rPr>
          <w:b/>
          <w:i w:val="0"/>
          <w:color w:val="2E1848"/>
        </w:rPr>
        <w:t>Classificação/critérios</w:t>
      </w:r>
    </w:p>
    <w:p>
      <w:pPr>
        <w:spacing w:after="20"/>
      </w:pPr>
      <w:r>
        <w:rPr>
          <w:b w:val="0"/>
          <w:i w:val="0"/>
        </w:rPr>
        <w:t>☐  Defino linha de base, variabilidade, aceleração e os quatro tipos de desaceleração</w:t>
      </w:r>
    </w:p>
    <w:p>
      <w:pPr>
        <w:spacing w:after="20"/>
      </w:pPr>
      <w:r>
        <w:rPr>
          <w:b w:val="0"/>
          <w:i w:val="0"/>
        </w:rPr>
        <w:t>☐  Diferencio sinusoidal, sinusoidal atípico e pseudossinusoidal</w:t>
      </w:r>
    </w:p>
    <w:p>
      <w:pPr>
        <w:spacing w:after="20"/>
      </w:pPr>
      <w:r>
        <w:rPr>
          <w:b w:val="0"/>
          <w:i w:val="0"/>
        </w:rPr>
        <w:t>☐  Aplico o critério de reatividade anteparto e a classificação SOGC 2023</w:t>
      </w:r>
    </w:p>
    <w:p>
      <w:pPr>
        <w:spacing w:after="20"/>
      </w:pPr>
      <w:r>
        <w:rPr>
          <w:b w:val="0"/>
          <w:i w:val="0"/>
        </w:rPr>
        <w:t>☐  Classifico traçados intraparto pela FIGO 2015 e pelo 5-tier</w:t>
      </w:r>
    </w:p>
    <w:p>
      <w:pPr>
        <w:spacing w:after="40"/>
      </w:pPr>
      <w:r>
        <w:rPr>
          <w:b/>
          <w:i w:val="0"/>
          <w:color w:val="2E1848"/>
        </w:rPr>
        <w:t>Conduta clínica</w:t>
      </w:r>
    </w:p>
    <w:p>
      <w:pPr>
        <w:spacing w:after="20"/>
      </w:pPr>
      <w:r>
        <w:rPr>
          <w:b w:val="0"/>
          <w:i w:val="0"/>
        </w:rPr>
        <w:t>☐  Sei as indicações, o início e a periodicidade da CTG anteparto por condição</w:t>
      </w:r>
    </w:p>
    <w:p>
      <w:pPr>
        <w:spacing w:after="20"/>
      </w:pPr>
      <w:r>
        <w:rPr>
          <w:b w:val="0"/>
          <w:i w:val="0"/>
        </w:rPr>
        <w:t>☐  Aplico os 4 passos: causa e eventos graves, medidas por etiologia, reavaliação, preparo do parto</w:t>
      </w:r>
    </w:p>
    <w:p>
      <w:pPr>
        <w:spacing w:after="20"/>
      </w:pPr>
      <w:r>
        <w:rPr>
          <w:b w:val="0"/>
          <w:i w:val="0"/>
        </w:rPr>
        <w:t>☐  Não uso O₂ de rotina nem soro glicosado hipertônico; sei a única indicação de O₂</w:t>
      </w:r>
    </w:p>
    <w:p>
      <w:pPr>
        <w:spacing w:after="20"/>
      </w:pPr>
      <w:r>
        <w:rPr>
          <w:b w:val="0"/>
          <w:i w:val="0"/>
        </w:rPr>
        <w:t>☐  Defino o intervalo de reavaliação (15–30 min no 1º estágio; 5–15 min no 2º)</w:t>
      </w:r>
    </w:p>
    <w:p>
      <w:pPr>
        <w:spacing w:after="40"/>
      </w:pPr>
      <w:r>
        <w:rPr>
          <w:b/>
          <w:i w:val="0"/>
          <w:color w:val="2E1848"/>
        </w:rPr>
        <w:t>Habilidade técnica/prática</w:t>
      </w:r>
    </w:p>
    <w:p>
      <w:pPr>
        <w:spacing w:after="20"/>
      </w:pPr>
      <w:r>
        <w:rPr>
          <w:b w:val="0"/>
          <w:i w:val="0"/>
        </w:rPr>
        <w:t>☐  Checo o pulso materno para excluir registro da FCF materna e reconheço half/double-counting</w:t>
      </w:r>
    </w:p>
    <w:p>
      <w:pPr>
        <w:spacing w:after="20"/>
      </w:pPr>
      <w:r>
        <w:rPr>
          <w:b w:val="0"/>
          <w:i w:val="0"/>
        </w:rPr>
        <w:t>☐  Realizo ausculta intermitente por 60 s, após contrações, nos intervalos corretos</w:t>
      </w:r>
    </w:p>
    <w:p>
      <w:pPr>
        <w:spacing w:after="20"/>
      </w:pPr>
      <w:r>
        <w:rPr>
          <w:b w:val="0"/>
          <w:i w:val="0"/>
        </w:rPr>
        <w:t>☐  Colho sangue arterial e venoso do cordão e processo rapidamente</w:t>
      </w:r>
    </w:p>
    <w:p>
      <w:pPr>
        <w:spacing w:after="20"/>
      </w:pPr>
      <w:r>
        <w:rPr>
          <w:b w:val="0"/>
          <w:i w:val="0"/>
        </w:rPr>
        <w:t>☐  Documento e armazeno o traçado no prontuário (atenção à impressão térmica)</w:t>
      </w: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  <w:pBdr>
          <w:bottom w:val="single" w:sz="8" w:space="2" w:color="E8782A"/>
        </w:pBdr>
      </w:pPr>
      <w:r>
        <w:rPr>
          <w:rFonts w:ascii="Playfair Display" w:hAnsi="Playfair Display"/>
          <w:b/>
          <w:i w:val="0"/>
          <w:color w:val="2E1848"/>
          <w:sz w:val="30"/>
        </w:rPr>
        <w:t>6. Referências bibliográficas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Inappropriate use of the terms fetal distress and birth asphyxia. Obstet Gynecol. 2005;106(6):1469-1470.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Intrapartum fetal heart rate monitoring: interpretation and management. Clinical Practice Guideline n. 10. 2025.</w:t>
      </w:r>
    </w:p>
    <w:p>
      <w:pPr>
        <w:spacing w:after="40"/>
      </w:pPr>
      <w:r>
        <w:rPr>
          <w:b w:val="0"/>
          <w:i w:val="0"/>
          <w:sz w:val="17"/>
        </w:rPr>
        <w:t>ACOG Committee on Obstetric Practice; SMFM. Indications for outpatient antenatal fetal surveillance. Committee Opinion No. 828. Obstet Gynecol. 2021;137(6).</w:t>
      </w:r>
    </w:p>
    <w:p>
      <w:pPr>
        <w:spacing w:after="40"/>
      </w:pPr>
      <w:r>
        <w:rPr>
          <w:b w:val="0"/>
          <w:i w:val="0"/>
          <w:sz w:val="17"/>
        </w:rPr>
        <w:t>Amorim-Costa C, et al. Longitudinal evaluation of computerized cardiotocographic parameters throughout pregnancy in normal fetuses: a prospective cohort study. Acta Obstet Gynecol Scand. 2016;95(10):1143-1152.</w:t>
      </w:r>
    </w:p>
    <w:p>
      <w:pPr>
        <w:spacing w:after="40"/>
      </w:pPr>
      <w:r>
        <w:rPr>
          <w:b w:val="0"/>
          <w:i w:val="0"/>
          <w:sz w:val="17"/>
        </w:rPr>
        <w:t>Anteby M, et al. Interpreting fetal heart rate monitoring in undiagnosed severe fetal anemia – rethinking the sinusoidal pattern. Am J Obstet Gynecol. 2025;233(5):e197-e199.</w:t>
      </w:r>
    </w:p>
    <w:p>
      <w:pPr>
        <w:spacing w:after="40"/>
      </w:pPr>
      <w:r>
        <w:rPr>
          <w:b w:val="0"/>
          <w:i w:val="0"/>
          <w:sz w:val="17"/>
        </w:rPr>
        <w:t>Arnold JJ, Gawrys BL. Intrapartum fetal monitoring. Am Fam Physician. 2020;102(3):158-167.</w:t>
      </w:r>
    </w:p>
    <w:p>
      <w:pPr>
        <w:spacing w:after="40"/>
      </w:pPr>
      <w:r>
        <w:rPr>
          <w:b w:val="0"/>
          <w:i w:val="0"/>
          <w:sz w:val="17"/>
        </w:rPr>
        <w:t>Ayres-de-Campos D, et al. FIGO consensus guidelines on intrapartum fetal monitoring: Cardiotocography. Int J Gynaecol Obstet. 2015;131(1):13.</w:t>
      </w:r>
    </w:p>
    <w:p>
      <w:pPr>
        <w:spacing w:after="40"/>
      </w:pPr>
      <w:r>
        <w:rPr>
          <w:b w:val="0"/>
          <w:i w:val="0"/>
          <w:sz w:val="17"/>
        </w:rPr>
        <w:t>Ayres-de-Campos D, Nogueira-Reis Z. Technical characteristics of current cardiotocographic monitors. Best Pract Res Clin Obstet Gynaecol. 2016;30:22-32.</w:t>
      </w:r>
    </w:p>
    <w:p>
      <w:pPr>
        <w:spacing w:after="40"/>
      </w:pPr>
      <w:r>
        <w:rPr>
          <w:b w:val="0"/>
          <w:i w:val="0"/>
          <w:sz w:val="17"/>
        </w:rPr>
        <w:t>Eller AG, Esplin MS. Management of the Category II fetal heart rate tracing. Clin Obstet Gynecol. 2020;63(3):659-667.</w:t>
      </w:r>
    </w:p>
    <w:p>
      <w:pPr>
        <w:spacing w:after="40"/>
      </w:pPr>
      <w:r>
        <w:rPr>
          <w:b w:val="0"/>
          <w:i w:val="0"/>
          <w:sz w:val="17"/>
        </w:rPr>
        <w:t>Fernández-Basanta S, et al. Conception, pregnancy, and childbirth from the perspective of transgender men: a meta-ethnography. Women Birth. 2024;37(5):101659.</w:t>
      </w:r>
    </w:p>
    <w:p>
      <w:pPr>
        <w:spacing w:after="40"/>
      </w:pPr>
      <w:r>
        <w:rPr>
          <w:b w:val="0"/>
          <w:i w:val="0"/>
          <w:sz w:val="17"/>
        </w:rPr>
        <w:t>Gamboa SM, et al. Diagnostic accuracy of the FIGO and the 5-tier fetal heart rate classification systems in the detection of neonatal acidemia. Am J Perinatol. 2017;34(5):508-514.</w:t>
      </w:r>
    </w:p>
    <w:p>
      <w:pPr>
        <w:spacing w:after="40"/>
      </w:pPr>
      <w:r>
        <w:rPr>
          <w:b w:val="0"/>
          <w:i w:val="0"/>
          <w:sz w:val="17"/>
        </w:rPr>
        <w:t>Gibb D, Arulkumaran S. Fetal Monitoring in Practice. 4th ed. London: Thieme; 2018.</w:t>
      </w:r>
    </w:p>
    <w:p>
      <w:pPr>
        <w:spacing w:after="40"/>
      </w:pPr>
      <w:r>
        <w:rPr>
          <w:b w:val="0"/>
          <w:i w:val="0"/>
          <w:sz w:val="17"/>
        </w:rPr>
        <w:t>Gonçalves CR, Pontelo TM, Campos GM. Monitoração eletrônica fetal intraparto: interpretação e manejo atual. In: PROAGO, Ciclo 20. Porto Alegre: Artmed Panamericana; 2023. p. 9-58.</w:t>
      </w:r>
    </w:p>
    <w:p>
      <w:pPr>
        <w:spacing w:after="40"/>
      </w:pPr>
      <w:r>
        <w:rPr>
          <w:b w:val="0"/>
          <w:i w:val="0"/>
          <w:sz w:val="17"/>
        </w:rPr>
        <w:t>Grivell RM, et al. Antenatal cardiotocography for fetal assessment. Cochrane Database Syst Rev. 2015;(9):CD007863.</w:t>
      </w:r>
    </w:p>
    <w:p>
      <w:pPr>
        <w:spacing w:after="40"/>
      </w:pPr>
      <w:r>
        <w:rPr>
          <w:b w:val="0"/>
          <w:i w:val="0"/>
          <w:sz w:val="17"/>
        </w:rPr>
        <w:t>Gumley SJ, Humphrey MD. Sinusoidal antenatal fetal heart rate patterns. Aust N Z J Obstet Gynaecol. 1985;25(4):273-281.</w:t>
      </w:r>
    </w:p>
    <w:p>
      <w:pPr>
        <w:spacing w:after="40"/>
      </w:pPr>
      <w:r>
        <w:rPr>
          <w:b w:val="0"/>
          <w:i w:val="0"/>
          <w:sz w:val="17"/>
        </w:rPr>
        <w:t>Hofmeyr GJ, Lawrie TA. Amnioinfusion for potential or suspected umbilical cord compression in labour. Cochrane Database Syst Rev. 2012;(1).</w:t>
      </w:r>
    </w:p>
    <w:p>
      <w:pPr>
        <w:spacing w:after="40"/>
      </w:pPr>
      <w:r>
        <w:rPr>
          <w:b w:val="0"/>
          <w:i w:val="0"/>
          <w:sz w:val="17"/>
        </w:rPr>
        <w:t>Hon EH, Quilligan EJ. Electronic evaluation of fetal heart rate. Clin Obstet Gynecol. 1968;11(1):145.</w:t>
      </w:r>
    </w:p>
    <w:p>
      <w:pPr>
        <w:spacing w:after="40"/>
      </w:pPr>
      <w:r>
        <w:rPr>
          <w:b w:val="0"/>
          <w:i w:val="0"/>
          <w:sz w:val="17"/>
        </w:rPr>
        <w:t>Lauersen NH, Hochberg HM, George ME. Microfilm storage of fetal monitoring records: a practical solution. Obstet Gynecol. 1978;51(5):632-634.</w:t>
      </w:r>
    </w:p>
    <w:p>
      <w:pPr>
        <w:spacing w:after="40"/>
      </w:pPr>
      <w:r>
        <w:rPr>
          <w:b w:val="0"/>
          <w:i w:val="0"/>
          <w:sz w:val="17"/>
        </w:rPr>
        <w:t>Lear CA, et al. The myths and physiology surrounding intrapartum decelerations: the critical role of the peripheral chemoreflex. J Physiol. 2016;594(17).</w:t>
      </w:r>
    </w:p>
    <w:p>
      <w:pPr>
        <w:spacing w:after="40"/>
      </w:pPr>
      <w:r>
        <w:rPr>
          <w:b w:val="0"/>
          <w:i w:val="0"/>
          <w:sz w:val="17"/>
        </w:rPr>
        <w:t>Lear CA, et al. The peripheral chemoreflex: indefatigable guardian of fetal physiological adaptation to labour. J Physiol. 2018;596(23):5611.</w:t>
      </w:r>
    </w:p>
    <w:p>
      <w:pPr>
        <w:spacing w:after="40"/>
      </w:pPr>
      <w:r>
        <w:rPr>
          <w:b w:val="0"/>
          <w:i w:val="0"/>
          <w:sz w:val="17"/>
        </w:rPr>
        <w:t>Maeda K. History of fetal heart rate monitoring. Ultrasound Rev Obstet Gynecol. 2002;2(3):129.</w:t>
      </w:r>
    </w:p>
    <w:p>
      <w:pPr>
        <w:spacing w:after="40"/>
      </w:pPr>
      <w:r>
        <w:rPr>
          <w:b w:val="0"/>
          <w:i w:val="0"/>
          <w:sz w:val="17"/>
        </w:rPr>
        <w:t>Martis R, et al. Intermittent auscultation (IA) of fetal heart rate in labour for fetal well-being. Cochrane Database Syst Rev. 2017;2:CD008680.</w:t>
      </w:r>
    </w:p>
    <w:p>
      <w:pPr>
        <w:spacing w:after="40"/>
      </w:pPr>
      <w:r>
        <w:rPr>
          <w:b w:val="0"/>
          <w:i w:val="0"/>
          <w:sz w:val="17"/>
        </w:rPr>
        <w:t>National Institute for Health and Care Excellence (NICE). Antenatal care. NICE guideline NG201. London: NICE; 2021.</w:t>
      </w:r>
    </w:p>
    <w:p>
      <w:pPr>
        <w:spacing w:after="40"/>
      </w:pPr>
      <w:r>
        <w:rPr>
          <w:b w:val="0"/>
          <w:i w:val="0"/>
          <w:sz w:val="17"/>
        </w:rPr>
        <w:t>NICHD Research Planning Workshop. Electronic fetal heart rate monitoring: research guidelines for interpretation. Am J Obstet Gynecol. 1997;177(6):1385-1390.</w:t>
      </w:r>
    </w:p>
    <w:p>
      <w:pPr>
        <w:spacing w:after="40"/>
      </w:pPr>
      <w:r>
        <w:rPr>
          <w:b w:val="0"/>
          <w:i w:val="0"/>
          <w:sz w:val="17"/>
        </w:rPr>
        <w:t>Nijhuis JG, et al. Are there behavioural states in the human fetus? Early Hum Dev. 1982;6(2):177-195.</w:t>
      </w:r>
    </w:p>
    <w:p>
      <w:pPr>
        <w:spacing w:after="40"/>
      </w:pPr>
      <w:r>
        <w:rPr>
          <w:b w:val="0"/>
          <w:i w:val="0"/>
          <w:sz w:val="17"/>
        </w:rPr>
        <w:t>Niles KM, et al. Guideline No. 441: Antenatal fetal health surveillance. J Obstet Gynaecol Can. 2023;45(9):665-677.</w:t>
      </w:r>
    </w:p>
    <w:p>
      <w:pPr>
        <w:spacing w:after="40"/>
      </w:pPr>
      <w:r>
        <w:rPr>
          <w:b w:val="0"/>
          <w:i w:val="0"/>
          <w:sz w:val="17"/>
        </w:rPr>
        <w:t>Nunes I, et al. Prolonged saltatory fetal heart rate pattern leading to newborn metabolic acidosis. Clin Exp Obstet Gynecol. 2014;41(5):507-511.</w:t>
      </w:r>
    </w:p>
    <w:p>
      <w:pPr>
        <w:spacing w:after="40"/>
      </w:pPr>
      <w:r>
        <w:rPr>
          <w:b w:val="0"/>
          <w:i w:val="0"/>
          <w:sz w:val="17"/>
        </w:rPr>
        <w:t>Nurani R, et al. Misidentification of maternal heart rate as fetal on cardiotocography during the second stage of labor: the role of the fetal electrocardiograph. Acta Obstet Gynecol Scand. 2012;91(12):1428.</w:t>
      </w:r>
    </w:p>
    <w:p>
      <w:pPr>
        <w:spacing w:after="40"/>
      </w:pPr>
      <w:r>
        <w:rPr>
          <w:b w:val="0"/>
          <w:i w:val="0"/>
          <w:sz w:val="17"/>
        </w:rPr>
        <w:t>Olofsson P. Umbilical cord pH, blood gases, and lactate at birth: normal values, interpretation, and clinical utility. Am J Obstet Gynecol. 2023;228(5S):S1222-S1240.</w:t>
      </w:r>
    </w:p>
    <w:p>
      <w:pPr>
        <w:spacing w:after="40"/>
      </w:pPr>
      <w:r>
        <w:rPr>
          <w:b w:val="0"/>
          <w:i w:val="0"/>
          <w:sz w:val="17"/>
        </w:rPr>
        <w:t>Parer JT, Ikeda T. A framework for standardized management of intrapartum fetal heart rate patterns. Am J Obstet Gynecol. 2007;197(1):26.e1-26.e6.</w:t>
      </w:r>
    </w:p>
    <w:p>
      <w:pPr>
        <w:spacing w:after="40"/>
      </w:pPr>
      <w:r>
        <w:rPr>
          <w:b w:val="0"/>
          <w:i w:val="0"/>
          <w:sz w:val="17"/>
        </w:rPr>
        <w:t>Pozo CZ, et al. Diagnostic capacity and interobserver variability in FIGO, ACOG, NICE and Chandraharan cardiotocographic guidelines to predict neonatal acidemia. J Matern Fetal Neonatal Med. 2021;35(25):8498.</w:t>
      </w:r>
    </w:p>
    <w:p>
      <w:pPr>
        <w:spacing w:after="40"/>
      </w:pPr>
      <w:r>
        <w:rPr>
          <w:b w:val="0"/>
          <w:i w:val="0"/>
          <w:sz w:val="17"/>
        </w:rPr>
        <w:t>Raghuraman N, et al. The effect of intrapartum oxygen supplementation on category II fetal monitoring. Am J Obstet Gynecol. 2020;223(6):905.e1.</w:t>
      </w:r>
    </w:p>
    <w:p>
      <w:pPr>
        <w:spacing w:after="40"/>
      </w:pPr>
      <w:r>
        <w:rPr>
          <w:b w:val="0"/>
          <w:i w:val="0"/>
          <w:sz w:val="17"/>
        </w:rPr>
        <w:t>Raghuraman N. Response to Category II tracings: does anything help? Semin Perinatol. 2019:151217.</w:t>
      </w:r>
    </w:p>
    <w:p>
      <w:pPr>
        <w:spacing w:after="40"/>
      </w:pPr>
      <w:r>
        <w:rPr>
          <w:b w:val="0"/>
          <w:i w:val="0"/>
          <w:sz w:val="17"/>
        </w:rPr>
        <w:t>Schiermeier S, et al. Fetal assessment in pregnancy (indication and methodology for fetal monitoring in a low-risk population). Geburtshilfe Frauenheilkd. 2023;83(8):996-1016.</w:t>
      </w:r>
    </w:p>
    <w:p>
      <w:pPr>
        <w:spacing w:after="40"/>
      </w:pPr>
      <w:r>
        <w:rPr>
          <w:b w:val="0"/>
          <w:i w:val="0"/>
          <w:sz w:val="17"/>
        </w:rPr>
        <w:t>Silva AM, et al. The role of prenatal care in fetal and infant development in Brazil: a narrative review. Healthcare (Basel). 2025;13(19):2414.</w:t>
      </w:r>
    </w:p>
    <w:p>
      <w:pPr>
        <w:spacing w:after="40"/>
      </w:pPr>
      <w:r>
        <w:rPr>
          <w:b w:val="0"/>
          <w:i w:val="0"/>
          <w:sz w:val="17"/>
        </w:rPr>
        <w:t>Society for Maternal-Fetal Medicine; Martins JG, Biggio JR, Abuhamad A. SMFM Consult Series #52: Diagnosis and management of fetal growth restriction. Am J Obstet Gynecol. 2020;223(4):B2-B17.</w:t>
      </w:r>
    </w:p>
    <w:p>
      <w:pPr>
        <w:spacing w:after="40"/>
      </w:pPr>
      <w:r>
        <w:rPr>
          <w:b w:val="0"/>
          <w:i w:val="0"/>
          <w:sz w:val="17"/>
        </w:rPr>
        <w:t>Tarvonen MJ, et al. Increased variability of fetal heart rate during labour: a review of preclinical and clinical studies. BJOG. 2022;129(12):2070-2081.</w:t>
      </w:r>
    </w:p>
    <w:p>
      <w:pPr>
        <w:spacing w:after="40"/>
      </w:pPr>
      <w:r>
        <w:rPr>
          <w:b w:val="0"/>
          <w:i w:val="0"/>
          <w:sz w:val="17"/>
        </w:rPr>
        <w:t>Troha N, et al. Comparison of four intrapartum cardiotocography classifications for predicting neonatal acidemia at birth. J Pregnancy. 2023;2023:5853889.</w:t>
      </w:r>
    </w:p>
    <w:p>
      <w:pPr>
        <w:spacing w:after="40"/>
      </w:pPr>
      <w:r>
        <w:rPr>
          <w:b w:val="0"/>
          <w:i w:val="0"/>
          <w:sz w:val="17"/>
        </w:rPr>
        <w:t>Vayssière C, et al. European Association of Perinatal Medicine (EAPM) position statement: use of appropriate terminology for situations related to inadequate fetal oxygenation in labor. Eur J Obstet Gynecol Reprod Biol. 2024;294:55-57.</w:t>
      </w:r>
    </w:p>
    <w:p>
      <w:pPr>
        <w:spacing w:after="40"/>
      </w:pPr>
      <w:r>
        <w:rPr>
          <w:b w:val="0"/>
          <w:i w:val="0"/>
          <w:sz w:val="17"/>
        </w:rPr>
        <w:t>Visser GH, et al. Diurnal and other cyclic variations in human fetal heart rate near term. Am J Obstet Gynecol. 1982;142(5):535-544.</w:t>
      </w:r>
    </w:p>
    <w:p>
      <w:pPr>
        <w:spacing w:after="40"/>
      </w:pPr>
      <w:r>
        <w:rPr>
          <w:b w:val="0"/>
          <w:i w:val="0"/>
          <w:sz w:val="17"/>
        </w:rPr>
        <w:t>Wolf H, et al. Computerized fetal heart rate analysis in early preterm fetal growth restriction. Ultrasound Obstet Gynecol. 2020;56(1):51-60.</w:t>
      </w:r>
    </w:p>
    <w:p>
      <w:pPr>
        <w:spacing w:after="40"/>
      </w:pPr>
      <w:r>
        <w:rPr>
          <w:b w:val="0"/>
          <w:i w:val="0"/>
          <w:sz w:val="17"/>
        </w:rPr>
        <w:t>Yambasu S, et al. Digital foetal scalp stimulation versus foetal blood sampling to assess foetal well-being in labour: a multicentre randomised controlled trial. BJOG. 2025;132(5):557-564.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Observações para revisão (pontos do material de origem que merecem conferência):</w:t>
      </w:r>
    </w:p>
    <w:p>
      <w:pPr>
        <w:pStyle w:val="ListBullet"/>
      </w:pPr>
      <w:r>
        <w:rPr>
          <w:sz w:val="17"/>
        </w:rPr>
        <w:t>Quadro 7 (FIGO): a linha "Variabilidade" lista reduzida/aumentada/sinusoidal sob "Suspeito" e deixa o patológico em branco; na FIGO 2015 original, variabilidade ausente e sinusoidal constam como patológicos. Confira com a fonte.</w:t>
      </w:r>
    </w:p>
    <w:p>
      <w:pPr>
        <w:pStyle w:val="ListBullet"/>
      </w:pPr>
      <w:r>
        <w:rPr>
          <w:sz w:val="17"/>
        </w:rPr>
        <w:t>Variabilidade normal aparece como 5–25 bpm no texto e como moderada 6–25 bpm no quadro SOGC.</w:t>
      </w:r>
    </w:p>
    <w:p>
      <w:pPr>
        <w:pStyle w:val="ListBullet"/>
      </w:pPr>
      <w:r>
        <w:rPr>
          <w:sz w:val="17"/>
        </w:rPr>
        <w:t>Desaceleração prolongada: &gt;3 min no texto (FIGO) e ≥2 min no quadro SOGC e no ACOG 2025.</w:t>
      </w:r>
    </w:p>
    <w:p>
      <w:pPr>
        <w:pStyle w:val="ListBullet"/>
      </w:pPr>
      <w:r>
        <w:rPr>
          <w:sz w:val="17"/>
        </w:rPr>
        <w:t>Padrão sinusoidal: 2–5 ciclos/min no texto e 3–5 ciclos/min no quadro de medidas corretivas.</w:t>
      </w:r>
    </w:p>
    <w:p>
      <w:pPr>
        <w:pStyle w:val="ListBullet"/>
      </w:pPr>
      <w:r>
        <w:rPr>
          <w:sz w:val="17"/>
        </w:rPr>
        <w:t>Acidose metabólica: texto cita "déficit de bases de 12 mmol/L" (interpretado aqui como ≥12). Confira o limiar na fonte.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M Sans" w:hAnsi="DM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