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台灣證券業專利權對效率與市場力量之影響</w:t>
      </w:r>
    </w:p>
    <w:p>
      <w:pPr>
        <w:spacing w:after="400"/>
        <w:jc w:val="center"/>
      </w:pPr>
      <w:r>
        <w:rPr>
          <w:rFonts w:ascii="微軟正黑體" w:cs="微軟正黑體" w:eastAsia="微軟正黑體" w:hAnsi="微軟正黑體"/>
          <w:color w:val="595959"/>
          <w:sz w:val="26"/>
          <w:szCs w:val="26"/>
        </w:rPr>
        <w:t xml:space="preserve">結論與研究發現整理</w:t>
      </w:r>
    </w:p>
    <w:p>
      <w:pPr>
        <w:pStyle w:val="Heading1"/>
        <w:spacing w:after="200" w:before="400"/>
      </w:pPr>
      <w:r>
        <w:t xml:space="preserve">一、核心研究發現</w:t>
      </w:r>
    </w:p>
    <w:p>
      <w:pPr>
        <w:pStyle w:val="Heading2"/>
        <w:spacing w:after="150" w:before="300"/>
      </w:pPr>
      <w:r>
        <w:t xml:space="preserve">1.1 效率產出變數的選擇影響結果</w:t>
      </w: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本研究在修改稿過程中，依審稿人意見將成本效率SFA模型的產出變數由總資產改為總收入，兩種規格下專利對效率的影響存在顯著差異，如下表所示：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效率產出變數</w:t>
            </w:r>
          </w:p>
        </w:tc>
        <w:tc>
          <w:tcPr>
            <w:tcW w:type="dxa" w:w="1728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樣本數</w:t>
            </w:r>
          </w:p>
        </w:tc>
        <w:tc>
          <w:tcPr>
            <w:tcW w:type="dxa" w:w="1728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專利→成本效率</w:t>
            </w:r>
          </w:p>
        </w:tc>
        <w:tc>
          <w:tcPr>
            <w:tcW w:type="dxa" w:w="1728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顯著性</w:t>
            </w:r>
          </w:p>
        </w:tc>
        <w:tc>
          <w:tcPr>
            <w:tcW w:type="dxa" w:w="1728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方法論適切性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總資產（原稿）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56家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正相關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顯著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✗ 資產為投入非產出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總收入（修改稿）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27家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無顯著影響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不顯著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✓ 符合成本效率定義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1.2 總資產版本顯著的原因解析</w:t>
      </w: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總資產版本呈現顯著正相關，其機制如下：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台灣證券業的專利申請高度集中於大型券商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大型券商因規模經濟與共享服務，在「資產管理效率」面向表現較佳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此相關性由「公司規模」同時驅動，而非專利直接影響效率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換言之，該顯著結果反映的是大型與小型券商的效率差異，而非專利的因果效果</w:t>
      </w:r>
    </w:p>
    <w:p>
      <w:pPr>
        <w:pStyle w:val="Heading2"/>
        <w:spacing w:after="150" w:before="300"/>
      </w:pPr>
      <w:r>
        <w:t xml:space="preserve">1.3 總收入版本不顯著的理論解釋</w:t>
      </w: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以總收入為產出的成本效率測量更符合理論定義，不顯著的結果具有以下解釋：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台灣證券業的收入主要來自手續費、承銷及自營，與專利保護並無直接關聯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現階段專利申請集中於防禦性佈局，尚未有效轉化為降低營運成本的流程創新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排除小型異質樣本後，27家主要券商的專利與收入效率間無系統性關聯</w:t>
      </w:r>
    </w:p>
    <w:p>
      <w:pPr>
        <w:pStyle w:val="Heading1"/>
        <w:spacing w:after="200" w:before="400"/>
      </w:pPr>
      <w:r>
        <w:t xml:space="preserve">二、效率估計版本診斷</w:t>
      </w:r>
    </w:p>
    <w:p>
      <w:pPr>
        <w:pStyle w:val="Heading2"/>
        <w:spacing w:after="150" w:before="300"/>
      </w:pPr>
      <w:r>
        <w:t xml:space="preserve">2.1 兩版本效率值相關性</w:t>
      </w: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對相同公司、相同年份的效率值進行比較，發現兩版本的相關性極低：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統計指標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數值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判斷標準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解讀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Pearson相關係數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0.31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&gt; 0.7 視為一致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兩版本測量不同概念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Spearman排名相關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0.43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&gt; 0.7 視為一致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排名大幅重排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o23效率中位數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0.148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偏低，可能模型誤設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o40效率中位數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0.371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較合理的分布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排名大幅翻轉的典型案例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公司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總資產版效率（排名）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總收入版效率（排名）</w:t>
            </w:r>
          </w:p>
        </w:tc>
        <w:tc>
          <w:tcPr>
            <w:tcW w:type="dxa" w:w="216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排名變動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大和國泰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0.669（第1名）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0.254（第20名）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↓ 19名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元大證券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0.416（第3名）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0.278（第17名）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↓ 14名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國泰證券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0.279（第9名）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1.000（第1名）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↑ 8名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康和證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0.112（第21名）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0.778（第5名）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↑ 16名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三、修改稿建議論述</w:t>
      </w:r>
    </w:p>
    <w:p>
      <w:pPr>
        <w:pStyle w:val="Heading2"/>
        <w:spacing w:after="150" w:before="300"/>
      </w:pPr>
      <w:r>
        <w:t xml:space="preserve">3.1 主要結論（總收入版，回應審稿意見）</w:t>
      </w:r>
    </w:p>
    <w:p>
      <w:pPr>
        <w:spacing w:after="200" w:before="100"/>
        <w:ind w:left="360" w:right="360"/>
        <w:jc w:val="both"/>
      </w:pPr>
      <w:r>
        <w:rPr>
          <w:rFonts w:ascii="微軟正黑體" w:cs="微軟正黑體" w:eastAsia="微軟正黑體" w:hAnsi="微軟正黑體"/>
          <w:i/>
          <w:iCs/>
          <w:color w:val="1F3864"/>
          <w:sz w:val="24"/>
          <w:szCs w:val="24"/>
        </w:rPr>
        <w:t xml:space="preserve">「本研究依審稿意見修正成本效率SFA模型之產出變數為總收入，結果顯示台灣證券業專利對成本效率並無顯著影響。此發現顯示現階段券商的專利佈局尚未有效轉化為成本優勢，可能原因為專利策略集中於防禦性申請，而非以流程創新直接降低營運成本。」</w:t>
      </w:r>
    </w:p>
    <w:p>
      <w:pPr>
        <w:pStyle w:val="Heading2"/>
        <w:spacing w:after="150" w:before="300"/>
      </w:pPr>
      <w:r>
        <w:t xml:space="preserve">3.2 稱健性檢定（總資產版）</w:t>
      </w:r>
    </w:p>
    <w:p>
      <w:pPr>
        <w:spacing w:after="200" w:before="100"/>
        <w:ind w:left="360" w:right="360"/>
        <w:jc w:val="both"/>
      </w:pPr>
      <w:r>
        <w:rPr>
          <w:rFonts w:ascii="微軟正黑體" w:cs="微軟正黑體" w:eastAsia="微軟正黑體" w:hAnsi="微軟正黑體"/>
          <w:i/>
          <w:iCs/>
          <w:color w:val="1F3864"/>
          <w:sz w:val="24"/>
          <w:szCs w:val="24"/>
        </w:rPr>
        <w:t xml:space="preserve">「以總資產為替代產出變數進行稱健性檢定，結果顯示專利對資產管理效率具有顯著正向影響。與主要結果合併觀察，顯示台灣證券業專利的效率效果具有面向差異性——對資產運用有促進效果，但尚未有效轉化為收入端的成本優勢。」</w:t>
      </w:r>
    </w:p>
    <w:p>
      <w:pPr>
        <w:pStyle w:val="Heading2"/>
        <w:spacing w:after="150" w:before="300"/>
      </w:pPr>
      <w:r>
        <w:t xml:space="preserve">3.3 回覆審稿人建議撰寫方式</w:t>
      </w:r>
    </w:p>
    <w:p>
      <w:pPr>
        <w:spacing w:after="200" w:before="100"/>
        <w:ind w:left="360" w:right="360"/>
        <w:jc w:val="both"/>
      </w:pPr>
      <w:r>
        <w:rPr>
          <w:rFonts w:ascii="微軟正黑體" w:cs="微軟正黑體" w:eastAsia="微軟正黑體" w:hAnsi="微軟正黑體"/>
          <w:i/>
          <w:iCs/>
          <w:color w:val="1F3864"/>
          <w:sz w:val="24"/>
          <w:szCs w:val="24"/>
        </w:rPr>
        <w:t xml:space="preserve">「感謝審稿人建議。本研究已將成本效率SFA模型之產出變數由總資產修正為總收入，此修正更符合成本效率的理論定義。修正後結果顯示專利對成本效率並無顯著影響（係數=X, p&gt;0.05），與原稿差異源於產出變數設定的改善。原稿使用總資產所得之顯著結果，本文已於稱健性檢定中呈現並說明其機制差異（詳見附表X）。」</w:t>
      </w:r>
    </w:p>
    <w:p>
      <w:pPr>
        <w:pStyle w:val="Heading1"/>
        <w:spacing w:after="200" w:before="400"/>
      </w:pPr>
      <w:r>
        <w:t xml:space="preserve">四、規模混淆偏誤（Size Confounding）說明</w:t>
      </w: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兩個版本之所以呈現不同結果，根本原因在於「公司規模」為潛在的混淆變數：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關係</w:t>
            </w:r>
          </w:p>
        </w:tc>
        <w:tc>
          <w:tcPr>
            <w:tcW w:type="dxa" w:w="288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總資產版</w:t>
            </w:r>
          </w:p>
        </w:tc>
        <w:tc>
          <w:tcPr>
            <w:tcW w:type="dxa" w:w="2880"/>
            <w:shd w:fill="D9E1F2" w:color="D9E1F2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總收入版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規模 → 專利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+0.50***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+0.49***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規模 → 效率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−0.39***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−0.52***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專利 → 效率（原始相關）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−0.14**（SEM中正向）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r = −0.12（不顯著）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零專利公司比例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85.8%（含大量小型券商）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sz w:val="22"/>
                <w:szCs w:val="22"/>
              </w:rPr>
              <w:t xml:space="preserve">62.2%（主要中大型）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sz w:val="24"/>
          <w:szCs w:val="24"/>
        </w:rPr>
        <w:t xml:space="preserve">規模同時驅動專利申請量與效率水準，若未妥善處理，易產生假性顯著結果。審稿人要求縮小樣本至27家主要券商，正是為了提升樣本同質性、降低規模混淆的影響。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2026-10-01T16:07:30.077Z</dcterms:created>
  <dcterms:modified xsi:type="dcterms:W3CDTF">2026-10-01T16:07:30.078Z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