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w:t>
            </w:r>
            <w:r w:rsidRPr="00D33ADA">
              <w:rPr>
                <w:rFonts w:cs="Times New Roman"/>
                <w:szCs w:val="24"/>
              </w:rPr>
              <w:t>FMVSS No.102(</w:t>
            </w:r>
            <w:r w:rsidRPr="00D33ADA">
              <w:rPr>
                <w:rFonts w:cs="Times New Roman"/>
                <w:szCs w:val="24"/>
              </w:rPr>
              <w:t>排檔位置顯示</w:t>
            </w:r>
            <w:r w:rsidRPr="00D33ADA">
              <w:rPr>
                <w:rFonts w:cs="Times New Roman"/>
                <w:szCs w:val="24"/>
              </w:rPr>
              <w:t>)</w:t>
            </w:r>
            <w:r w:rsidRPr="00D33ADA">
              <w:rPr>
                <w:rFonts w:cs="Times New Roman"/>
                <w:szCs w:val="24"/>
              </w:rPr>
              <w:t>、</w:t>
            </w:r>
            <w:r w:rsidRPr="00D33ADA">
              <w:rPr>
                <w:rFonts w:cs="Times New Roman"/>
                <w:szCs w:val="24"/>
              </w:rPr>
              <w:t>No.103(</w:t>
            </w:r>
            <w:r w:rsidRPr="00D33ADA">
              <w:rPr>
                <w:rFonts w:cs="Times New Roman"/>
                <w:szCs w:val="24"/>
              </w:rPr>
              <w:t>擋風玻璃除霧系統</w:t>
            </w:r>
            <w:r w:rsidRPr="00D33ADA">
              <w:rPr>
                <w:rFonts w:cs="Times New Roman"/>
                <w:szCs w:val="24"/>
              </w:rPr>
              <w:t>)</w:t>
            </w:r>
            <w:r w:rsidRPr="00D33ADA">
              <w:rPr>
                <w:rFonts w:cs="Times New Roman"/>
                <w:szCs w:val="24"/>
              </w:rPr>
              <w:t>及</w:t>
            </w:r>
            <w:r w:rsidRPr="00D33ADA">
              <w:rPr>
                <w:rFonts w:cs="Times New Roman"/>
                <w:szCs w:val="24"/>
              </w:rPr>
              <w:t>No.104(</w:t>
            </w:r>
            <w:r w:rsidRPr="00D33ADA">
              <w:rPr>
                <w:rFonts w:cs="Times New Roman"/>
                <w:szCs w:val="24"/>
              </w:rPr>
              <w:t>雨刷系統</w:t>
            </w:r>
            <w:r w:rsidRPr="00D33ADA">
              <w:rPr>
                <w:rFonts w:cs="Times New Roman"/>
                <w:szCs w:val="24"/>
              </w:rPr>
              <w:t>)</w:t>
            </w:r>
            <w:r w:rsidRPr="00D33ADA">
              <w:rPr>
                <w:rFonts w:cs="Times New Roman"/>
                <w:szCs w:val="24"/>
              </w:rPr>
              <w:t>三項標準，明確豁免無手動駕駛控制裝置的</w:t>
            </w:r>
            <w:r w:rsidRPr="00D33ADA">
              <w:rPr>
                <w:rFonts w:cs="Times New Roman"/>
                <w:szCs w:val="24"/>
              </w:rPr>
              <w:t>ADS</w:t>
            </w:r>
            <w:r w:rsidRPr="00D33ADA">
              <w:rPr>
                <w:rFonts w:cs="Times New Roman"/>
                <w:szCs w:val="24"/>
              </w:rPr>
              <w:t>車輛無需符合相關規定，以降低合規成本、加速自動駕駛車輛的商業部署。</w:t>
            </w:r>
            <w:r>
              <w:rPr>
                <w:b/>
                <w:color w:val="E65900"/>
                <w:sz w:val="18"/>
              </w:rPr>
              <w:t xml:space="preserve">  [⚠️待更新-A2] 此為 2025年9月 NPRM 提案，請確認最終規則(Final Rule)是否已發布及具體生效日期。建議查詢：federalregister.gov 搜尋「FMVSS 102 103 104 ADS」</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w:t>
      </w:r>
      <w:r w:rsidRPr="00D33ADA">
        <w:t>2025</w:t>
      </w:r>
      <w:r w:rsidRPr="00D33ADA">
        <w:t>年密集提出多項立法草案，包括《自</w:t>
      </w:r>
      <w:r w:rsidRPr="00D33ADA">
        <w:lastRenderedPageBreak/>
        <w:t>駕車無障礙法》</w:t>
      </w:r>
      <w:r w:rsidRPr="00D33ADA">
        <w:t>(AV Accessibility Act)</w:t>
      </w:r>
      <w:r w:rsidRPr="00D33ADA">
        <w:t>、《自駕車安全數據法》</w:t>
      </w:r>
      <w:r w:rsidRPr="00D33ADA">
        <w:t>(AV Safety Data Act)</w:t>
      </w:r>
      <w:r w:rsidRPr="00D33ADA">
        <w:t>、《自動駕駛車輛加速法》</w:t>
      </w:r>
      <w:r w:rsidRPr="00D33ADA">
        <w:t>(Autonomous Vehicle Acceleration Act)</w:t>
      </w:r>
      <w:r w:rsidRPr="00D33ADA">
        <w:t>及《</w:t>
      </w:r>
      <w:r w:rsidRPr="00D33ADA">
        <w:t>AMERICA DRIVES Act</w:t>
      </w:r>
      <w:r w:rsidRPr="00D33ADA">
        <w:t>》，分別聚焦於身心障礙者無障礙乘車、事故數據強制通報、</w:t>
      </w:r>
      <w:r w:rsidRPr="00D33ADA">
        <w:t>FMVSS</w:t>
      </w:r>
      <w:r w:rsidRPr="00D33ADA">
        <w:t>更新加速及聯邦統一監管等面向</w:t>
      </w:r>
      <w:r w:rsidRPr="00D33ADA">
        <w:rPr>
          <w:rStyle w:val="af4"/>
        </w:rPr>
        <w:footnoteReference w:id="24"/>
      </w:r>
      <w:r w:rsidRPr="00D33ADA">
        <w:t>，期許建構完整的聯邦監管框架。</w:t>
      </w:r>
      <w:r>
        <w:rPr>
          <w:b/>
          <w:color w:val="E65900"/>
          <w:sz w:val="18"/>
        </w:rPr>
        <w:t xml:space="preserve">  [⚠️待更新-A3] 請更新上述四項法案最新立法狀態（是否通過、擱置、或合併立法）。建議查詢：congress.gov</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並於2026年3月突破50萬次，目標於2026年底達到100萬次，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t xml:space="preserve">  【已更新-A5/A6】截至2026年2月年化營收約3.55億美元。2026年底目標達100萬次/週。（來源：Sacra、The Driverless Digest）</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w:t>
      </w:r>
      <w:r w:rsidRPr="00D33ADA">
        <w:t>VCS</w:t>
      </w:r>
      <w:r w:rsidRPr="00D33ADA">
        <w:t>軟體禁令適用於自</w:t>
      </w:r>
      <w:r w:rsidRPr="00D33ADA">
        <w:t>2027</w:t>
      </w:r>
      <w:r w:rsidRPr="00D33ADA">
        <w:t>年起推出的車型，</w:t>
      </w:r>
      <w:r w:rsidRPr="00D33ADA">
        <w:t>VCS</w:t>
      </w:r>
      <w:r w:rsidRPr="00D33ADA">
        <w:t>硬體禁令則自</w:t>
      </w:r>
      <w:r w:rsidRPr="00D33ADA">
        <w:t>2030</w:t>
      </w:r>
      <w:r w:rsidRPr="00D33ADA">
        <w:t>車型年</w:t>
      </w:r>
      <w:r w:rsidRPr="00D33ADA">
        <w:t>(</w:t>
      </w:r>
      <w:r w:rsidRPr="00D33ADA">
        <w:t>無車型年之硬體自</w:t>
      </w:r>
      <w:r w:rsidRPr="00D33ADA">
        <w:t>2029</w:t>
      </w:r>
      <w:r w:rsidRPr="00D33ADA">
        <w:t>年</w:t>
      </w:r>
      <w:r w:rsidRPr="00D33ADA">
        <w:t>1</w:t>
      </w:r>
      <w:r w:rsidRPr="00D33ADA">
        <w:t>月</w:t>
      </w:r>
      <w:r w:rsidRPr="00D33ADA">
        <w:t>1</w:t>
      </w:r>
      <w:r w:rsidRPr="00D33ADA">
        <w:t>日</w:t>
      </w:r>
      <w:r w:rsidRPr="00D33ADA">
        <w:t>)</w:t>
      </w:r>
      <w:r w:rsidRPr="00D33ADA">
        <w:t>起生效，目前規範對象僅</w:t>
      </w:r>
      <w:r w:rsidRPr="00D33ADA">
        <w:lastRenderedPageBreak/>
        <w:t>限於</w:t>
      </w:r>
      <w:r w:rsidRPr="00D33ADA">
        <w:t>10,001</w:t>
      </w:r>
      <w:r w:rsidRPr="00D33ADA">
        <w:t>磅以下乘用車。在合規義務方面，所有受規範的</w:t>
      </w:r>
      <w:r w:rsidRPr="00D33ADA">
        <w:t>VCS</w:t>
      </w:r>
      <w:r w:rsidRPr="00D33ADA">
        <w:t>硬體進口商及聯網車輛製造商須每年提交合規聲明</w:t>
      </w:r>
      <w:r w:rsidRPr="00D33ADA">
        <w:t>(Declaration of Conformity)</w:t>
      </w:r>
      <w:r w:rsidRPr="00D33ADA">
        <w:t>，並須保存相關交易記錄達</w:t>
      </w:r>
      <w:r w:rsidRPr="00D33ADA">
        <w:t>10</w:t>
      </w:r>
      <w:r w:rsidRPr="00D33ADA">
        <w:t>年。美國商務部工業與安全局亦明確指出，將參考業者是否符合</w:t>
      </w:r>
      <w:r w:rsidRPr="00D33ADA">
        <w:t>ISO/SAE 21434</w:t>
      </w:r>
      <w:r w:rsidRPr="00D33ADA">
        <w:t>、</w:t>
      </w:r>
      <w:r w:rsidRPr="00D33ADA">
        <w:t>UN R155</w:t>
      </w:r>
      <w:r w:rsidRPr="00D33ADA">
        <w:t>及美國國家公路交通安全管理局資安最佳實踐等標準，作為評估豁免申請的重要依據</w:t>
      </w:r>
      <w:r w:rsidRPr="00D33ADA">
        <w:rPr>
          <w:rStyle w:val="af4"/>
        </w:rPr>
        <w:footnoteReference w:id="33"/>
      </w:r>
      <w:r w:rsidRPr="00D33ADA">
        <w:t>，讓供應鏈中</w:t>
      </w:r>
      <w:r w:rsidRPr="00D33ADA">
        <w:rPr>
          <w:rFonts w:hint="eastAsia"/>
        </w:rPr>
        <w:t>仍</w:t>
      </w:r>
      <w:r w:rsidRPr="00D33ADA">
        <w:t>有中國</w:t>
      </w:r>
      <w:r w:rsidRPr="00D33ADA">
        <w:rPr>
          <w:rFonts w:hint="eastAsia"/>
        </w:rPr>
        <w:t>大陸</w:t>
      </w:r>
      <w:r w:rsidRPr="00D33ADA">
        <w:t>來源</w:t>
      </w:r>
      <w:r w:rsidRPr="00D33ADA">
        <w:rPr>
          <w:rFonts w:hint="eastAsia"/>
        </w:rPr>
        <w:t>之</w:t>
      </w:r>
      <w:r w:rsidRPr="00D33ADA">
        <w:t>零件，但廠商能夠證明已建立符合上述標準的資安管理體系，有機會透過豁免申請繼續出口至美國市場。</w:t>
      </w:r>
      <w:r>
        <w:rPr>
          <w:b/>
          <w:color w:val="E65900"/>
          <w:sz w:val="18"/>
        </w:rPr>
        <w:t xml:space="preserve">  [⚠️待更新-A7] BIS 已預告將研議擴大至商用車（&gt;10,001磅）；請確認是否已另行公告。建議查詢：bis.doc.gov</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2025.12.19),” 2025 Autonomous Vehicles Federal Policy Wrapped”, https://enotrans.org/article/2025-autonomous-vehicles-federal-policy-wrapped/</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Proposes New Autonomous Vehicle Program”, https://www.cov.com/en/news-and-insights/insights/2025/01/nhtsa-proposes-new-autonomous-vehicle-program</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2025.12.19),” 2025 Autonomous Vehicles Federal Policy Wrapped”, https://enotrans.org/article/2025-autonomous-vehicles-federal-policy-wrapped/</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2026.05.05),” Waymo Hits 2,500 Robotaxis in US, Shaping the Future of Driverless Rides”, https://carboncredits.com/waymo-hits-2500-robotaxi-in-u-s-the-future-of-driverless-rides/</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2026.01.01),” Waymo’s 2025 Year in Review: The Year Robotaxis Scaled”, https://www.thedriverlessdigest.com/p/waymos-2025-year-in-review-the-year</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