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w:t>
      </w:r>
      <w:r w:rsidRPr="00D33ADA">
        <w:t>2020</w:t>
      </w:r>
      <w:r w:rsidRPr="00D33ADA">
        <w:t>年發布第一份報告暨命令</w:t>
      </w:r>
      <w:r w:rsidRPr="00D33ADA">
        <w:t>(First Report and Order)</w:t>
      </w:r>
      <w:r w:rsidRPr="00D33ADA">
        <w:t>，正式調整</w:t>
      </w:r>
      <w:r w:rsidRPr="00D33ADA">
        <w:t>5.9 GHz</w:t>
      </w:r>
      <w:r w:rsidRPr="00D33ADA">
        <w:t>用途，將</w:t>
      </w:r>
      <w:r w:rsidRPr="00D33ADA">
        <w:t>6 GHz</w:t>
      </w:r>
      <w:r w:rsidRPr="00D33ADA">
        <w:t>頻段</w:t>
      </w:r>
      <w:r w:rsidRPr="00D33ADA">
        <w:t>(5.925–7.125 GHz)</w:t>
      </w:r>
      <w:r w:rsidRPr="00D33ADA">
        <w:t>中的</w:t>
      </w:r>
      <w:r w:rsidRPr="00D33ADA">
        <w:t>1,200 MHz</w:t>
      </w:r>
      <w:r w:rsidRPr="00D33ADA">
        <w:t>頻譜開放給未授權裝置使用，僅保留超過</w:t>
      </w:r>
      <w:r w:rsidRPr="00D33ADA">
        <w:t>20MHz</w:t>
      </w:r>
      <w:r w:rsidRPr="00D33ADA">
        <w:t>供智慧交通應用，並命令以</w:t>
      </w:r>
      <w:r w:rsidRPr="00D33ADA">
        <w:t>C-V2X</w:t>
      </w:r>
      <w:r w:rsidRPr="00D33ADA">
        <w:t>技術取代</w:t>
      </w:r>
      <w:r w:rsidRPr="00D33ADA">
        <w:t>DSRC</w:t>
      </w:r>
      <w:r w:rsidRPr="00D33ADA">
        <w:t>。</w:t>
      </w:r>
      <w:r w:rsidRPr="00D33ADA">
        <w:t>2023</w:t>
      </w:r>
      <w:r w:rsidRPr="00D33ADA">
        <w:t>年</w:t>
      </w:r>
      <w:r w:rsidRPr="00D33ADA">
        <w:t>4</w:t>
      </w:r>
      <w:r w:rsidRPr="00D33ADA">
        <w:t>月</w:t>
      </w:r>
      <w:r w:rsidRPr="00D33ADA">
        <w:t>24</w:t>
      </w:r>
      <w:r w:rsidRPr="00D33ADA">
        <w:t>日，聯邦通信委員會核准汽車製造商、設備廠商與各州交通部門提出的申請，允許在提前在</w:t>
      </w:r>
      <w:r w:rsidRPr="00D33ADA">
        <w:t>5.895–5.925 GHz</w:t>
      </w:r>
      <w:r w:rsidRPr="00D33ADA">
        <w:t>頻段部署與車輛進行通訊的基礎設施設備</w:t>
      </w:r>
      <w:r w:rsidRPr="00D33ADA">
        <w:rPr>
          <w:rStyle w:val="af4"/>
        </w:rPr>
        <w:footnoteReference w:id="10"/>
      </w:r>
      <w:r w:rsidRPr="00D33ADA">
        <w:t>。</w:t>
      </w:r>
      <w:r w:rsidRPr="00D33ADA">
        <w:t>2024</w:t>
      </w:r>
      <w:r w:rsidRPr="00D33ADA">
        <w:t>年</w:t>
      </w:r>
      <w:r w:rsidRPr="00D33ADA">
        <w:t>11</w:t>
      </w:r>
      <w:r w:rsidRPr="00D33ADA">
        <w:t>月</w:t>
      </w:r>
      <w:r w:rsidRPr="00D33ADA">
        <w:t>21</w:t>
      </w:r>
      <w:r w:rsidRPr="00D33ADA">
        <w:t>日，聯邦通信委員會以跨黨派一致</w:t>
      </w:r>
      <w:r w:rsidRPr="00D33ADA">
        <w:lastRenderedPageBreak/>
        <w:t>決議通過第二份報告暨命令</w:t>
      </w:r>
      <w:r w:rsidRPr="00D33ADA">
        <w:t>(Second Report and Order)</w:t>
      </w:r>
      <w:r w:rsidRPr="00D33ADA">
        <w:t>，正式確立</w:t>
      </w:r>
      <w:r w:rsidRPr="00D33ADA">
        <w:t>C-V2X</w:t>
      </w:r>
      <w:r w:rsidRPr="00D33ADA">
        <w:t>技術規範，設定自</w:t>
      </w:r>
      <w:r w:rsidRPr="00D33ADA">
        <w:t>2024</w:t>
      </w:r>
      <w:r w:rsidRPr="00D33ADA">
        <w:t>年</w:t>
      </w:r>
      <w:r w:rsidRPr="00D33ADA">
        <w:t>12</w:t>
      </w:r>
      <w:r w:rsidRPr="00D33ADA">
        <w:t>月</w:t>
      </w:r>
      <w:r w:rsidRPr="00D33ADA">
        <w:t>13</w:t>
      </w:r>
      <w:r w:rsidRPr="00D33ADA">
        <w:t>日起的兩年過渡期，要求所有既有</w:t>
      </w:r>
      <w:r w:rsidRPr="00D33ADA">
        <w:t>DSRC</w:t>
      </w:r>
      <w:r w:rsidRPr="00D33ADA">
        <w:t>設備於</w:t>
      </w:r>
      <w:r w:rsidRPr="00D33ADA">
        <w:t>2026</w:t>
      </w:r>
      <w:r w:rsidRPr="00D33ADA">
        <w:t>年</w:t>
      </w:r>
      <w:r w:rsidRPr="00D33ADA">
        <w:t>12</w:t>
      </w:r>
      <w:r w:rsidRPr="00D33ADA">
        <w:t>月</w:t>
      </w:r>
      <w:r w:rsidRPr="00D33ADA">
        <w:t>14</w:t>
      </w:r>
      <w:r w:rsidRPr="00D33ADA">
        <w:t>日前完成轉換或停止運作，規定自</w:t>
      </w:r>
      <w:r w:rsidRPr="00D33ADA">
        <w:t>2025</w:t>
      </w:r>
      <w:r w:rsidRPr="00D33ADA">
        <w:t>年</w:t>
      </w:r>
      <w:r w:rsidRPr="00D33ADA">
        <w:t>2</w:t>
      </w:r>
      <w:r w:rsidRPr="00D33ADA">
        <w:t>月</w:t>
      </w:r>
      <w:r w:rsidRPr="00D33ADA">
        <w:t>11</w:t>
      </w:r>
      <w:r w:rsidRPr="00D33ADA">
        <w:t>日生效</w:t>
      </w:r>
      <w:r w:rsidRPr="00D33ADA">
        <w:rPr>
          <w:rStyle w:val="af4"/>
        </w:rPr>
        <w:footnoteReference w:id="11"/>
      </w:r>
      <w:r w:rsidRPr="00D33ADA">
        <w:t>。</w:t>
      </w:r>
      <w:r>
        <w:rPr>
          <w:b/>
          <w:color w:val="E65900"/>
          <w:sz w:val="18"/>
        </w:rPr>
        <w:t xml:space="preserve">  [⚠️待更新-A4] 2026年12月14日截止日距今約3個月，請確認是否有延期公告或轉換進度報告。建議查詢：FCC 官網 fcc.gov</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w:t>
            </w:r>
            <w:r w:rsidRPr="00D33ADA">
              <w:rPr>
                <w:rFonts w:cs="Times New Roman"/>
                <w:sz w:val="22"/>
              </w:rPr>
              <w:t>C-V2X</w:t>
            </w:r>
            <w:r w:rsidRPr="00D33ADA">
              <w:rPr>
                <w:rFonts w:cs="Times New Roman"/>
                <w:sz w:val="22"/>
              </w:rPr>
              <w:t>技術規範，並要求所有既有</w:t>
            </w:r>
            <w:r w:rsidRPr="00D33ADA">
              <w:rPr>
                <w:rFonts w:cs="Times New Roman"/>
                <w:sz w:val="22"/>
              </w:rPr>
              <w:t>DSRC</w:t>
            </w:r>
            <w:r w:rsidRPr="00D33ADA">
              <w:rPr>
                <w:rFonts w:cs="Times New Roman"/>
                <w:sz w:val="22"/>
              </w:rPr>
              <w:t>設備於</w:t>
            </w:r>
            <w:r w:rsidRPr="00D33ADA">
              <w:rPr>
                <w:rFonts w:cs="Times New Roman"/>
                <w:sz w:val="22"/>
              </w:rPr>
              <w:t>2026</w:t>
            </w:r>
            <w:r w:rsidRPr="00D33ADA">
              <w:rPr>
                <w:rFonts w:cs="Times New Roman"/>
                <w:sz w:val="22"/>
              </w:rPr>
              <w:t>年</w:t>
            </w:r>
            <w:r w:rsidRPr="00D33ADA">
              <w:rPr>
                <w:rFonts w:cs="Times New Roman"/>
                <w:sz w:val="22"/>
              </w:rPr>
              <w:t>12</w:t>
            </w:r>
            <w:r w:rsidRPr="00D33ADA">
              <w:rPr>
                <w:rFonts w:cs="Times New Roman"/>
                <w:sz w:val="22"/>
              </w:rPr>
              <w:t>月</w:t>
            </w:r>
            <w:r w:rsidRPr="00D33ADA">
              <w:rPr>
                <w:rFonts w:cs="Times New Roman"/>
                <w:sz w:val="22"/>
              </w:rPr>
              <w:t>14</w:t>
            </w:r>
            <w:r w:rsidRPr="00D33ADA">
              <w:rPr>
                <w:rFonts w:cs="Times New Roman"/>
                <w:sz w:val="22"/>
              </w:rPr>
              <w:t>日前完成轉換或停止運作</w:t>
            </w:r>
            <w:r>
              <w:rPr>
                <w:b/>
                <w:color w:val="E65900"/>
                <w:sz w:val="18"/>
              </w:rPr>
              <w:t xml:space="preserve">  [⚠️待更新-A4] 2026年12月14日截止日距今約3個月，請確認是否有延期公告或轉換進度報告。建議查詢：FCC 官網 fcc.gov</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w:t>
      </w:r>
      <w:r w:rsidRPr="00D33ADA">
        <w:t>年</w:t>
      </w:r>
      <w:r w:rsidRPr="00D33ADA">
        <w:t>1</w:t>
      </w:r>
      <w:r w:rsidRPr="00D33ADA">
        <w:t>月</w:t>
      </w:r>
      <w:r w:rsidRPr="00D33ADA">
        <w:t>15</w:t>
      </w:r>
      <w:r w:rsidRPr="00D33ADA">
        <w:t>日，美國國家公路交通安全管理局發布「</w:t>
      </w:r>
      <w:r w:rsidRPr="00D33ADA">
        <w:t>ADS</w:t>
      </w:r>
      <w:r w:rsidRPr="00D33ADA">
        <w:t>車輛安全、透明度與評估計畫」</w:t>
      </w:r>
      <w:r w:rsidRPr="00D33ADA">
        <w:t>(ADS-equipped Vehicle Safety, Transparency, and Evaluation Program, AV STEP)</w:t>
      </w:r>
      <w:r w:rsidRPr="00D33ADA">
        <w:t>擬議規則制定通知</w:t>
      </w:r>
      <w:r w:rsidRPr="00D33ADA">
        <w:t>(Notice of Proposed Rulemaking, NPRM)</w:t>
      </w:r>
      <w:r w:rsidRPr="00D33ADA">
        <w:t>，要求有意願參與該項目的車</w:t>
      </w:r>
      <w:r w:rsidRPr="00D33ADA">
        <w:lastRenderedPageBreak/>
        <w:t>輛製造商、自動駕駛系統</w:t>
      </w:r>
      <w:r w:rsidRPr="00D33ADA">
        <w:t>(ADS)</w:t>
      </w:r>
      <w:r w:rsidRPr="00D33ADA">
        <w:t>開發商、車隊營運商和系統整合商，向美國國家公路交通安全管理局提交關於其自動駕駛車輛運行和部署的詳細資訊，也必須提供明確的安全案例</w:t>
      </w:r>
      <w:r w:rsidRPr="00D33ADA">
        <w:t>(safety case)</w:t>
      </w:r>
      <w:r w:rsidRPr="00D33ADA">
        <w:t>，證明該技術在其預期用途下是安全的</w:t>
      </w:r>
      <w:r w:rsidRPr="00D33ADA">
        <w:rPr>
          <w:rStyle w:val="af4"/>
        </w:rPr>
        <w:footnoteReference w:id="20"/>
      </w:r>
      <w:r w:rsidRPr="00D33ADA">
        <w:t>。</w:t>
      </w:r>
      <w:r>
        <w:rPr>
          <w:b/>
          <w:color w:val="E65900"/>
          <w:sz w:val="18"/>
        </w:rPr>
        <w:t xml:space="preserve">  [⚠️待更新-A1] AV STEP 目前為 NPRM 提案階段。請確認 Final Rule 是否已發布及生效日期。建議查詢：federalregister.gov 搜尋「AV STEP」</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同年</w:t>
      </w:r>
      <w:r w:rsidRPr="00D33ADA">
        <w:t>9</w:t>
      </w:r>
      <w:r w:rsidRPr="00D33ADA">
        <w:t>月，美國國家公路交通安全管理局提出修訂「聯邦機動車輛安全標準」</w:t>
      </w:r>
      <w:r w:rsidRPr="00D33ADA">
        <w:t>(Federal Motor Vehicle Safety Standards, FMVSS)</w:t>
      </w:r>
      <w:r w:rsidRPr="00D33ADA">
        <w:t>中與自動駕駛車輛不符的相關規定。現行</w:t>
      </w:r>
      <w:r w:rsidRPr="00D33ADA">
        <w:t>FMVSS</w:t>
      </w:r>
      <w:r w:rsidRPr="00D33ADA">
        <w:t>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w:t>
      </w:r>
      <w:r w:rsidRPr="00D33ADA">
        <w:t>FMVSS No.102(</w:t>
      </w:r>
      <w:r w:rsidRPr="00D33ADA">
        <w:t>排檔位置顯示</w:t>
      </w:r>
      <w:r w:rsidRPr="00D33ADA">
        <w:t>)</w:t>
      </w:r>
      <w:r w:rsidRPr="00D33ADA">
        <w:t>、</w:t>
      </w:r>
      <w:r w:rsidRPr="00D33ADA">
        <w:t>No.103(</w:t>
      </w:r>
      <w:r w:rsidRPr="00D33ADA">
        <w:t>擋風玻璃除霧系統</w:t>
      </w:r>
      <w:r w:rsidRPr="00D33ADA">
        <w:t>)</w:t>
      </w:r>
      <w:r w:rsidRPr="00D33ADA">
        <w:t>及</w:t>
      </w:r>
      <w:r w:rsidRPr="00D33ADA">
        <w:t>No.104(</w:t>
      </w:r>
      <w:r w:rsidRPr="00D33ADA">
        <w:t>雨刷系統</w:t>
      </w:r>
      <w:r w:rsidRPr="00D33ADA">
        <w:t>)</w:t>
      </w:r>
      <w:r w:rsidRPr="00D33ADA">
        <w:t>三項標準，明確豁免無手動駕駛控制裝置的</w:t>
      </w:r>
      <w:r w:rsidRPr="00D33ADA">
        <w:t>ADS</w:t>
      </w:r>
      <w:r w:rsidRPr="00D33ADA">
        <w:t>車輛無需符合相關規定，以降低合規成本、加速自動駕駛車輛的商業部署</w:t>
      </w:r>
      <w:r w:rsidRPr="00D33ADA">
        <w:rPr>
          <w:rStyle w:val="af4"/>
        </w:rPr>
        <w:footnoteReference w:id="22"/>
      </w:r>
      <w:r w:rsidRPr="00D33ADA">
        <w:t>。</w:t>
      </w:r>
      <w:r>
        <w:rPr>
          <w:b/>
          <w:color w:val="E65900"/>
          <w:sz w:val="18"/>
        </w:rPr>
        <w:t xml:space="preserve">  [⚠️待更新-A2] 此為 2025年9月 NPRM 提案，請確認最終規則(Final Rule)是否已發布及具體生效日期。建議查詢：federalregister.gov 搜尋「FMVSS 102 103 104 ADS」</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w:t>
      </w:r>
      <w:r w:rsidRPr="00D33ADA">
        <w:t>2025</w:t>
      </w:r>
      <w:r w:rsidRPr="00D33ADA">
        <w:t>年密集提出多項立法草案，包括《自</w:t>
      </w:r>
      <w:r w:rsidRPr="00D33ADA">
        <w:lastRenderedPageBreak/>
        <w:t>駕車無障礙法》</w:t>
      </w:r>
      <w:r w:rsidRPr="00D33ADA">
        <w:t>(AV Accessibility Act)</w:t>
      </w:r>
      <w:r w:rsidRPr="00D33ADA">
        <w:t>、《自駕車安全數據法》</w:t>
      </w:r>
      <w:r w:rsidRPr="00D33ADA">
        <w:t>(AV Safety Data Act)</w:t>
      </w:r>
      <w:r w:rsidRPr="00D33ADA">
        <w:t>、《自動駕駛車輛加速法》</w:t>
      </w:r>
      <w:r w:rsidRPr="00D33ADA">
        <w:t>(Autonomous Vehicle Acceleration Act)</w:t>
      </w:r>
      <w:r w:rsidRPr="00D33ADA">
        <w:t>及《</w:t>
      </w:r>
      <w:r w:rsidRPr="00D33ADA">
        <w:t>AMERICA DRIVES Act</w:t>
      </w:r>
      <w:r w:rsidRPr="00D33ADA">
        <w:t>》，分別聚焦於身心障礙者無障礙乘車、事故數據強制通報、</w:t>
      </w:r>
      <w:r w:rsidRPr="00D33ADA">
        <w:t>FMVSS</w:t>
      </w:r>
      <w:r w:rsidRPr="00D33ADA">
        <w:t>更新加速及聯邦統一監管等面向</w:t>
      </w:r>
      <w:r w:rsidRPr="00D33ADA">
        <w:rPr>
          <w:rStyle w:val="af4"/>
        </w:rPr>
        <w:footnoteReference w:id="24"/>
      </w:r>
      <w:r w:rsidRPr="00D33ADA">
        <w:t>，期許建構完整的聯邦監管框架。</w:t>
      </w:r>
      <w:r>
        <w:rPr>
          <w:b/>
          <w:color w:val="E65900"/>
          <w:sz w:val="18"/>
        </w:rPr>
        <w:t xml:space="preserve">  [⚠️待更新-A3] 請更新上述四項法案最新立法狀態（是否通過、擱置、或合併立法）。建議查詢：congress.gov</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t>
      </w:r>
      <w:r w:rsidRPr="00D33ADA">
        <w:t>Waymo</w:t>
      </w:r>
      <w:r w:rsidRPr="00D33ADA">
        <w:t>為代表的自動駕駛商業部署已率先進入規模化階段。</w:t>
      </w:r>
      <w:r w:rsidRPr="00D33ADA">
        <w:t>Waymo</w:t>
      </w:r>
      <w:r w:rsidRPr="00D33ADA">
        <w:rPr>
          <w:rFonts w:hint="eastAsia"/>
        </w:rPr>
        <w:t>自</w:t>
      </w:r>
      <w:r w:rsidRPr="00D33ADA">
        <w:t>2018</w:t>
      </w:r>
      <w:r w:rsidRPr="00D33ADA">
        <w:t>年在亞利桑那州鳳凰城啟動全球首個商業</w:t>
      </w:r>
      <w:r w:rsidRPr="00D33ADA">
        <w:t>Robotaxi</w:t>
      </w:r>
      <w:r w:rsidRPr="00D33ADA">
        <w:t>服務以來，持續擴大運營版圖。</w:t>
      </w:r>
      <w:r w:rsidRPr="00D33ADA">
        <w:t>2024</w:t>
      </w:r>
      <w:r w:rsidRPr="00D33ADA">
        <w:t>年，</w:t>
      </w:r>
      <w:r w:rsidRPr="00D33ADA">
        <w:t>Waymo</w:t>
      </w:r>
      <w:r w:rsidRPr="00D33ADA">
        <w:t>全電動自動駕駛車隊累計行駛超過</w:t>
      </w:r>
      <w:r w:rsidRPr="00D33ADA">
        <w:t>2,500</w:t>
      </w:r>
      <w:r w:rsidRPr="00D33ADA">
        <w:t>萬英里，完成逾</w:t>
      </w:r>
      <w:r w:rsidRPr="00D33ADA">
        <w:t>400</w:t>
      </w:r>
      <w:r w:rsidRPr="00D33ADA">
        <w:t>萬次完全無人駕駛載客服務</w:t>
      </w:r>
      <w:r w:rsidRPr="00D33ADA">
        <w:rPr>
          <w:rStyle w:val="af4"/>
        </w:rPr>
        <w:footnoteReference w:id="25"/>
      </w:r>
      <w:r w:rsidRPr="00D33ADA">
        <w:t>。</w:t>
      </w:r>
      <w:r w:rsidRPr="00D33ADA">
        <w:t>2025</w:t>
      </w:r>
      <w:r w:rsidRPr="00D33ADA">
        <w:t>年，</w:t>
      </w:r>
      <w:r w:rsidRPr="00D33ADA">
        <w:t>Waymo</w:t>
      </w:r>
      <w:r w:rsidRPr="00D33ADA">
        <w:t>每週載客量從年初的</w:t>
      </w:r>
      <w:r w:rsidRPr="00D33ADA">
        <w:lastRenderedPageBreak/>
        <w:t>17.5</w:t>
      </w:r>
      <w:r w:rsidRPr="00D33ADA">
        <w:t>萬次躍升至年底的</w:t>
      </w:r>
      <w:r w:rsidRPr="00D33ADA">
        <w:t>45</w:t>
      </w:r>
      <w:r w:rsidRPr="00D33ADA">
        <w:t>萬次，服務範圍擴及舊金山灣區、洛杉磯、奧斯汀、亞特蘭大等</w:t>
      </w:r>
      <w:r w:rsidRPr="00D33ADA">
        <w:t>10</w:t>
      </w:r>
      <w:r w:rsidRPr="00D33ADA">
        <w:t>座城市，並透過與</w:t>
      </w:r>
      <w:r w:rsidRPr="00D33ADA">
        <w:t>Uber</w:t>
      </w:r>
      <w:r w:rsidRPr="00D33ADA">
        <w:t>合作，在德州奧斯汀市提供無人駕駛乘車服務</w:t>
      </w:r>
      <w:r w:rsidRPr="00D33ADA">
        <w:rPr>
          <w:rStyle w:val="af4"/>
        </w:rPr>
        <w:footnoteReference w:id="26"/>
      </w:r>
      <w:r w:rsidRPr="00D33ADA">
        <w:t>。預估</w:t>
      </w:r>
      <w:r w:rsidRPr="00D33ADA">
        <w:t xml:space="preserve"> Waymo</w:t>
      </w:r>
      <w:r w:rsidRPr="00D33ADA">
        <w:t>載客營收將從</w:t>
      </w:r>
      <w:r w:rsidRPr="00D33ADA">
        <w:t>2024</w:t>
      </w:r>
      <w:r w:rsidRPr="00D33ADA">
        <w:t>年的</w:t>
      </w:r>
      <w:r w:rsidRPr="00D33ADA">
        <w:t>1.25</w:t>
      </w:r>
      <w:r w:rsidRPr="00D33ADA">
        <w:t>億美元大幅成長至</w:t>
      </w:r>
      <w:r w:rsidRPr="00D33ADA">
        <w:t>2027</w:t>
      </w:r>
      <w:r w:rsidRPr="00D33ADA">
        <w:t>年的</w:t>
      </w:r>
      <w:r w:rsidRPr="00D33ADA">
        <w:t>13</w:t>
      </w:r>
      <w:r w:rsidRPr="00D33ADA">
        <w:t>億美元以上</w:t>
      </w:r>
      <w:r w:rsidRPr="00D33ADA">
        <w:rPr>
          <w:rStyle w:val="af4"/>
        </w:rPr>
        <w:footnoteReference w:id="27"/>
      </w:r>
      <w:r w:rsidRPr="00D33ADA">
        <w:t>。</w:t>
      </w:r>
      <w:r>
        <w:rPr>
          <w:b/>
          <w:color w:val="E65900"/>
          <w:sz w:val="18"/>
        </w:rPr>
        <w:t xml:space="preserve">  [⚠️待更新-A5] 此為 2025 年數據，建議補充 2026 年實際載客量與營收數字。建議查詢：Waymo 官方部落格 blog.waymo.com</w:t>
      </w:r>
      <w:r>
        <w:rPr>
          <w:b/>
          <w:color w:val="E65900"/>
          <w:sz w:val="18"/>
        </w:rPr>
        <w:t xml:space="preserve">  [⚠️待更新-A6] 建議補充 2026 年中期實績，驗證預測軌跡。建議查詢：Waymo 官方報告或彭博/Reuters 財經報導</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w:t>
      </w:r>
      <w:r w:rsidRPr="00D33ADA">
        <w:t>VCS</w:t>
      </w:r>
      <w:r w:rsidRPr="00D33ADA">
        <w:t>軟體禁令適用於自</w:t>
      </w:r>
      <w:r w:rsidRPr="00D33ADA">
        <w:t>2027</w:t>
      </w:r>
      <w:r w:rsidRPr="00D33ADA">
        <w:t>年起推出的車型，</w:t>
      </w:r>
      <w:r w:rsidRPr="00D33ADA">
        <w:t>VCS</w:t>
      </w:r>
      <w:r w:rsidRPr="00D33ADA">
        <w:t>硬體禁令則自</w:t>
      </w:r>
      <w:r w:rsidRPr="00D33ADA">
        <w:t>2030</w:t>
      </w:r>
      <w:r w:rsidRPr="00D33ADA">
        <w:t>車型年</w:t>
      </w:r>
      <w:r w:rsidRPr="00D33ADA">
        <w:t>(</w:t>
      </w:r>
      <w:r w:rsidRPr="00D33ADA">
        <w:t>無車型年之硬體自</w:t>
      </w:r>
      <w:r w:rsidRPr="00D33ADA">
        <w:t>2029</w:t>
      </w:r>
      <w:r w:rsidRPr="00D33ADA">
        <w:t>年</w:t>
      </w:r>
      <w:r w:rsidRPr="00D33ADA">
        <w:t>1</w:t>
      </w:r>
      <w:r w:rsidRPr="00D33ADA">
        <w:t>月</w:t>
      </w:r>
      <w:r w:rsidRPr="00D33ADA">
        <w:t>1</w:t>
      </w:r>
      <w:r w:rsidRPr="00D33ADA">
        <w:t>日</w:t>
      </w:r>
      <w:r w:rsidRPr="00D33ADA">
        <w:t>)</w:t>
      </w:r>
      <w:r w:rsidRPr="00D33ADA">
        <w:t>起生效，目前規範對象僅</w:t>
      </w:r>
      <w:r w:rsidRPr="00D33ADA">
        <w:lastRenderedPageBreak/>
        <w:t>限於</w:t>
      </w:r>
      <w:r w:rsidRPr="00D33ADA">
        <w:t>10,001</w:t>
      </w:r>
      <w:r w:rsidRPr="00D33ADA">
        <w:t>磅以下乘用車。在合規義務方面，所有受規範的</w:t>
      </w:r>
      <w:r w:rsidRPr="00D33ADA">
        <w:t>VCS</w:t>
      </w:r>
      <w:r w:rsidRPr="00D33ADA">
        <w:t>硬體進口商及聯網車輛製造商須每年提交合規聲明</w:t>
      </w:r>
      <w:r w:rsidRPr="00D33ADA">
        <w:t>(Declaration of Conformity)</w:t>
      </w:r>
      <w:r w:rsidRPr="00D33ADA">
        <w:t>，並須保存相關交易記錄達</w:t>
      </w:r>
      <w:r w:rsidRPr="00D33ADA">
        <w:t>10</w:t>
      </w:r>
      <w:r w:rsidRPr="00D33ADA">
        <w:t>年。美國商務部工業與安全局亦明確指出，將參考業者是否符合</w:t>
      </w:r>
      <w:r w:rsidRPr="00D33ADA">
        <w:t>ISO/SAE 21434</w:t>
      </w:r>
      <w:r w:rsidRPr="00D33ADA">
        <w:t>、</w:t>
      </w:r>
      <w:r w:rsidRPr="00D33ADA">
        <w:t>UN R155</w:t>
      </w:r>
      <w:r w:rsidRPr="00D33ADA">
        <w:t>及美國國家公路交通安全管理局資安最佳實踐等標準，作為評估豁免申請的重要依據</w:t>
      </w:r>
      <w:r w:rsidRPr="00D33ADA">
        <w:rPr>
          <w:rStyle w:val="af4"/>
        </w:rPr>
        <w:footnoteReference w:id="33"/>
      </w:r>
      <w:r w:rsidRPr="00D33ADA">
        <w:t>，讓供應鏈中</w:t>
      </w:r>
      <w:r w:rsidRPr="00D33ADA">
        <w:rPr>
          <w:rFonts w:hint="eastAsia"/>
        </w:rPr>
        <w:t>仍</w:t>
      </w:r>
      <w:r w:rsidRPr="00D33ADA">
        <w:t>有中國</w:t>
      </w:r>
      <w:r w:rsidRPr="00D33ADA">
        <w:rPr>
          <w:rFonts w:hint="eastAsia"/>
        </w:rPr>
        <w:t>大陸</w:t>
      </w:r>
      <w:r w:rsidRPr="00D33ADA">
        <w:t>來源</w:t>
      </w:r>
      <w:r w:rsidRPr="00D33ADA">
        <w:rPr>
          <w:rFonts w:hint="eastAsia"/>
        </w:rPr>
        <w:t>之</w:t>
      </w:r>
      <w:r w:rsidRPr="00D33ADA">
        <w:t>零件，但廠商能夠證明已建立符合上述標準的資安管理體系，有機會透過豁免申請繼續出口至美國市場。</w:t>
      </w:r>
      <w:r>
        <w:rPr>
          <w:b/>
          <w:color w:val="E65900"/>
          <w:sz w:val="18"/>
        </w:rPr>
        <w:t xml:space="preserve">  [⚠️待更新-A7] BIS 已預告將研議擴大至商用車（&gt;10,001磅）；請確認是否已另行公告。建議查詢：bis.doc.gov</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w:t>
      </w:r>
      <w:r w:rsidRPr="00D33ADA">
        <w:t>Nelson Mullins</w:t>
      </w:r>
      <w:r w:rsidRPr="00D33ADA">
        <w:t>的分析指出，加州隱私保護局</w:t>
      </w:r>
      <w:r w:rsidRPr="00D33ADA">
        <w:t>(California Privacy Protection Agency, CPPA)</w:t>
      </w:r>
      <w:r w:rsidRPr="00D33ADA">
        <w:t>於</w:t>
      </w:r>
      <w:r w:rsidRPr="00D33ADA">
        <w:t>2023</w:t>
      </w:r>
      <w:r w:rsidRPr="00D33ADA">
        <w:t>年</w:t>
      </w:r>
      <w:r w:rsidRPr="00D33ADA">
        <w:t>7</w:t>
      </w:r>
      <w:r w:rsidRPr="00D33ADA">
        <w:t>月啟動聯網車輛隱私實踐審查，成為全美首個針對汽車產業展開專項隱私審查的</w:t>
      </w:r>
      <w:r w:rsidRPr="00D33ADA">
        <w:lastRenderedPageBreak/>
        <w:t>州級機構；</w:t>
      </w:r>
      <w:r w:rsidRPr="00D33ADA">
        <w:t>2025</w:t>
      </w:r>
      <w:r w:rsidRPr="00D33ADA">
        <w:t>年</w:t>
      </w:r>
      <w:r w:rsidRPr="00D33ADA">
        <w:t>3</w:t>
      </w:r>
      <w:r w:rsidRPr="00D33ADA">
        <w:t>月，加州檢察長進一步宣布對多家整車廠展開調查，評估其蒐集並出售駕駛人數據的行為是否符合《加州消費者隱私法》</w:t>
      </w:r>
      <w:r w:rsidRPr="00D33ADA">
        <w:t>(California Consumer Privacy Act, CCPA)</w:t>
      </w:r>
      <w:r w:rsidRPr="00D33ADA">
        <w:t>，表明車輛產生的數據不再被視為創新的副產品，而是需要嚴格監管的高度敏感消費者資訊。</w:t>
      </w:r>
      <w:r>
        <w:rPr>
          <w:b/>
          <w:color w:val="E65900"/>
          <w:sz w:val="18"/>
        </w:rPr>
        <w:t xml:space="preserve">  [⚠️待更新-A8] 請確認調查結論、裁罰或和解情況。建議查詢：加州檢察長官網 oag.ca.gov</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2024年已涵蓋逾70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w:t>
      </w:r>
      <w:r w:rsidRPr="00D33ADA">
        <w:t>Robotaxi</w:t>
      </w:r>
      <w:r w:rsidRPr="00D33ADA">
        <w:t>子公司</w:t>
      </w:r>
      <w:r w:rsidRPr="00D33ADA">
        <w:t>Cruise</w:t>
      </w:r>
      <w:r w:rsidRPr="00D33ADA">
        <w:t>於</w:t>
      </w:r>
      <w:r w:rsidRPr="00D33ADA">
        <w:t>2023</w:t>
      </w:r>
      <w:r w:rsidRPr="00D33ADA">
        <w:t>年</w:t>
      </w:r>
      <w:r w:rsidRPr="00D33ADA">
        <w:t>10</w:t>
      </w:r>
      <w:r w:rsidRPr="00D33ADA">
        <w:t>月在舊金山發生行人拖行事故，遭加州機動車輛管理局</w:t>
      </w:r>
      <w:r w:rsidRPr="00D33ADA">
        <w:t>(DMV)</w:t>
      </w:r>
      <w:r w:rsidRPr="00D33ADA">
        <w:t>吊銷無人駕駛許可，並於</w:t>
      </w:r>
      <w:r w:rsidRPr="00D33ADA">
        <w:t>2024</w:t>
      </w:r>
      <w:r w:rsidRPr="00D33ADA">
        <w:t>年</w:t>
      </w:r>
      <w:r w:rsidRPr="00D33ADA">
        <w:t>12</w:t>
      </w:r>
      <w:r w:rsidRPr="00D33ADA">
        <w:t>月正式宣布停止資助</w:t>
      </w:r>
      <w:r w:rsidRPr="00D33ADA">
        <w:t>Cruise Robotaxi</w:t>
      </w:r>
      <w:r w:rsidRPr="00D33ADA">
        <w:t>業務後</w:t>
      </w:r>
      <w:r w:rsidRPr="00D33ADA">
        <w:rPr>
          <w:rStyle w:val="af4"/>
        </w:rPr>
        <w:footnoteReference w:id="48"/>
      </w:r>
      <w:r w:rsidRPr="00D33ADA">
        <w:t>，並未就此退出自動駕駛領域，反而宣布重新布局自動駕駛。通用汽車宣示以</w:t>
      </w:r>
      <w:r w:rsidRPr="00D33ADA">
        <w:t>2028</w:t>
      </w:r>
      <w:r w:rsidRPr="00D33ADA">
        <w:t>年為目標，推出搭載「雙手離開、雙眼離開」</w:t>
      </w:r>
      <w:r w:rsidRPr="00D33ADA">
        <w:t>(hands-off, eyes-off)Level 3</w:t>
      </w:r>
      <w:r w:rsidRPr="00D33ADA">
        <w:t>自動駕駛系統的</w:t>
      </w:r>
      <w:r w:rsidRPr="00D33ADA">
        <w:t>Cadillac Escalade IQ</w:t>
      </w:r>
      <w:r w:rsidRPr="00D33ADA">
        <w:t>，持續推進自動駕駛技術的商業化進程</w:t>
      </w:r>
      <w:r w:rsidRPr="00D33ADA">
        <w:rPr>
          <w:rStyle w:val="af4"/>
        </w:rPr>
        <w:footnoteReference w:id="49"/>
      </w:r>
      <w:r w:rsidRPr="00D33ADA">
        <w:t>。</w:t>
      </w:r>
      <w:r>
        <w:rPr>
          <w:b/>
          <w:color w:val="E65900"/>
          <w:sz w:val="18"/>
        </w:rPr>
        <w:t xml:space="preserve">  [⚠️待更新-A10] GM Cruise 重啟計畫是否仍維持 2028 年目標，請確認有無時程調整。建議查詢：GM 官方新聞室 gm.com/news</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