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:rsidR="00000000" w:rsidDel="00000000" w:rsidP="00000000" w:rsidRDefault="00000000" w:rsidRPr="00000000" w14:paraId="0000000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:rsidR="00000000" w:rsidDel="00000000" w:rsidP="00000000" w:rsidRDefault="00000000" w:rsidRPr="00000000" w14:paraId="0000000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Gerenciar Questões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Cadastrar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&lt;1.0&gt;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 G. Silva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Listar Questões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2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“Cadastrar Questão” permite que o usuário “Professor/Coordenador”, insira uma nova questão no banco de dados do sistema, juntamente com as respectivas opções dela. No fim do processo, o usuário “Professor/Coordenador” escolhe a opção que será a resposta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- Cadastrar questão no banco de dados</w:t>
      </w:r>
    </w:p>
    <w:p w:rsidR="00000000" w:rsidDel="00000000" w:rsidP="00000000" w:rsidRDefault="00000000" w:rsidRPr="00000000" w14:paraId="0000003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Cadastrar questão no banco de dados</w:t>
      </w:r>
    </w:p>
    <w:p w:rsidR="00000000" w:rsidDel="00000000" w:rsidP="00000000" w:rsidRDefault="00000000" w:rsidRPr="00000000" w14:paraId="0000003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09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pressiona o botão de “Cadastrar Questão”, na tela de listagem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Renderizar o formulário de cadastro de questão</w:t>
      </w:r>
    </w:p>
    <w:p w:rsidR="00000000" w:rsidDel="00000000" w:rsidP="00000000" w:rsidRDefault="00000000" w:rsidRPr="00000000" w14:paraId="0000003C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renderiza uma tela contendo um formulário com os campos relacionados aos dados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i w:val="1"/>
          <w:sz w:val="20"/>
          <w:szCs w:val="20"/>
          <w:u w:val="none"/>
        </w:rPr>
      </w:pPr>
      <w:bookmarkStart w:colFirst="0" w:colLast="0" w:name="_heading=h.5dj4cpsohkqz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 usuário preenche os dados da questão</w:t>
      </w:r>
    </w:p>
    <w:p w:rsidR="00000000" w:rsidDel="00000000" w:rsidP="00000000" w:rsidRDefault="00000000" w:rsidRPr="00000000" w14:paraId="0000003E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preenche os dados e as opções da questão no formulário com base nas regras definidas.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i w:val="1"/>
          <w:sz w:val="20"/>
          <w:szCs w:val="20"/>
          <w:u w:val="none"/>
        </w:rPr>
      </w:pPr>
      <w:bookmarkStart w:colFirst="0" w:colLast="0" w:name="_heading=h.2sw5qhtz9lmb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 usuário seleciona a opção correta.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seleciona a opção correta na lista de opções cadastradas anteriormente.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uma mensagem para o usuário reportando o sucesso da operação.</w:t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48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o que acontece quando algo inesperado ocorre durante a realização do Fluxo Principal/Alternativo (por exemplo: a. quando o usuário realiza alguma ação inválida; b. quando o servidor de banco de dados está indisponível; c. não preenchimento de campo obrigatório).&gt;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fluxo principal/alternativo&gt;) &lt;Nome  Fluxo de Exceção 1&gt;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(&lt;&lt;Identificador fluxo principal/alternativo&gt;&gt;) &lt;&lt;Nome Fluxo de Exceção 2&gt;&gt;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&lt;&lt;Descrever a condição para ocorrência&gt;&gt;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&lt;&lt;descrever a ação&gt;&gt;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[Finalizar fluxo da forma mais adequada, indicando qual o próximo passo a ser executado (incluindo sigla do fluxo principal/alternativo, se existir)].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5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todas as normas, regulamentações, leis e restirições que o sistema deve obedecer para a execução deste caso de uso. Essas regras são apresentada no decorrer da especificação do caso de uso e são descritas novamente nessa seção de forma sequencial e organizada&gt;</w:t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5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Obrigatório.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Conceito: Estado que o sistema alcança após o caso de uso ter sido realizado ou geração de informações sem alteração do estado do sistema.</w:t>
      </w:r>
    </w:p>
    <w:p w:rsidR="00000000" w:rsidDel="00000000" w:rsidP="00000000" w:rsidRDefault="00000000" w:rsidRPr="00000000" w14:paraId="0000005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condições que deverão ser atendidas após a execução do caso de uso. A descrição de cada pós-condição listada deve estar conjugada no tempo passado. Ex.: a. Relatório gerado pelo sistema; b. Registro de log incluído no banco de dados; c. Registro alterado no banco de dados; d. Usuário notificado por e-mail.&gt;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pós-condição 01&gt;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pós-condição 02&gt;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&lt;Nome dos Casos de Uso que são usados obrigatoriamente.&gt;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&lt;Nome dos Casos de Uso que são usados em situações especificas, sendo sua execução não obrigatória.&gt;</w:t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5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&lt;Anexar aqui o fluxo da atividade do negócio. O fluxo deve esta de acordo com as informações descrita neste caso de uso&gt;</w:t>
      </w:r>
    </w:p>
    <w:p w:rsidR="00000000" w:rsidDel="00000000" w:rsidP="00000000" w:rsidRDefault="00000000" w:rsidRPr="00000000" w14:paraId="0000005E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Listar Questões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&lt;1.0&gt;</w:t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9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1429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2149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869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589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4309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5029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YNtXYdCpidu1JrmSxg7sCz0hlg==">AMUW2mUBifWFYLl3C0ZIXf5KM9aF74pZJPV6I7nGDHFyiv2iotIkwJ5gQWYNtO+Wo3LytLj77eN3xCmfTC1c08mPf6AHoz6XRTDowu7WO6hZpbaR4HxQJ4Ldey+g3sYQY8cTkjckV2/zSOiSPUldFCdf3O9426fJOP4bqQiPm9dcHPpmrAoUi7GIPzMBvxp651OMioVzIe3wQW4mg8ea/d/ZSJ1BWEGAG8d/poeeOkzWdRie36nnXUx5tNepbsOXLE1oua/8KBpdEdFNmYqSuE0L00WbmETG8REu47lgtwA1AXdo+wU8cUAQbZppytyO3uVsAcjh7h/k+ldMyyl1QZgI37PzYkOBmRnAaYK3AdYdV9Y/DDkcD9mwbE4bKkWnBqXuPvUGQWeJbE6an523FV+jwYpeSZ6gvjsWiI/9fq6qEvsFqTNvM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