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bookmarkStart w:colFirst="0" w:colLast="0" w:name="_heading=h.l8v1uubulcnh" w:id="0"/>
      <w:bookmarkEnd w:id="0"/>
      <w:r w:rsidDel="00000000" w:rsidR="00000000" w:rsidRPr="00000000">
        <w:rPr>
          <w:rtl w:val="0"/>
        </w:rPr>
        <w:t xml:space="preserve">Funcionalidade: Fazer Login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bookmarkStart w:colFirst="0" w:colLast="0" w:name="_heading=h.5ebvn0l8aqpl" w:id="1"/>
      <w:bookmarkEnd w:id="1"/>
      <w:r w:rsidDel="00000000" w:rsidR="00000000" w:rsidRPr="00000000">
        <w:rPr>
          <w:rtl w:val="0"/>
        </w:rPr>
        <w:t xml:space="preserve">Caso de Uso: Fazer Login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bookmarkStart w:colFirst="0" w:colLast="0" w:name="_heading=h.51dkadud1sif" w:id="2"/>
      <w:bookmarkEnd w:id="2"/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pStyle w:val="Title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&lt;Nome do Caso de Uso&gt;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fazer Login permite ao aluno ter acesso às funcionalidades do website Icourse.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Alunos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Pré-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 deve ter a solicitação de cadastro autorizada pelo coordenador para que possa ter acesso ao website Icourse.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60" w:before="60" w:line="3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FP1.  Iniciar Caso de Uso</w:t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ator (aluno/professor) tenta acessar o website, entrando na tela de login.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FP2.  Fazer login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jc w:val="left"/>
        <w:rPr>
          <w:rFonts w:ascii="Arial" w:cs="Arial" w:eastAsia="Arial" w:hAnsi="Arial"/>
          <w:sz w:val="20"/>
          <w:szCs w:val="20"/>
          <w:highlight w:val="white"/>
        </w:rPr>
      </w:pPr>
      <w:bookmarkStart w:colFirst="0" w:colLast="0" w:name="_heading=h.nxb2xjdwy0l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Na tela de login o aluno/professor deve  preencher os campos solicitados: ‘e-mail’ e ‘senha’ e clicar em “Entrar” para fazer o login.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FP3.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permite que o aluno/professor tenha acesso ao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(FP2. Fazer Login) </w:t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ator desiste de fazer login e sai da página.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FA2. (FP2. Fazer Login) 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aluno/professor insere dados incorretos nos campos ‘e-mail’ ou ‘senha’, e o sistema no FP3 não concede o acesso mostrando uma mensagem que pede que o usuário tente novamente.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FE1.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(FP2. Fazer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Falha na conexão com o banco de dados que não consegue verificar os dados do aluno/professor, o sistema mostra uma mensagem informando a falha. *?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aluno/professor tem acesso às respectivas funcionalidades do website, tendo suas ações salvas quando necessário.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60" w:before="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Registro de log incluído no banco de dados</w:t>
      </w:r>
    </w:p>
    <w:p w:rsidR="00000000" w:rsidDel="00000000" w:rsidP="00000000" w:rsidRDefault="00000000" w:rsidRPr="00000000" w14:paraId="00000047">
      <w:pPr>
        <w:widowControl w:val="0"/>
        <w:spacing w:after="60" w:before="60" w:lineRule="auto"/>
        <w:ind w:left="72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  <w:t xml:space="preserve">Pontos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17"/>
          <w:bookmarkEnd w:id="1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m7Rg2Oz4+jo8dDTh9FjiEvDbg==">AMUW2mXjdQ1wF0WqkhxAgvH1Ia5hrYtrPZFX7PSW//ZjKSyZm4VkCCNEzcPtVtZQ4IteCq3HCT1tLawsmw7AgPLQT33pkq3hHxU/lA8nYJG2s/NW3aTWEUATViJARVtTRD1SbUl2NwLwEFq+BWsLFSTEoAJ9rqOCmzucHwdmIGRfq8M0QjdG6yhcXgUEZK+MIzHuCWEKes+erjrO3iK4XX5deYAjXNBIPOj0tUlAufTo/+FMOOpLtPrSVV0hF6MUa7ghLMSoMW3cTsaFq+i74+eU8dgbF68FnkRS0i7yMvh5qBlZsdhV/oCAwNwAnn15ixS0WwW6qb+zoC/cvnf/eH2fXjyWwDQRQyVzvHl+RGiGYngZ/p2Z2aQmsoe3FWGzTN+yE8ZKlh35E8x6KlZm3w9U8Rnmu94l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