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Nota1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as notas.&gt;</w:t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Nota2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Para que a numeração seja mantida, consistente com o padrão, os títulos das seções e subseções devem continuar aparecendo no documento, indicando-se “Não se aplica.” no respectivo corpo quando não houver informações a serem colocadas.&gt;</w:t>
      </w:r>
    </w:p>
    <w:p w:rsidR="00000000" w:rsidDel="00000000" w:rsidP="00000000" w:rsidRDefault="00000000" w:rsidRPr="00000000" w14:paraId="0000000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Gerenciar Questões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Listar Questões</w:t>
      </w:r>
    </w:p>
    <w:p w:rsidR="00000000" w:rsidDel="00000000" w:rsidP="00000000" w:rsidRDefault="00000000" w:rsidRPr="00000000" w14:paraId="0000000F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&lt;1.0&gt;</w:t>
      </w:r>
    </w:p>
    <w:p w:rsidR="00000000" w:rsidDel="00000000" w:rsidP="00000000" w:rsidRDefault="00000000" w:rsidRPr="00000000" w14:paraId="00000010">
      <w:pPr>
        <w:spacing w:after="120" w:before="240" w:lineRule="auto"/>
        <w:rPr/>
        <w:sectPr>
          <w:headerReference r:id="rId9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Mathews Matos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B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Listar Questões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2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“Listar Questões” permite que o usuário “professor/Coordenador”, visualize as questões cadastradas no banco de dados do sistema, quais foram utilizadas, pendentes de liberação para utilização em um simulado e liberadas para utilização.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- Visualiza as Questões lançadas no banco de dados</w:t>
      </w:r>
    </w:p>
    <w:p w:rsidR="00000000" w:rsidDel="00000000" w:rsidP="00000000" w:rsidRDefault="00000000" w:rsidRPr="00000000" w14:paraId="0000003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 - Visualiza as Questões lançadas no banco de dados</w:t>
      </w:r>
    </w:p>
    <w:p w:rsidR="00000000" w:rsidDel="00000000" w:rsidP="00000000" w:rsidRDefault="00000000" w:rsidRPr="00000000" w14:paraId="0000003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Pré-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autorizado e autenticado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9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Obrigatório.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 Conceito: Descreve o que normalmente acontece (caminho mais comum ou caminho feliz) quando o caso de uso é realizado.</w:t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Deve ser incluída para cada atividade: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60" w:before="60" w:lineRule="auto"/>
        <w:ind w:left="1429" w:hanging="36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Ordem e a descrição da atividade.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60" w:before="60" w:lineRule="auto"/>
        <w:ind w:left="1429" w:hanging="36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Cada título de um item do fluxo principal deve sempre começar com um verbo no infinitivo (indica apenas uma ação).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60" w:before="60" w:lineRule="auto"/>
        <w:ind w:left="1429" w:hanging="36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 descrição do passo deve estar conjugada no tempo presente.&gt;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</w:p>
    <w:p w:rsidR="00000000" w:rsidDel="00000000" w:rsidP="00000000" w:rsidRDefault="00000000" w:rsidRPr="00000000" w14:paraId="0000003F">
      <w:pPr>
        <w:spacing w:line="360" w:lineRule="auto"/>
        <w:ind w:left="709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pressiona o ícone de “Listar questões”, na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Selecionar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&lt;Descrição da Atividade 02&gt;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Ex. O sistema apresenta uma mensagem para o usuário reportando o sucesso da operação.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Exemplo incorreto : O Caso de uso finaliza quando o ator seleciona a opção finalizar.</w:t>
      </w:r>
    </w:p>
    <w:p w:rsidR="00000000" w:rsidDel="00000000" w:rsidP="00000000" w:rsidRDefault="00000000" w:rsidRPr="00000000" w14:paraId="00000045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7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o que acontece quando o ator faz uma escolha alternativa, diferente da descrita no Fluxo Principal, para alcançar o seu objetivo.&gt;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(&lt;Identificador fluxo principal/alternativo&gt;) &lt;Nome Fluxo Alternativo 1&gt;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condição para ocorrência&gt;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ação&gt;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&lt;Finalizar fluxo da forma mais adequada, indicando qual o próximo passo a ser executado (incluindo sigla do fluxo principal/alternativo, se existir).&gt;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(&lt;Identificador  fluxo principal/alternativo&gt;) &lt;Nome Fluxo Alternativo 2&gt;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condição para ocorrência&gt;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ação&gt;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&lt;Finalizar fluxo da forma mais adequada, indicando qual o próximo passo a ser executado (incluindo sigla do fluxo principal/alternativo, se existir).&gt;</w:t>
      </w:r>
    </w:p>
    <w:p w:rsidR="00000000" w:rsidDel="00000000" w:rsidP="00000000" w:rsidRDefault="00000000" w:rsidRPr="00000000" w14:paraId="0000004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5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o que acontece quando algo inesperado ocorre durante a realização do Fluxo Principal/Alternativo (por exemplo: a. quando o usuário realiza alguma ação inválida; b. quando o servidor de banco de dados está indisponível; c. não preenchimento de campo obrigatório).&gt;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(&lt;Identificador fluxo principal/alternativo&gt;) &lt;Nome  Fluxo de Exceção 1&gt;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condição para ocorrência&gt;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ação&gt;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&lt;Finalizar fluxo da forma mais adequada, indicando qual o próximo passo a ser executado (incluindo sigla do fluxo principal/alternativo, se existir).&gt;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(&lt;&lt;Identificador fluxo principal/alternativo&gt;&gt;) &lt;&lt;Nome Fluxo de Exceção 2&gt;&gt;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&lt;&lt;Descrever a condição para ocorrência&gt;&gt;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&lt;&lt;descrever a ação&gt;&gt;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[Finalizar fluxo da forma mais adequada, indicando qual o próximo passo a ser executado (incluindo sigla do fluxo principal/alternativo, se existir)].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58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todas as normas, regulamentações, leis e restirições que o sistema deve obedecer para a execução deste caso de uso. Essas regras são apresentada no decorrer da especificação do caso de uso e são descritas novamente nessa seção de forma sequencial e organizada&gt;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5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Obrigatório.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 Conceito: Estado que o sistema alcança após o caso de uso ter sido realizado ou geração de informações sem alteração do estado do sistema.</w:t>
      </w:r>
    </w:p>
    <w:p w:rsidR="00000000" w:rsidDel="00000000" w:rsidP="00000000" w:rsidRDefault="00000000" w:rsidRPr="00000000" w14:paraId="0000005B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condições que deverão ser atendidas após a execução do caso de uso. A descrição de cada pós-condição listada deve estar conjugada no tempo passado. Ex.: a. Relatório gerado pelo sistema; b. Registro de log incluído no banco de dados; c. Registro alterado no banco de dados; d. Usuário notificado por e-mail.&gt;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pós-condição 01&gt;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pós-condição 02&gt;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&lt;Nome dos Casos de Uso que são usados obrigatoriamente.&gt;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&lt;Nome dos Casos de Uso que são usados em situações especificas, sendo sua execução não obrigatória.&gt;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6"/>
        </w:numPr>
        <w:ind w:left="431" w:hanging="431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65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&lt;Anexar aqui o fluxo da atividade do negócio. O fluxo deve esta de acordo com as informações descrita neste caso de uso&gt;</w:t>
      </w:r>
    </w:p>
    <w:p w:rsidR="00000000" w:rsidDel="00000000" w:rsidP="00000000" w:rsidRDefault="00000000" w:rsidRPr="00000000" w14:paraId="00000066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6"/>
        </w:numPr>
        <w:ind w:left="431" w:hanging="43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Listar Questões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1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FA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/jvX3B33EzuaJAndZvfzu2RIYQ==">AMUW2mVkkeo6ctnb1kN2hdqW8wuXmAXslcXEPR5nBfFqmXKclbDjbySc66YNPaG7SHDvPicYBDBACWne+g90nfNoPpE34rLJnmPpzb+SNAnmicMKhyoXxdrYlpiphyZFg68p9JttmhtnqalrjP98Yff5ksZ1oocJfVknRK8kRkfvlczqPs6W83t5ac1cha5AwSar0OpTDpY44u7EKETGU6bU/olpelQ26q8wfdNVkR8mtVP+ZopVNZ2ZAFlFArwDOFoT92osoUpfWEx8jwQ1N0LtJvEKbJkmAzgpFXmrHvfyGLMcZ68xIeB7fhyWC9njoEKD4QiAENU4pEbiI4p0VYdS6OIDcF7nKFP13ePq9goUjypm1LKA/wXuN5oAwjQW+yS20EgCJuNNFH0BgfoA9E21ptjGVml2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