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bookmarkStart w:colFirst="0" w:colLast="0" w:name="_heading=h.kvg3eupp0zhi" w:id="0"/>
      <w:bookmarkEnd w:id="0"/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Usuários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Desativar Acesso a Conta de Usuário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26/04/2021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6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8m1zopoago9r" w:id="1"/>
      <w:bookmarkEnd w:id="1"/>
      <w:r w:rsidDel="00000000" w:rsidR="00000000" w:rsidRPr="00000000">
        <w:rPr>
          <w:rtl w:val="0"/>
        </w:rPr>
        <w:t xml:space="preserve">Desativar Acesso à Conta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ind w:left="432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Desativar Acesso a Conta do Usuário deve permitir que o usuário coordenador possa realizar o processo de desativar o acesso de algum outro usuário no website, seja aluno ou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B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Coordenador: Desativa o Acesso a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134" w:hanging="42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logado como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120" w:line="360" w:lineRule="auto"/>
        <w:ind w:left="709"/>
        <w:rPr>
          <w:i w:val="1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</w:p>
    <w:p w:rsidR="00000000" w:rsidDel="00000000" w:rsidP="00000000" w:rsidRDefault="00000000" w:rsidRPr="00000000" w14:paraId="00000031">
      <w:pPr>
        <w:spacing w:before="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ko5g4fcmz9e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na tela de gerenciamento de usuários quando o coordenador seleciona a opção ‘Desativar Acessos’.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Usuário</w:t>
      </w:r>
    </w:p>
    <w:p w:rsidR="00000000" w:rsidDel="00000000" w:rsidP="00000000" w:rsidRDefault="00000000" w:rsidRPr="00000000" w14:paraId="00000033">
      <w:pPr>
        <w:spacing w:before="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z64yoy14wlx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desativar acessos será mostrada uma lista com todos os usuários cadastrados e o coordenador poderá selecionar o usuário desejado.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pf547u50his4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Desativar Acesso do Usuário</w:t>
      </w:r>
    </w:p>
    <w:p w:rsidR="00000000" w:rsidDel="00000000" w:rsidP="00000000" w:rsidRDefault="00000000" w:rsidRPr="00000000" w14:paraId="00000035">
      <w:pPr>
        <w:spacing w:before="0" w:line="360" w:lineRule="auto"/>
        <w:ind w:left="709" w:firstLine="0"/>
        <w:rPr/>
      </w:pPr>
      <w:bookmarkStart w:colFirst="0" w:colLast="0" w:name="_heading=h.1z64yoy14wlx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aberta uma tela com os dados do usuário selecionado, o coordenador poderá selecionar a opção  “Desativar Acesso” para bloquear o login daquele usuário no website.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7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uma mensagem para o coordenador informando que o acesso do usuário ao website foi desativado e dispara um e-mail ao usuário.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360" w:lineRule="auto"/>
        <w:ind w:left="432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(FP4 Desativar Acesso do Usuário) Servidor de banco de dados indisponível</w:t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não permite a partir desse momento que o usuário com acesso desativado faça o login no website.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dispara um e-mail para o usuário desativado.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Desativar acesso à conta do usuário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5F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Preparatório ENEM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F+3bvHDCre2CJ01t3tp3eUjig==">AMUW2mWs5zsyKAtSXJzWx7wU9RHLBVvZvcQpqz6yng1MDD7LeVYaCe5aK5N5VIKNAQa6+rkFddCyMa4Bud0IwcGgNV6ZsTdQNYJPyT7svEcD0Cb19Zm50DzSa/RKb+ou1RUPIrlJdYns/Hq7Jd4o8wAWK/f9L9yRe3PutwwWVQdvBoCa6ws47jaNisPd56QqR6iMnZkHnW4rYXtY6GqmaFzLq+s3PgVvD+UiTBNQQcWtucpx6hi5xYh7fdmW55+oXPNekmKFiGVCCNzi3A0cpzbZGy2TW9pQ7xJpXr5oxT4dqnjIeNaC4rSfkjfWpxTWtXoSXVRJuHx9GvW3MFwusEg838Ucg26WSjoKHbxr/i6LIZJPmCVFYdRIwoDIe+F6nbjkavumPWJsb4jXWPB12G2Oh7u9Er/tzs1SOF+XgWV+Hferh62xyWU7HIjjdBaXVfvKfGEkBiT/qb28cMNHoAE1hydpNVz+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