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 e Leiciane Pereira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8</w:t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Visualizar Gráfico deve permitir que o aluno veja o gráfico de linhas que indicará sua evolução de acordo com o tempo.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Aluno - Visualiza gráfico.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É necessário que haja pelo menos um simulado finalizado e uma nota calculada.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aluno acessa o sistema após realizar o login.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Gerar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irá puxar do banco as notas salvas, analisar estes dados e gerar um gráfico de linha com base neles.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6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exibido o gráfico de linha na tela inicial do aluno.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 Gerar gráfico) Impossível gerar gráfico</w:t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verifica que aquele aluno ainda não possui notas calculadas salvas no banco de dados. Vai para o FP3, com a mensagem: “Não é possível gerar um gráfico sem notas salvas”.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Contate o suporte do sistema.”.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4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8"/>
          <w:bookmarkEnd w:id="1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Visualizar gráfico</w:t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04/05/2021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85.0" w:type="dxa"/>
      <w:jc w:val="center"/>
      <w:tblLayout w:type="fixed"/>
      <w:tblLook w:val="0400"/>
    </w:tblPr>
    <w:tblGrid>
      <w:gridCol w:w="180"/>
      <w:gridCol w:w="10305"/>
      <w:tblGridChange w:id="0">
        <w:tblGrid>
          <w:gridCol w:w="180"/>
          <w:gridCol w:w="10305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jc w:val="left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Preparatório ENEM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5IPoI4tuVaEcPb5kPLRB/rk5g==">AMUW2mVxVJneOI4dXP0ClHnReQJISw7pC2iZshzLX9QDgDWlqNiVIhuDkGL/VpgrFburKBqx1XzxyzHe0uaaJpbjkV3bVp7RxkKybaGMJPIi/E0iFnUpt+kZ79WBwAN2LIfTx01oj5GZVfzzzNKEm8HrOuab+9vikw15wUK0VmHMeh1EtW+9LghAL3EFfnOzi5BqqXbjH34RIJYH5xF7zBo3V/tKeeznId+/gpW7QNDi76N8+Kjud2e1Eo0h74gc0/wKF1R5VbByXyMOixc9QihIuR+yBdwiRAHH9uATGwcBOlsid0UPl7gMwF7ok85/PMhEUDAma7RUA6SDN9Uxxv7y+1I2F3ayoynvbKbxtYQ8GHuJEyxhnqAKDwsPe2kXAhZvQEX6c6/9qBd63PIhqdG8ZT7ApGc2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