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65.0" w:type="dxa"/>
        <w:jc w:val="left"/>
        <w:tblBorders>
          <w:top w:color="cccccc" w:space="0" w:val="single" w:sz="6"/>
          <w:left w:color="cccccc" w:space="0" w:val="single" w:sz="6"/>
          <w:bottom w:color="cccccc" w:space="0" w:val="single" w:sz="6"/>
          <w:right w:color="cccccc" w:space="0" w:val="single" w:sz="6"/>
          <w:insideH w:color="cccccc" w:space="0" w:val="single" w:sz="6"/>
          <w:insideV w:color="cccccc" w:space="0" w:val="single" w:sz="6"/>
        </w:tblBorders>
        <w:tblLayout w:type="fixed"/>
        <w:tblLook w:val="0600"/>
      </w:tblPr>
      <w:tblGrid>
        <w:gridCol w:w="5265"/>
        <w:gridCol w:w="4500"/>
        <w:tblGridChange w:id="0">
          <w:tblGrid>
            <w:gridCol w:w="5265"/>
            <w:gridCol w:w="450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Nome do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Efetuar venda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Ator principal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e gerente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Pré-condições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ou gerente está logado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Garantias de sucesso (pós-condições)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ou gerente efetua a venda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 de sucesso principal (fluxo principal)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b w:val="1"/>
                <w:sz w:val="20"/>
                <w:u w:val="none"/>
              </w:rPr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Cliente solicita ao funcionário os produtos desejados;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b w:val="1"/>
                <w:sz w:val="20"/>
                <w:u w:val="none"/>
              </w:rPr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identifica os produtos no estoque;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b w:val="1"/>
                <w:sz w:val="20"/>
                <w:u w:val="none"/>
              </w:rPr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registra cada um dos produtos;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b w:val="1"/>
                <w:sz w:val="20"/>
                <w:u w:val="none"/>
              </w:rPr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localiza o cadastro do cliente;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b w:val="1"/>
                <w:sz w:val="20"/>
                <w:u w:val="none"/>
              </w:rPr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finaliza a venda dos produtos, informa o valor total da compra, entrega o comprovante de pagamento e entrega os produtos;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b w:val="1"/>
                <w:sz w:val="20"/>
                <w:u w:val="none"/>
              </w:rPr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Cliente vai embora com os produtos;</w:t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Cenários alternativos (fluxos alternativos)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2.a. Não há produtos no estoque.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   2.a.1. [OUT] Funcionário informa ao            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            cliente que não há este produto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            em estoque.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   2.a.2. Retorna ao fluxo principal no  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            passo 1.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4.a. Cliente não cadastrado.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   4.a.1. O cliente deve informar seus 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            dados para cadastro.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   4a.2 [IN] O funcionário registra o  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          cadastro.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   4a.3 Retorna ao fluxo principal no passo  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              4.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Variantes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 alternativo das variantes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Regras de Negócio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cccccc" w:space="0" w:val="single" w:sz="6"/>
          <w:left w:color="cccccc" w:space="0" w:val="single" w:sz="6"/>
          <w:bottom w:color="cccccc" w:space="0" w:val="single" w:sz="6"/>
          <w:right w:color="cccccc" w:space="0" w:val="single" w:sz="6"/>
          <w:insideH w:color="cccccc" w:space="0" w:val="single" w:sz="6"/>
          <w:insideV w:color="cccccc" w:space="0" w:val="single" w:sz="6"/>
        </w:tblBorders>
        <w:tblLayout w:type="fixed"/>
        <w:tblLook w:val="0600"/>
      </w:tblPr>
      <w:tblGrid>
        <w:gridCol w:w="5260"/>
        <w:gridCol w:w="4100"/>
        <w:tblGridChange w:id="0">
          <w:tblGrid>
            <w:gridCol w:w="5260"/>
            <w:gridCol w:w="410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Nome do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Processar serviço de montagem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Ator principal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e gerente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Pré-condições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Cliente solicita o serviço de montagem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Garantias de sucesso (pós-condições)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ou gerente finaliza o pedido de montagem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 de sucesso (fluxo principal)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Cenários alternativos (fluxos alternativos)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Variantes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 alternativo das variantes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Regras de Negócio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- Expandidos (1º iteração).docx</dc:title>
</cp:coreProperties>
</file>