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40"/>
          <w:szCs w:val="40"/>
        </w:rPr>
        <w:t xml:space="preserve">ArteTours</w:t>
      </w:r>
    </w:p>
    <w:p>
      <w:pPr>
        <w:spacing w:after="160"/>
        <w:jc w:val="center"/>
      </w:pPr>
      <w:r>
        <w:rPr>
          <w:rFonts w:ascii="Arial" w:cs="Arial" w:eastAsia="Arial" w:hAnsi="Arial"/>
          <w:b/>
          <w:bCs/>
          <w:sz w:val="24"/>
          <w:szCs w:val="24"/>
        </w:rPr>
        <w:t xml:space="preserve">POLÍTICA DE TRATAMIENTO DE DATOS PERSONALES — BORRADOR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cantSplit/>
        </w:trPr>
        <w:tc>
          <w:tcPr>
            <w:tcW w:type="dxa" w:w="28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rial" w:cs="Arial" w:eastAsia="Arial" w:hAnsi="Arial"/>
                <w:b/>
                <w:bCs/>
                <w:sz w:val="19"/>
                <w:szCs w:val="19"/>
              </w:rPr>
              <w:t xml:space="preserve">Código</w:t>
            </w:r>
          </w:p>
        </w:tc>
        <w:tc>
          <w:tcPr>
            <w:tcW w:type="dxa" w:w="7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rial" w:cs="Arial" w:eastAsia="Arial" w:hAnsi="Arial"/>
                <w:sz w:val="19"/>
                <w:szCs w:val="19"/>
              </w:rPr>
              <w:t xml:space="preserve">ART-GC-012</w:t>
            </w:r>
          </w:p>
        </w:tc>
      </w:tr>
      <w:tr>
        <w:trPr>
          <w:cantSplit/>
        </w:trPr>
        <w:tc>
          <w:tcPr>
            <w:tcW w:type="dxa" w:w="28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rial" w:cs="Arial" w:eastAsia="Arial" w:hAnsi="Arial"/>
                <w:b/>
                <w:bCs/>
                <w:sz w:val="19"/>
                <w:szCs w:val="19"/>
              </w:rPr>
              <w:t xml:space="preserve">Versión / fecha</w:t>
            </w:r>
          </w:p>
        </w:tc>
        <w:tc>
          <w:tcPr>
            <w:tcW w:type="dxa" w:w="7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rial" w:cs="Arial" w:eastAsia="Arial" w:hAnsi="Arial"/>
                <w:sz w:val="19"/>
                <w:szCs w:val="19"/>
              </w:rPr>
              <w:t xml:space="preserve">2.0 / 24 de octubre de 2026</w:t>
            </w:r>
          </w:p>
        </w:tc>
      </w:tr>
      <w:tr>
        <w:trPr>
          <w:cantSplit/>
        </w:trPr>
        <w:tc>
          <w:tcPr>
            <w:tcW w:type="dxa" w:w="28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rial" w:cs="Arial" w:eastAsia="Arial" w:hAnsi="Arial"/>
                <w:b/>
                <w:bCs/>
                <w:sz w:val="19"/>
                <w:szCs w:val="19"/>
              </w:rPr>
              <w:t xml:space="preserve">Elaboró</w:t>
            </w:r>
          </w:p>
        </w:tc>
        <w:tc>
          <w:tcPr>
            <w:tcW w:type="dxa" w:w="7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rial" w:cs="Arial" w:eastAsia="Arial" w:hAnsi="Arial"/>
                <w:sz w:val="19"/>
                <w:szCs w:val="19"/>
              </w:rPr>
              <w:t xml:space="preserve">[NOMBRE Y CARGO]</w:t>
            </w:r>
          </w:p>
        </w:tc>
      </w:tr>
      <w:tr>
        <w:trPr>
          <w:cantSplit/>
        </w:trPr>
        <w:tc>
          <w:tcPr>
            <w:tcW w:type="dxa" w:w="28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rial" w:cs="Arial" w:eastAsia="Arial" w:hAnsi="Arial"/>
                <w:b/>
                <w:bCs/>
                <w:sz w:val="19"/>
                <w:szCs w:val="19"/>
              </w:rPr>
              <w:t xml:space="preserve">Revisó</w:t>
            </w:r>
          </w:p>
        </w:tc>
        <w:tc>
          <w:tcPr>
            <w:tcW w:type="dxa" w:w="7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rial" w:cs="Arial" w:eastAsia="Arial" w:hAnsi="Arial"/>
                <w:sz w:val="19"/>
                <w:szCs w:val="19"/>
              </w:rPr>
              <w:t xml:space="preserve">[NOMBRE Y CARGO]</w:t>
            </w:r>
          </w:p>
        </w:tc>
      </w:tr>
      <w:tr>
        <w:trPr>
          <w:cantSplit/>
        </w:trPr>
        <w:tc>
          <w:tcPr>
            <w:tcW w:type="dxa" w:w="28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rial" w:cs="Arial" w:eastAsia="Arial" w:hAnsi="Arial"/>
                <w:b/>
                <w:bCs/>
                <w:sz w:val="19"/>
                <w:szCs w:val="19"/>
              </w:rPr>
              <w:t xml:space="preserve">Aprobó</w:t>
            </w:r>
          </w:p>
        </w:tc>
        <w:tc>
          <w:tcPr>
            <w:tcW w:type="dxa" w:w="7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rial" w:cs="Arial" w:eastAsia="Arial" w:hAnsi="Arial"/>
                <w:sz w:val="19"/>
                <w:szCs w:val="19"/>
              </w:rPr>
              <w:t xml:space="preserve">Mariana Cano López, representante legal</w:t>
            </w:r>
          </w:p>
        </w:tc>
      </w:tr>
    </w:tbl>
    <w:p>
      <w:pPr>
        <w:spacing w:after="80"/>
      </w:pPr>
    </w:p>
    <w:p>
      <w:pPr>
        <w:pStyle w:val="Heading1"/>
        <w:keepNext/>
      </w:pPr>
      <w:r>
        <w:rPr>
          <w:rFonts w:ascii="Arial" w:cs="Arial" w:eastAsia="Arial" w:hAnsi="Arial"/>
        </w:rPr>
        <w:t xml:space="preserve">DATOS DE LA EMPRESA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cantSplit/>
        </w:trPr>
        <w:tc>
          <w:tcPr>
            <w:tcW w:type="dxa" w:w="28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rial" w:cs="Arial" w:eastAsia="Arial" w:hAnsi="Arial"/>
                <w:b/>
                <w:bCs/>
                <w:sz w:val="19"/>
                <w:szCs w:val="19"/>
              </w:rPr>
              <w:t xml:space="preserve">Razón social</w:t>
            </w:r>
          </w:p>
        </w:tc>
        <w:tc>
          <w:tcPr>
            <w:tcW w:type="dxa" w:w="7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rial" w:cs="Arial" w:eastAsia="Arial" w:hAnsi="Arial"/>
                <w:sz w:val="19"/>
                <w:szCs w:val="19"/>
              </w:rPr>
              <w:t xml:space="preserve">ArteTours</w:t>
            </w:r>
          </w:p>
        </w:tc>
      </w:tr>
      <w:tr>
        <w:trPr>
          <w:cantSplit/>
        </w:trPr>
        <w:tc>
          <w:tcPr>
            <w:tcW w:type="dxa" w:w="28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rial" w:cs="Arial" w:eastAsia="Arial" w:hAnsi="Arial"/>
                <w:b/>
                <w:bCs/>
                <w:sz w:val="19"/>
                <w:szCs w:val="19"/>
              </w:rPr>
              <w:t xml:space="preserve">Tipo de persona</w:t>
            </w:r>
          </w:p>
        </w:tc>
        <w:tc>
          <w:tcPr>
            <w:tcW w:type="dxa" w:w="7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rial" w:cs="Arial" w:eastAsia="Arial" w:hAnsi="Arial"/>
                <w:sz w:val="19"/>
                <w:szCs w:val="19"/>
              </w:rPr>
              <w:t xml:space="preserve">Jurídica</w:t>
            </w:r>
          </w:p>
        </w:tc>
      </w:tr>
      <w:tr>
        <w:trPr>
          <w:cantSplit/>
        </w:trPr>
        <w:tc>
          <w:tcPr>
            <w:tcW w:type="dxa" w:w="28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rial" w:cs="Arial" w:eastAsia="Arial" w:hAnsi="Arial"/>
                <w:b/>
                <w:bCs/>
                <w:sz w:val="19"/>
                <w:szCs w:val="19"/>
              </w:rPr>
              <w:t xml:space="preserve">NIT</w:t>
            </w:r>
          </w:p>
        </w:tc>
        <w:tc>
          <w:tcPr>
            <w:tcW w:type="dxa" w:w="7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rial" w:cs="Arial" w:eastAsia="Arial" w:hAnsi="Arial"/>
                <w:sz w:val="19"/>
                <w:szCs w:val="19"/>
              </w:rPr>
              <w:t xml:space="preserve">[NIT asignado por la DIAN — completar al obtener el RUT]</w:t>
            </w:r>
          </w:p>
        </w:tc>
      </w:tr>
      <w:tr>
        <w:trPr>
          <w:cantSplit/>
        </w:trPr>
        <w:tc>
          <w:tcPr>
            <w:tcW w:type="dxa" w:w="28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rial" w:cs="Arial" w:eastAsia="Arial" w:hAnsi="Arial"/>
                <w:b/>
                <w:bCs/>
                <w:sz w:val="19"/>
                <w:szCs w:val="19"/>
              </w:rPr>
              <w:t xml:space="preserve">Matrícula mercantil</w:t>
            </w:r>
          </w:p>
        </w:tc>
        <w:tc>
          <w:tcPr>
            <w:tcW w:type="dxa" w:w="7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rial" w:cs="Arial" w:eastAsia="Arial" w:hAnsi="Arial"/>
                <w:sz w:val="19"/>
                <w:szCs w:val="19"/>
              </w:rPr>
              <w:t xml:space="preserve">[N.º — Cámara de Comercio de Medellín para Antioquia]</w:t>
            </w:r>
          </w:p>
        </w:tc>
      </w:tr>
      <w:tr>
        <w:trPr>
          <w:cantSplit/>
        </w:trPr>
        <w:tc>
          <w:tcPr>
            <w:tcW w:type="dxa" w:w="28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rial" w:cs="Arial" w:eastAsia="Arial" w:hAnsi="Arial"/>
                <w:b/>
                <w:bCs/>
                <w:sz w:val="19"/>
                <w:szCs w:val="19"/>
              </w:rPr>
              <w:t xml:space="preserve">Representante legal</w:t>
            </w:r>
          </w:p>
        </w:tc>
        <w:tc>
          <w:tcPr>
            <w:tcW w:type="dxa" w:w="7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rial" w:cs="Arial" w:eastAsia="Arial" w:hAnsi="Arial"/>
                <w:sz w:val="19"/>
                <w:szCs w:val="19"/>
              </w:rPr>
              <w:t xml:space="preserve">Mariana Cano López</w:t>
            </w:r>
          </w:p>
        </w:tc>
      </w:tr>
      <w:tr>
        <w:trPr>
          <w:cantSplit/>
        </w:trPr>
        <w:tc>
          <w:tcPr>
            <w:tcW w:type="dxa" w:w="28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rial" w:cs="Arial" w:eastAsia="Arial" w:hAnsi="Arial"/>
                <w:b/>
                <w:bCs/>
                <w:sz w:val="19"/>
                <w:szCs w:val="19"/>
              </w:rPr>
              <w:t xml:space="preserve">Ciudad</w:t>
            </w:r>
          </w:p>
        </w:tc>
        <w:tc>
          <w:tcPr>
            <w:tcW w:type="dxa" w:w="7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rial" w:cs="Arial" w:eastAsia="Arial" w:hAnsi="Arial"/>
                <w:sz w:val="19"/>
                <w:szCs w:val="19"/>
              </w:rPr>
              <w:t xml:space="preserve">Medellín, Antioquia, Colombia</w:t>
            </w:r>
          </w:p>
        </w:tc>
      </w:tr>
      <w:tr>
        <w:trPr>
          <w:cantSplit/>
        </w:trPr>
        <w:tc>
          <w:tcPr>
            <w:tcW w:type="dxa" w:w="28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rial" w:cs="Arial" w:eastAsia="Arial" w:hAnsi="Arial"/>
                <w:b/>
                <w:bCs/>
                <w:sz w:val="19"/>
                <w:szCs w:val="19"/>
              </w:rPr>
              <w:t xml:space="preserve">Actividad</w:t>
            </w:r>
          </w:p>
        </w:tc>
        <w:tc>
          <w:tcPr>
            <w:tcW w:type="dxa" w:w="7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rial" w:cs="Arial" w:eastAsia="Arial" w:hAnsi="Arial"/>
                <w:sz w:val="19"/>
                <w:szCs w:val="19"/>
              </w:rPr>
              <w:t xml:space="preserve">Desarrollo y comercialización de software</w:t>
            </w:r>
          </w:p>
        </w:tc>
      </w:tr>
      <w:tr>
        <w:trPr>
          <w:cantSplit/>
        </w:trPr>
        <w:tc>
          <w:tcPr>
            <w:tcW w:type="dxa" w:w="28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rial" w:cs="Arial" w:eastAsia="Arial" w:hAnsi="Arial"/>
                <w:b/>
                <w:bCs/>
                <w:sz w:val="19"/>
                <w:szCs w:val="19"/>
              </w:rPr>
              <w:t xml:space="preserve">Modalidad</w:t>
            </w:r>
          </w:p>
        </w:tc>
        <w:tc>
          <w:tcPr>
            <w:tcW w:type="dxa" w:w="7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rial" w:cs="Arial" w:eastAsia="Arial" w:hAnsi="Arial"/>
                <w:sz w:val="19"/>
                <w:szCs w:val="19"/>
              </w:rPr>
              <w:t xml:space="preserve">Contratación pública y privada</w:t>
            </w:r>
          </w:p>
        </w:tc>
      </w:tr>
    </w:tbl>
    <w:p>
      <w:pPr>
        <w:spacing w:after="160"/>
      </w:pPr>
      <w:r>
        <w:rPr>
          <w:rFonts w:ascii="Arial" w:cs="Arial" w:eastAsia="Arial" w:hAnsi="Arial"/>
          <w:i/>
          <w:iCs/>
          <w:sz w:val="18"/>
          <w:szCs w:val="18"/>
        </w:rPr>
        <w:t xml:space="preserve">Documento modelo para fines académicos. Los campos entre corchetes deben verificarse y completarse con información real antes de cualquier trámite.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08080" w:sz="4"/>
              <w:left w:val="single" w:color="808080" w:sz="4"/>
              <w:bottom w:val="single" w:color="808080" w:sz="4"/>
              <w:right w:val="single" w:color="808080" w:sz="4"/>
            </w:tcBorders>
            <w:shd w:fill="FFF2CC" w:color="auto" w:val="clear"/>
            <w:tcMar>
              <w:top w:type="dxa" w:w="80"/>
              <w:left w:type="dxa" w:w="140"/>
              <w:bottom w:type="dxa" w:w="80"/>
              <w:right w:type="dxa" w:w="140"/>
            </w:tcMar>
          </w:tcPr>
          <w:p>
            <w:pPr>
              <w:spacing w:after="60"/>
            </w:pPr>
            <w:r>
              <w:rPr>
                <w:rFonts w:ascii="Arial" w:cs="Arial" w:eastAsia="Arial" w:hAnsi="Arial"/>
                <w:b/>
                <w:bCs/>
                <w:sz w:val="19"/>
                <w:szCs w:val="19"/>
              </w:rPr>
              <w:t xml:space="preserve">Instrucciones para diligenciar (eliminar antes de publicar)</w:t>
            </w:r>
          </w:p>
          <w:p>
            <w:pPr>
              <w:spacing w:after="40"/>
            </w:pPr>
            <w:r>
              <w:rPr>
                <w:rFonts w:ascii="Arial" w:cs="Arial" w:eastAsia="Arial" w:hAnsi="Arial"/>
                <w:sz w:val="19"/>
                <w:szCs w:val="19"/>
              </w:rPr>
              <w:t xml:space="preserve">Completar los canales reales, habilitarlos antes de poner la política en uso y hacerla revisar por asesoría competente. Verificar si ArteTours debe inscribir sus bases en el Registro Nacional de Bases de Datos (RNBD) de la SIC.</w:t>
            </w:r>
          </w:p>
        </w:tc>
      </w:tr>
    </w:tbl>
    <w:p>
      <w:pPr>
        <w:pStyle w:val="Heading1"/>
        <w:keepNext/>
      </w:pPr>
      <w:r>
        <w:rPr>
          <w:rFonts w:ascii="Arial" w:cs="Arial" w:eastAsia="Arial" w:hAnsi="Arial"/>
        </w:rPr>
        <w:t xml:space="preserve">1. Responsable y encargado</w:t>
      </w:r>
    </w:p>
    <w:p>
      <w:pPr>
        <w:spacing w:after="120"/>
      </w:pPr>
      <w:r>
        <w:rPr>
          <w:rFonts w:ascii="Arial" w:cs="Arial" w:eastAsia="Arial" w:hAnsi="Arial"/>
          <w:b/>
          <w:bCs/>
          <w:sz w:val="21"/>
          <w:szCs w:val="21"/>
        </w:rPr>
        <w:t xml:space="preserve">ArteTours es responsable</w:t>
      </w:r>
      <w:r>
        <w:rPr>
          <w:rFonts w:ascii="Arial" w:cs="Arial" w:eastAsia="Arial" w:hAnsi="Arial"/>
          <w:sz w:val="21"/>
          <w:szCs w:val="21"/>
        </w:rPr>
        <w:t xml:space="preserve"> del tratamiento de los datos personales de sus proveedores, colaboradores y contactos comerciales. Domicilio: Medellín, Antioquia. Canal de privacidad: [CORREO DE PRIVACIDAD].</w:t>
      </w:r>
    </w:p>
    <w:p>
      <w:pPr>
        <w:spacing w:after="120"/>
      </w:pPr>
      <w:r>
        <w:rPr>
          <w:rFonts w:ascii="Arial" w:cs="Arial" w:eastAsia="Arial" w:hAnsi="Arial"/>
          <w:b/>
          <w:bCs/>
          <w:sz w:val="21"/>
          <w:szCs w:val="21"/>
        </w:rPr>
        <w:t xml:space="preserve">ArteTours actúa como encargado</w:t>
      </w:r>
      <w:r>
        <w:rPr>
          <w:rFonts w:ascii="Arial" w:cs="Arial" w:eastAsia="Arial" w:hAnsi="Arial"/>
          <w:sz w:val="21"/>
          <w:szCs w:val="21"/>
        </w:rPr>
        <w:t xml:space="preserve"> cuando trata datos personales por cuenta de sus clientes en la prestación de un servicio de software. En ese caso trata los datos solo según las instrucciones del cliente responsable, bajo el contrato, y no los usa para fines propios.</w:t>
      </w:r>
    </w:p>
    <w:p>
      <w:pPr>
        <w:pStyle w:val="Heading1"/>
        <w:keepNext/>
      </w:pPr>
      <w:r>
        <w:rPr>
          <w:rFonts w:ascii="Arial" w:cs="Arial" w:eastAsia="Arial" w:hAnsi="Arial"/>
        </w:rPr>
        <w:t xml:space="preserve">2. Marco normativo</w:t>
      </w:r>
    </w:p>
    <w:p>
      <w:pPr>
        <w:spacing w:after="120"/>
      </w:pPr>
      <w:r>
        <w:rPr>
          <w:rFonts w:ascii="Arial" w:cs="Arial" w:eastAsia="Arial" w:hAnsi="Arial"/>
          <w:sz w:val="21"/>
          <w:szCs w:val="21"/>
        </w:rPr>
        <w:t xml:space="preserve">Esta política se rige por el artículo 15 de la Constitución Política, la Ley 1581 de 2012, el Decreto 1377 de 2013 (compilado en el Decreto 1074 de 2015) y las demás normas que los modifiquen. La autoridad de control es la Superintendencia de Industria y Comercio (SIC).</w:t>
      </w:r>
    </w:p>
    <w:p>
      <w:pPr>
        <w:pStyle w:val="Heading1"/>
        <w:keepNext/>
      </w:pPr>
      <w:r>
        <w:rPr>
          <w:rFonts w:ascii="Arial" w:cs="Arial" w:eastAsia="Arial" w:hAnsi="Arial"/>
        </w:rPr>
        <w:t xml:space="preserve">3. Autorización del titular</w:t>
      </w:r>
    </w:p>
    <w:p>
      <w:pPr>
        <w:spacing w:after="120"/>
      </w:pPr>
      <w:r>
        <w:rPr>
          <w:rFonts w:ascii="Arial" w:cs="Arial" w:eastAsia="Arial" w:hAnsi="Arial"/>
          <w:sz w:val="21"/>
          <w:szCs w:val="21"/>
        </w:rPr>
        <w:t xml:space="preserve">ArteTours solicita la autorización previa, expresa e informada del titular antes de recolectar sus datos, por un medio que permita conservar prueba de ella. No se requiere autorización en los casos previstos en el artículo 10 de la Ley 1581 de 2012.</w:t>
      </w:r>
    </w:p>
    <w:p>
      <w:pPr>
        <w:pStyle w:val="Heading1"/>
        <w:keepNext/>
      </w:pPr>
      <w:r>
        <w:rPr>
          <w:rFonts w:ascii="Arial" w:cs="Arial" w:eastAsia="Arial" w:hAnsi="Arial"/>
        </w:rPr>
        <w:t xml:space="preserve">4. Finalidades</w:t>
      </w:r>
    </w:p>
    <w:p>
      <w:pPr>
        <w:pStyle w:val="ListParagraph"/>
        <w:numPr>
          <w:ilvl w:val="0"/>
          <w:numId w:val="2"/>
        </w:numPr>
        <w:spacing w:after="60"/>
      </w:pPr>
      <w:r>
        <w:rPr>
          <w:rFonts w:ascii="Arial" w:cs="Arial" w:eastAsia="Arial" w:hAnsi="Arial"/>
          <w:sz w:val="21"/>
          <w:szCs w:val="21"/>
        </w:rPr>
        <w:t xml:space="preserve">Gestionar relaciones comerciales y contractuales.</w:t>
      </w:r>
    </w:p>
    <w:p>
      <w:pPr>
        <w:pStyle w:val="ListParagraph"/>
        <w:numPr>
          <w:ilvl w:val="0"/>
          <w:numId w:val="2"/>
        </w:numPr>
        <w:spacing w:after="60"/>
      </w:pPr>
      <w:r>
        <w:rPr>
          <w:rFonts w:ascii="Arial" w:cs="Arial" w:eastAsia="Arial" w:hAnsi="Arial"/>
          <w:sz w:val="21"/>
          <w:szCs w:val="21"/>
        </w:rPr>
        <w:t xml:space="preserve">Atender solicitudes y prestar los servicios contratados.</w:t>
      </w:r>
    </w:p>
    <w:p>
      <w:pPr>
        <w:pStyle w:val="ListParagraph"/>
        <w:numPr>
          <w:ilvl w:val="0"/>
          <w:numId w:val="2"/>
        </w:numPr>
        <w:spacing w:after="60"/>
      </w:pPr>
      <w:r>
        <w:rPr>
          <w:rFonts w:ascii="Arial" w:cs="Arial" w:eastAsia="Arial" w:hAnsi="Arial"/>
          <w:sz w:val="21"/>
          <w:szCs w:val="21"/>
        </w:rPr>
        <w:t xml:space="preserve">Administrar proveedores, facturación y obligaciones legales.</w:t>
      </w:r>
    </w:p>
    <w:p>
      <w:pPr>
        <w:pStyle w:val="ListParagraph"/>
        <w:numPr>
          <w:ilvl w:val="0"/>
          <w:numId w:val="2"/>
        </w:numPr>
        <w:spacing w:after="60"/>
      </w:pPr>
      <w:r>
        <w:rPr>
          <w:rFonts w:ascii="Arial" w:cs="Arial" w:eastAsia="Arial" w:hAnsi="Arial"/>
          <w:sz w:val="21"/>
          <w:szCs w:val="21"/>
        </w:rPr>
        <w:t xml:space="preserve">Gestionar la seguridad de los sistemas y el soporte.</w:t>
      </w:r>
    </w:p>
    <w:p>
      <w:pPr>
        <w:pStyle w:val="ListParagraph"/>
        <w:numPr>
          <w:ilvl w:val="0"/>
          <w:numId w:val="2"/>
        </w:numPr>
        <w:spacing w:after="60"/>
      </w:pPr>
      <w:r>
        <w:rPr>
          <w:rFonts w:ascii="Arial" w:cs="Arial" w:eastAsia="Arial" w:hAnsi="Arial"/>
          <w:sz w:val="21"/>
          <w:szCs w:val="21"/>
        </w:rPr>
        <w:t xml:space="preserve">Enviar comunicaciones relacionadas con los servicios, cuando el titular lo haya autorizado.</w:t>
      </w:r>
    </w:p>
    <w:p>
      <w:pPr>
        <w:pStyle w:val="Heading1"/>
        <w:keepNext/>
      </w:pPr>
      <w:r>
        <w:rPr>
          <w:rFonts w:ascii="Arial" w:cs="Arial" w:eastAsia="Arial" w:hAnsi="Arial"/>
        </w:rPr>
        <w:t xml:space="preserve">5. Datos sensibles y datos de menores</w:t>
      </w:r>
    </w:p>
    <w:p>
      <w:pPr>
        <w:spacing w:after="120"/>
      </w:pPr>
      <w:r>
        <w:rPr>
          <w:rFonts w:ascii="Arial" w:cs="Arial" w:eastAsia="Arial" w:hAnsi="Arial"/>
          <w:b/>
          <w:bCs/>
          <w:sz w:val="21"/>
          <w:szCs w:val="21"/>
        </w:rPr>
        <w:t xml:space="preserve">Datos sensibles</w:t>
      </w:r>
      <w:r>
        <w:rPr>
          <w:rFonts w:ascii="Arial" w:cs="Arial" w:eastAsia="Arial" w:hAnsi="Arial"/>
          <w:sz w:val="21"/>
          <w:szCs w:val="21"/>
        </w:rPr>
        <w:t xml:space="preserve"> (por ejemplo, salud o datos biométricos): su tratamiento está prohibido salvo autorización explícita del titular, que no está obligado a darla, o en los casos del artículo 6 de la Ley 1581 de 2012. ArteTours aplica medidas reforzadas de seguridad a estos datos (ART-GC-013).</w:t>
      </w:r>
    </w:p>
    <w:p>
      <w:pPr>
        <w:spacing w:after="120"/>
      </w:pPr>
      <w:r>
        <w:rPr>
          <w:rFonts w:ascii="Arial" w:cs="Arial" w:eastAsia="Arial" w:hAnsi="Arial"/>
          <w:b/>
          <w:bCs/>
          <w:sz w:val="21"/>
          <w:szCs w:val="21"/>
        </w:rPr>
        <w:t xml:space="preserve">Datos de niños, niñas y adolescentes</w:t>
      </w:r>
      <w:r>
        <w:rPr>
          <w:rFonts w:ascii="Arial" w:cs="Arial" w:eastAsia="Arial" w:hAnsi="Arial"/>
          <w:sz w:val="21"/>
          <w:szCs w:val="21"/>
        </w:rPr>
        <w:t xml:space="preserve">: no se tratan, salvo datos de naturaleza pública, y solo si se respeta su interés superior y se cuenta con la autorización de su representante legal (art. 7 de la Ley 1581 de 2012).</w:t>
      </w:r>
    </w:p>
    <w:p>
      <w:pPr>
        <w:pStyle w:val="Heading1"/>
        <w:keepNext/>
      </w:pPr>
      <w:r>
        <w:rPr>
          <w:rFonts w:ascii="Arial" w:cs="Arial" w:eastAsia="Arial" w:hAnsi="Arial"/>
        </w:rPr>
        <w:t xml:space="preserve">6. Derechos de los titulares</w:t>
      </w:r>
    </w:p>
    <w:p>
      <w:pPr>
        <w:spacing w:after="120"/>
      </w:pPr>
      <w:r>
        <w:rPr>
          <w:rFonts w:ascii="Arial" w:cs="Arial" w:eastAsia="Arial" w:hAnsi="Arial"/>
          <w:sz w:val="21"/>
          <w:szCs w:val="21"/>
        </w:rPr>
        <w:t xml:space="preserve">Los titulares pueden conocer, actualizar y rectificar sus datos; solicitar prueba de la autorización; ser informados sobre el uso de sus datos; presentar quejas ante la SIC; revocar la autorización y solicitar la supresión cuando legalmente proceda; y acceder gratuitamente a sus datos.</w:t>
      </w:r>
    </w:p>
    <w:p>
      <w:pPr>
        <w:pStyle w:val="Heading1"/>
        <w:keepNext/>
      </w:pPr>
      <w:r>
        <w:rPr>
          <w:rFonts w:ascii="Arial" w:cs="Arial" w:eastAsia="Arial" w:hAnsi="Arial"/>
        </w:rPr>
        <w:t xml:space="preserve">7. Consultas y reclamos</w:t>
      </w:r>
    </w:p>
    <w:p>
      <w:pPr>
        <w:spacing w:after="120"/>
      </w:pPr>
      <w:r>
        <w:rPr>
          <w:rFonts w:ascii="Arial" w:cs="Arial" w:eastAsia="Arial" w:hAnsi="Arial"/>
          <w:sz w:val="21"/>
          <w:szCs w:val="21"/>
        </w:rPr>
        <w:t xml:space="preserve">Enviar consultas o reclamos a [CORREO/DIRECCIÓN]. ArteTours verifica la identidad del titular, registra la solicitud y responde dentro de estos plazos: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980"/>
        <w:gridCol w:w="2600"/>
      </w:tblGrid>
      <w:tr>
        <w:trPr>
          <w:tblHeader/>
        </w:trPr>
        <w:tc>
          <w:tcPr>
            <w:tcW w:type="dxa" w:w="1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val="false"/>
              <w:spacing w:after="0"/>
            </w:pPr>
            <w:r>
              <w:rPr>
                <w:rFonts w:ascii="Arial" w:cs="Arial" w:eastAsia="Arial" w:hAnsi="Arial"/>
                <w:b/>
                <w:bCs/>
                <w:sz w:val="19"/>
                <w:szCs w:val="19"/>
              </w:rPr>
              <w:t xml:space="preserve">Trámite</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val="false"/>
              <w:spacing w:after="0"/>
            </w:pPr>
            <w:r>
              <w:rPr>
                <w:rFonts w:ascii="Arial" w:cs="Arial" w:eastAsia="Arial" w:hAnsi="Arial"/>
                <w:b/>
                <w:bCs/>
                <w:sz w:val="19"/>
                <w:szCs w:val="19"/>
              </w:rPr>
              <w:t xml:space="preserve">Plazo de respuesta</w:t>
            </w:r>
          </w:p>
        </w:tc>
        <w:tc>
          <w:tcPr>
            <w:tcW w:type="dxa" w:w="398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val="false"/>
              <w:spacing w:after="0"/>
            </w:pPr>
            <w:r>
              <w:rPr>
                <w:rFonts w:ascii="Arial" w:cs="Arial" w:eastAsia="Arial" w:hAnsi="Arial"/>
                <w:b/>
                <w:bCs/>
                <w:sz w:val="19"/>
                <w:szCs w:val="19"/>
              </w:rPr>
              <w:t xml:space="preserve">Prórroga</w:t>
            </w:r>
          </w:p>
        </w:tc>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val="false"/>
              <w:spacing w:after="0"/>
            </w:pPr>
            <w:r>
              <w:rPr>
                <w:rFonts w:ascii="Arial" w:cs="Arial" w:eastAsia="Arial" w:hAnsi="Arial"/>
                <w:b/>
                <w:bCs/>
                <w:sz w:val="19"/>
                <w:szCs w:val="19"/>
              </w:rPr>
              <w:t xml:space="preserve">Fundamento</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pPr>
            <w:r>
              <w:rPr>
                <w:rFonts w:ascii="Arial" w:cs="Arial" w:eastAsia="Arial" w:hAnsi="Arial"/>
                <w:b w:val="false"/>
                <w:bCs w:val="false"/>
                <w:sz w:val="19"/>
                <w:szCs w:val="19"/>
              </w:rPr>
              <w:t xml:space="preserve">Consulta</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pPr>
            <w:r>
              <w:rPr>
                <w:rFonts w:ascii="Arial" w:cs="Arial" w:eastAsia="Arial" w:hAnsi="Arial"/>
                <w:b w:val="false"/>
                <w:bCs w:val="false"/>
                <w:sz w:val="19"/>
                <w:szCs w:val="19"/>
              </w:rPr>
              <w:t xml:space="preserve">10 días hábiles</w:t>
            </w:r>
          </w:p>
        </w:tc>
        <w:tc>
          <w:tcPr>
            <w:tcW w:type="dxa" w:w="39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pPr>
            <w:r>
              <w:rPr>
                <w:rFonts w:ascii="Arial" w:cs="Arial" w:eastAsia="Arial" w:hAnsi="Arial"/>
                <w:b w:val="false"/>
                <w:bCs w:val="false"/>
                <w:sz w:val="19"/>
                <w:szCs w:val="19"/>
              </w:rPr>
              <w:t xml:space="preserve">Hasta 5 días hábiles adicionales, informando los motivos</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pPr>
            <w:r>
              <w:rPr>
                <w:rFonts w:ascii="Arial" w:cs="Arial" w:eastAsia="Arial" w:hAnsi="Arial"/>
                <w:b w:val="false"/>
                <w:bCs w:val="false"/>
                <w:sz w:val="19"/>
                <w:szCs w:val="19"/>
              </w:rPr>
              <w:t xml:space="preserve">Ley 1581 de 2012, art. 14</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pPr>
            <w:r>
              <w:rPr>
                <w:rFonts w:ascii="Arial" w:cs="Arial" w:eastAsia="Arial" w:hAnsi="Arial"/>
                <w:b w:val="false"/>
                <w:bCs w:val="false"/>
                <w:sz w:val="19"/>
                <w:szCs w:val="19"/>
              </w:rPr>
              <w:t xml:space="preserve">Reclamo</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pPr>
            <w:r>
              <w:rPr>
                <w:rFonts w:ascii="Arial" w:cs="Arial" w:eastAsia="Arial" w:hAnsi="Arial"/>
                <w:b w:val="false"/>
                <w:bCs w:val="false"/>
                <w:sz w:val="19"/>
                <w:szCs w:val="19"/>
              </w:rPr>
              <w:t xml:space="preserve">15 días hábiles</w:t>
            </w:r>
          </w:p>
        </w:tc>
        <w:tc>
          <w:tcPr>
            <w:tcW w:type="dxa" w:w="39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pPr>
            <w:r>
              <w:rPr>
                <w:rFonts w:ascii="Arial" w:cs="Arial" w:eastAsia="Arial" w:hAnsi="Arial"/>
                <w:b w:val="false"/>
                <w:bCs w:val="false"/>
                <w:sz w:val="19"/>
                <w:szCs w:val="19"/>
              </w:rPr>
              <w:t xml:space="preserve">Hasta 8 días hábiles adicionales, informando los motivos</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pPr>
            <w:r>
              <w:rPr>
                <w:rFonts w:ascii="Arial" w:cs="Arial" w:eastAsia="Arial" w:hAnsi="Arial"/>
                <w:b w:val="false"/>
                <w:bCs w:val="false"/>
                <w:sz w:val="19"/>
                <w:szCs w:val="19"/>
              </w:rPr>
              <w:t xml:space="preserve">Ley 1581 de 2012, art. 15</w:t>
            </w:r>
          </w:p>
        </w:tc>
      </w:tr>
    </w:tbl>
    <w:p>
      <w:pPr>
        <w:spacing w:after="80"/>
      </w:pPr>
    </w:p>
    <w:p>
      <w:pPr>
        <w:spacing w:after="120"/>
      </w:pPr>
      <w:r>
        <w:rPr>
          <w:rFonts w:ascii="Arial" w:cs="Arial" w:eastAsia="Arial" w:hAnsi="Arial"/>
          <w:sz w:val="21"/>
          <w:szCs w:val="21"/>
        </w:rPr>
        <w:t xml:space="preserve">Si el reclamo está incompleto, se pide al titular subsanarlo dentro de los 5 días siguientes a su recepción. Si no lo hace en 2 meses, se entiende que desistió.</w:t>
      </w:r>
    </w:p>
    <w:p>
      <w:pPr>
        <w:pStyle w:val="Heading1"/>
        <w:keepNext/>
      </w:pPr>
      <w:r>
        <w:rPr>
          <w:rFonts w:ascii="Arial" w:cs="Arial" w:eastAsia="Arial" w:hAnsi="Arial"/>
        </w:rPr>
        <w:t xml:space="preserve">8. Aviso de privacidad</w:t>
      </w:r>
    </w:p>
    <w:p>
      <w:pPr>
        <w:spacing w:after="120"/>
      </w:pPr>
      <w:r>
        <w:rPr>
          <w:rFonts w:ascii="Arial" w:cs="Arial" w:eastAsia="Arial" w:hAnsi="Arial"/>
          <w:sz w:val="21"/>
          <w:szCs w:val="21"/>
        </w:rPr>
        <w:t xml:space="preserve">Cuando no sea posible poner la política a disposición del titular, ArteTours le comunica un aviso de privacidad, a más tardar al momento de la recolección, con: la identidad y los datos de contacto del responsable, el tratamiento y la finalidad, los derechos del titular, cómo acceder a esta política, y el carácter facultativo de las respuestas sobre datos sensibles o de menores.</w:t>
      </w:r>
    </w:p>
    <w:p>
      <w:pPr>
        <w:pStyle w:val="Heading1"/>
        <w:keepNext/>
      </w:pPr>
      <w:r>
        <w:rPr>
          <w:rFonts w:ascii="Arial" w:cs="Arial" w:eastAsia="Arial" w:hAnsi="Arial"/>
        </w:rPr>
        <w:t xml:space="preserve">9. Seguridad y terceros</w:t>
      </w:r>
    </w:p>
    <w:p>
      <w:pPr>
        <w:spacing w:after="120"/>
      </w:pPr>
      <w:r>
        <w:rPr>
          <w:rFonts w:ascii="Arial" w:cs="Arial" w:eastAsia="Arial" w:hAnsi="Arial"/>
          <w:sz w:val="21"/>
          <w:szCs w:val="21"/>
        </w:rPr>
        <w:t xml:space="preserve">ArteTours aplica medidas técnicas, humanas y administrativas razonables, limita los accesos y revisa las condiciones de transmisión o transferencia de datos con proveedores. La transferencia internacional solo se hace a países con nivel adecuado de protección o con las autorizaciones que exige la ley.</w:t>
      </w:r>
    </w:p>
    <w:p>
      <w:pPr>
        <w:pStyle w:val="Heading1"/>
        <w:keepNext/>
      </w:pPr>
      <w:r>
        <w:rPr>
          <w:rFonts w:ascii="Arial" w:cs="Arial" w:eastAsia="Arial" w:hAnsi="Arial"/>
        </w:rPr>
        <w:t xml:space="preserve">10. Vigencia</w:t>
      </w:r>
    </w:p>
    <w:p>
      <w:pPr>
        <w:spacing w:after="120"/>
      </w:pPr>
      <w:r>
        <w:rPr>
          <w:rFonts w:ascii="Arial" w:cs="Arial" w:eastAsia="Arial" w:hAnsi="Arial"/>
          <w:sz w:val="21"/>
          <w:szCs w:val="21"/>
        </w:rPr>
        <w:t xml:space="preserve">Publicación: [FECHA]. Versión: 2.0. La política se revisa por asesoría competente y se ajusta a la operación real y a la normativa colombiana de protección de datos.</w:t>
      </w:r>
    </w:p>
    <w:p>
      <w:pPr>
        <w:spacing w:after="80"/>
      </w:pPr>
    </w:p>
    <w:p>
      <w:pPr>
        <w:pStyle w:val="Heading1"/>
        <w:keepNext/>
      </w:pPr>
      <w:r>
        <w:rPr>
          <w:rFonts w:ascii="Arial" w:cs="Arial" w:eastAsia="Arial" w:hAnsi="Arial"/>
        </w:rPr>
        <w:t xml:space="preserve">HISTORIAL DE VERSIONES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6080"/>
      </w:tblGrid>
      <w:tr>
        <w:trPr>
          <w:tblHeader/>
        </w:trPr>
        <w:tc>
          <w:tcPr>
            <w:tcW w:type="dxa" w:w="1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spacing w:after="0"/>
            </w:pPr>
            <w:r>
              <w:rPr>
                <w:rFonts w:ascii="Arial" w:cs="Arial" w:eastAsia="Arial" w:hAnsi="Arial"/>
                <w:b/>
                <w:bCs/>
                <w:sz w:val="19"/>
                <w:szCs w:val="19"/>
              </w:rPr>
              <w:t xml:space="preserve">Versión</w:t>
            </w:r>
          </w:p>
        </w:tc>
        <w:tc>
          <w:tcPr>
            <w:tcW w:type="dxa" w:w="2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spacing w:after="0"/>
            </w:pPr>
            <w:r>
              <w:rPr>
                <w:rFonts w:ascii="Arial" w:cs="Arial" w:eastAsia="Arial" w:hAnsi="Arial"/>
                <w:b/>
                <w:bCs/>
                <w:sz w:val="19"/>
                <w:szCs w:val="19"/>
              </w:rPr>
              <w:t xml:space="preserve">Fecha</w:t>
            </w:r>
          </w:p>
        </w:tc>
        <w:tc>
          <w:tcPr>
            <w:tcW w:type="dxa" w:w="608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spacing w:after="0"/>
            </w:pPr>
            <w:r>
              <w:rPr>
                <w:rFonts w:ascii="Arial" w:cs="Arial" w:eastAsia="Arial" w:hAnsi="Arial"/>
                <w:b/>
                <w:bCs/>
                <w:sz w:val="19"/>
                <w:szCs w:val="19"/>
              </w:rPr>
              <w:t xml:space="preserve">Cambio</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pPr>
            <w:r>
              <w:rPr>
                <w:rFonts w:ascii="Arial" w:cs="Arial" w:eastAsia="Arial" w:hAnsi="Arial"/>
                <w:b w:val="false"/>
                <w:bCs w:val="false"/>
                <w:sz w:val="19"/>
                <w:szCs w:val="19"/>
              </w:rPr>
              <w:t xml:space="preserve">1.0</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pPr>
            <w:r>
              <w:rPr>
                <w:rFonts w:ascii="Arial" w:cs="Arial" w:eastAsia="Arial" w:hAnsi="Arial"/>
                <w:b w:val="false"/>
                <w:bCs w:val="false"/>
                <w:sz w:val="19"/>
                <w:szCs w:val="19"/>
              </w:rPr>
              <w:t xml:space="preserve">12 de octubre de 2026</w:t>
            </w:r>
          </w:p>
        </w:tc>
        <w:tc>
          <w:tcPr>
            <w:tcW w:type="dxa" w:w="60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pPr>
            <w:r>
              <w:rPr>
                <w:rFonts w:ascii="Arial" w:cs="Arial" w:eastAsia="Arial" w:hAnsi="Arial"/>
                <w:b w:val="false"/>
                <w:bCs w:val="false"/>
                <w:sz w:val="19"/>
                <w:szCs w:val="19"/>
              </w:rPr>
              <w:t xml:space="preserve">Versión inicial.</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pPr>
            <w:r>
              <w:rPr>
                <w:rFonts w:ascii="Arial" w:cs="Arial" w:eastAsia="Arial" w:hAnsi="Arial"/>
                <w:b w:val="false"/>
                <w:bCs w:val="false"/>
                <w:sz w:val="19"/>
                <w:szCs w:val="19"/>
              </w:rPr>
              <w:t xml:space="preserve">2.0</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pPr>
            <w:r>
              <w:rPr>
                <w:rFonts w:ascii="Arial" w:cs="Arial" w:eastAsia="Arial" w:hAnsi="Arial"/>
                <w:b w:val="false"/>
                <w:bCs w:val="false"/>
                <w:sz w:val="19"/>
                <w:szCs w:val="19"/>
              </w:rPr>
              <w:t xml:space="preserve">24 de octubre de 2026</w:t>
            </w:r>
          </w:p>
        </w:tc>
        <w:tc>
          <w:tcPr>
            <w:tcW w:type="dxa" w:w="60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pPr>
            <w:r>
              <w:rPr>
                <w:rFonts w:ascii="Arial" w:cs="Arial" w:eastAsia="Arial" w:hAnsi="Arial"/>
                <w:b w:val="false"/>
                <w:bCs w:val="false"/>
                <w:sz w:val="19"/>
                <w:szCs w:val="19"/>
              </w:rPr>
              <w:t xml:space="preserve">Se reemplaza el lenguaje europeo por la autorización previa del titular (Ley 1581 de 2012); se agregan plazos legales, aviso de privacidad, datos sensibles y de menores, y rol de encargado.</w:t>
            </w:r>
          </w:p>
        </w:tc>
      </w:tr>
    </w:tbl>
    <w:p>
      <w:pPr>
        <w:pStyle w:val="Heading1"/>
        <w:keepNext/>
      </w:pPr>
      <w:r>
        <w:rPr>
          <w:rFonts w:ascii="Arial" w:cs="Arial" w:eastAsia="Arial" w:hAnsi="Arial"/>
        </w:rPr>
        <w:t xml:space="preserve">FIRMA Y APROBACIÓN</w:t>
      </w:r>
    </w:p>
    <w:p>
      <w:pPr>
        <w:spacing w:after="20"/>
      </w:pPr>
      <w:r>
        <w:rPr>
          <w:rFonts w:ascii="Arial" w:cs="Arial" w:eastAsia="Arial" w:hAnsi="Arial"/>
          <w:sz w:val="21"/>
          <w:szCs w:val="21"/>
        </w:rPr>
        <w:t xml:space="preserve">Mariana Cano López</w:t>
      </w:r>
    </w:p>
    <w:p>
      <w:pPr>
        <w:spacing w:after="20"/>
      </w:pPr>
      <w:r>
        <w:rPr>
          <w:rFonts w:ascii="Arial" w:cs="Arial" w:eastAsia="Arial" w:hAnsi="Arial"/>
          <w:sz w:val="21"/>
          <w:szCs w:val="21"/>
        </w:rPr>
        <w:t xml:space="preserve">Representante legal — ArteTours</w:t>
      </w:r>
    </w:p>
    <w:p>
      <w:pPr>
        <w:spacing w:after="20"/>
      </w:pPr>
    </w:p>
    <w:p>
      <w:pPr>
        <w:spacing w:after="20"/>
      </w:pPr>
      <w:r>
        <w:rPr>
          <w:rFonts w:ascii="Arial" w:cs="Arial" w:eastAsia="Arial" w:hAnsi="Arial"/>
          <w:sz w:val="21"/>
          <w:szCs w:val="21"/>
        </w:rPr>
        <w:t xml:space="preserve">Firma: ______________________________</w:t>
      </w:r>
    </w:p>
    <w:p>
      <w:pPr>
        <w:spacing w:after="120"/>
      </w:pPr>
      <w:r>
        <w:rPr>
          <w:rFonts w:ascii="Arial" w:cs="Arial" w:eastAsia="Arial" w:hAnsi="Arial"/>
          <w:sz w:val="21"/>
          <w:szCs w:val="21"/>
        </w:rPr>
        <w:t xml:space="preserve">Fecha: ____________________</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ART-GC-012 · v2.0 · Página </w:t>
    </w:r>
    <w:r>
      <w:rPr>
        <w:rFonts w:ascii="Arial" w:cs="Arial" w:eastAsia="Arial" w:hAnsi="Arial"/>
        <w:sz w:val="16"/>
        <w:szCs w:val="16"/>
      </w:rPr>
      <w:fldChar w:fldCharType="begin"/>
      <w:instrText xml:space="preserve">PAGE</w:instrText>
      <w:fldChar w:fldCharType="separate"/>
      <w:fldChar w:fldCharType="end"/>
    </w:r>
    <w:r>
      <w:rPr>
        <w:rFonts w:ascii="Arial" w:cs="Arial" w:eastAsia="Arial" w:hAnsi="Arial"/>
        <w:sz w:val="16"/>
        <w:szCs w:val="16"/>
      </w:rPr>
      <w:t xml:space="preserve"> de </w:t>
    </w:r>
    <w:r>
      <w:rPr>
        <w:rFonts w:ascii="Arial" w:cs="Arial" w:eastAsia="Arial" w:hAnsi="Arial"/>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POLÍTICA DE TRATAMIENTO DE DATOS PERSONALES — BORRADOR</dc:title>
  <dc:creator>ArteTours</dc:creator>
  <cp:lastModifiedBy>Un-named</cp:lastModifiedBy>
  <cp:revision>1</cp:revision>
  <dcterms:created xsi:type="dcterms:W3CDTF">2026-10-24T14:13:54.771Z</dcterms:created>
  <dcterms:modified xsi:type="dcterms:W3CDTF">2026-10-24T14:13:54.771Z</dcterms:modified>
</cp:coreProperties>
</file>

<file path=docProps/custom.xml><?xml version="1.0" encoding="utf-8"?>
<Properties xmlns="http://schemas.openxmlformats.org/officeDocument/2006/custom-properties" xmlns:vt="http://schemas.openxmlformats.org/officeDocument/2006/docPropsVTypes"/>
</file>