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(WIP - needs more work) AlphaWrite: Aligning AI Writing Practice with The Writing Revolution and Content-Embedded Instruction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Owner: Noel Pilkington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To envision a redesign of AlphaWrite into the most robust, TWR-aligned writing system in the world - one that preserves the motivational benefits of student-interest writing (high volume, low anxiety, high repetition) while deliberately engineering the conditions for academic writing success: sentence-level automaticity, content-embedded writing-to-learn, and reliable transfer to “cold” reading-to-write tasks (including standardized test contexts)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DOK1: Experts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Expert 1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Who:</w:t>
      </w:r>
      <w:r w:rsidDel="00000000" w:rsidR="00000000" w:rsidRPr="00000000">
        <w:rPr>
          <w:color w:val="333333"/>
          <w:rtl w:val="0"/>
        </w:rPr>
        <w:t xml:space="preserve"> Dr. Judith C. Hochman; Founder of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The Writing Revolution</w:t>
      </w:r>
      <w:r w:rsidDel="00000000" w:rsidR="00000000" w:rsidRPr="00000000">
        <w:rPr>
          <w:color w:val="333333"/>
          <w:rtl w:val="0"/>
        </w:rPr>
        <w:t xml:space="preserve"> and creator of the Hochman Method.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Focus:</w:t>
      </w:r>
      <w:r w:rsidDel="00000000" w:rsidR="00000000" w:rsidRPr="00000000">
        <w:rPr>
          <w:color w:val="333333"/>
          <w:rtl w:val="0"/>
        </w:rPr>
        <w:t xml:space="preserve"> Explicit writing instruction, sentence-level dexterity, and content-embedded literacy.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Why Follow:</w:t>
      </w:r>
      <w:r w:rsidDel="00000000" w:rsidR="00000000" w:rsidRPr="00000000">
        <w:rPr>
          <w:color w:val="333333"/>
          <w:rtl w:val="0"/>
        </w:rPr>
        <w:t xml:space="preserve"> She argues that writing is "not learned by osmosis" and must be taught as a "second language" through granular, evidence-based strategies.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Where:</w:t>
      </w:r>
      <w:r w:rsidDel="00000000" w:rsidR="00000000" w:rsidRPr="00000000">
        <w:rPr>
          <w:color w:val="333333"/>
          <w:rtl w:val="0"/>
        </w:rPr>
        <w:t xml:space="preserve"> X</w:t>
      </w:r>
      <w:hyperlink r:id="rId6">
        <w:r w:rsidDel="00000000" w:rsidR="00000000" w:rsidRPr="00000000">
          <w:rPr>
            <w:color w:val="333333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868c90"/>
            <w:u w:val="single"/>
            <w:rtl w:val="0"/>
          </w:rPr>
          <w:t xml:space="preserve">@TheWritingRev</w:t>
        </w:r>
      </w:hyperlink>
      <w:r w:rsidDel="00000000" w:rsidR="00000000" w:rsidRPr="00000000">
        <w:rPr>
          <w:color w:val="333333"/>
          <w:rtl w:val="0"/>
        </w:rPr>
        <w:t xml:space="preserve">;</w:t>
      </w:r>
      <w:hyperlink r:id="rId8">
        <w:r w:rsidDel="00000000" w:rsidR="00000000" w:rsidRPr="00000000">
          <w:rPr>
            <w:color w:val="333333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868c90"/>
            <w:u w:val="single"/>
            <w:rtl w:val="0"/>
          </w:rPr>
          <w:t xml:space="preserve">thewritingrevolution.org</w:t>
        </w:r>
      </w:hyperlink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Expert 2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Who:</w:t>
      </w:r>
      <w:r w:rsidDel="00000000" w:rsidR="00000000" w:rsidRPr="00000000">
        <w:rPr>
          <w:color w:val="333333"/>
          <w:rtl w:val="0"/>
        </w:rPr>
        <w:t xml:space="preserve"> Natalie Wexler; Education journalist and author of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The Knowledge Gap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Focus:</w:t>
      </w:r>
      <w:r w:rsidDel="00000000" w:rsidR="00000000" w:rsidRPr="00000000">
        <w:rPr>
          <w:color w:val="333333"/>
          <w:rtl w:val="0"/>
        </w:rPr>
        <w:t xml:space="preserve"> The intersection of literacy, cognitive science, and background knowledge.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Why Follow:</w:t>
      </w:r>
      <w:r w:rsidDel="00000000" w:rsidR="00000000" w:rsidRPr="00000000">
        <w:rPr>
          <w:color w:val="333333"/>
          <w:rtl w:val="0"/>
        </w:rPr>
        <w:t xml:space="preserve"> She demonstrates that reading comprehension depends on background knowledge, and that writing about content is the most effective way to build that knowledge.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Where:</w:t>
      </w:r>
      <w:r w:rsidDel="00000000" w:rsidR="00000000" w:rsidRPr="00000000">
        <w:rPr>
          <w:color w:val="333333"/>
          <w:rtl w:val="0"/>
        </w:rPr>
        <w:t xml:space="preserve"> X</w:t>
      </w:r>
      <w:hyperlink r:id="rId10">
        <w:r w:rsidDel="00000000" w:rsidR="00000000" w:rsidRPr="00000000">
          <w:rPr>
            <w:color w:val="333333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868c90"/>
            <w:u w:val="single"/>
            <w:rtl w:val="0"/>
          </w:rPr>
          <w:t xml:space="preserve">@natwexler</w:t>
        </w:r>
      </w:hyperlink>
      <w:r w:rsidDel="00000000" w:rsidR="00000000" w:rsidRPr="00000000">
        <w:rPr>
          <w:color w:val="333333"/>
          <w:rtl w:val="0"/>
        </w:rPr>
        <w:t xml:space="preserve">; Substack "</w:t>
      </w:r>
      <w:hyperlink r:id="rId12">
        <w:r w:rsidDel="00000000" w:rsidR="00000000" w:rsidRPr="00000000">
          <w:rPr>
            <w:color w:val="868c90"/>
            <w:u w:val="single"/>
            <w:rtl w:val="0"/>
          </w:rPr>
          <w:t xml:space="preserve">Minding the Gap</w:t>
        </w:r>
      </w:hyperlink>
      <w:r w:rsidDel="00000000" w:rsidR="00000000" w:rsidRPr="00000000">
        <w:rPr>
          <w:color w:val="333333"/>
          <w:rtl w:val="0"/>
        </w:rPr>
        <w:t xml:space="preserve">".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Expert 3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Who:</w:t>
      </w:r>
      <w:r w:rsidDel="00000000" w:rsidR="00000000" w:rsidRPr="00000000">
        <w:rPr>
          <w:color w:val="333333"/>
          <w:rtl w:val="0"/>
        </w:rPr>
        <w:t xml:space="preserve"> David Yeager, PhD; Professor of Psychology at UT Austin and author of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10 to 25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Focus:</w:t>
      </w:r>
      <w:r w:rsidDel="00000000" w:rsidR="00000000" w:rsidRPr="00000000">
        <w:rPr>
          <w:color w:val="333333"/>
          <w:rtl w:val="0"/>
        </w:rPr>
        <w:t xml:space="preserve"> Adolescent motivation, the "mentor mindset," and the science of status and respect.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Why Follow:</w:t>
      </w:r>
      <w:r w:rsidDel="00000000" w:rsidR="00000000" w:rsidRPr="00000000">
        <w:rPr>
          <w:color w:val="333333"/>
          <w:rtl w:val="0"/>
        </w:rPr>
        <w:t xml:space="preserve"> He identifies that "enforcer" or "protector" mindsets fail adolescents; instead, "wise feedback" that couples high standards with high support triggers optimal motivation.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Where:</w:t>
      </w:r>
      <w:hyperlink r:id="rId13">
        <w:r w:rsidDel="00000000" w:rsidR="00000000" w:rsidRPr="00000000">
          <w:rPr>
            <w:color w:val="333333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868c90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Expert 4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Who:</w:t>
      </w:r>
      <w:r w:rsidDel="00000000" w:rsidR="00000000" w:rsidRPr="00000000">
        <w:rPr>
          <w:color w:val="333333"/>
          <w:rtl w:val="0"/>
        </w:rPr>
        <w:t xml:space="preserve"> Paul Kirschner &amp; Carl Hendrick; Authors of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How Learning Happens</w:t>
      </w:r>
      <w:r w:rsidDel="00000000" w:rsidR="00000000" w:rsidRPr="00000000">
        <w:rPr>
          <w:color w:val="333333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How Teaching Happens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Focus:</w:t>
      </w:r>
      <w:r w:rsidDel="00000000" w:rsidR="00000000" w:rsidRPr="00000000">
        <w:rPr>
          <w:color w:val="333333"/>
          <w:rtl w:val="0"/>
        </w:rPr>
        <w:t xml:space="preserve"> Educational psychology, cognitive load theory, and bridging research and practice.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Why Follow:</w:t>
      </w:r>
      <w:r w:rsidDel="00000000" w:rsidR="00000000" w:rsidRPr="00000000">
        <w:rPr>
          <w:color w:val="333333"/>
          <w:rtl w:val="0"/>
        </w:rPr>
        <w:t xml:space="preserve"> They provide the evidence base for "mathemagenic" (learning-generating) vs. "mathemathantic" (learning-killing) activities, emphasizing that knowledge must be in long-term memory to enable critical thinking.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Where:</w:t>
      </w:r>
      <w:r w:rsidDel="00000000" w:rsidR="00000000" w:rsidRPr="00000000">
        <w:rPr>
          <w:color w:val="333333"/>
          <w:rtl w:val="0"/>
        </w:rPr>
        <w:t xml:space="preserve"> X</w:t>
      </w:r>
      <w:hyperlink r:id="rId15">
        <w:r w:rsidDel="00000000" w:rsidR="00000000" w:rsidRPr="00000000">
          <w:rPr>
            <w:color w:val="868c90"/>
            <w:u w:val="single"/>
            <w:rtl w:val="0"/>
          </w:rPr>
          <w:t xml:space="preserve">@paulkirschner</w:t>
        </w:r>
      </w:hyperlink>
      <w:r w:rsidDel="00000000" w:rsidR="00000000" w:rsidRPr="00000000">
        <w:rPr>
          <w:color w:val="333333"/>
          <w:rtl w:val="0"/>
        </w:rPr>
        <w:t xml:space="preserve"> and</w:t>
      </w:r>
      <w:hyperlink r:id="rId16">
        <w:r w:rsidDel="00000000" w:rsidR="00000000" w:rsidRPr="00000000">
          <w:rPr>
            <w:color w:val="333333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868c90"/>
            <w:u w:val="single"/>
            <w:rtl w:val="0"/>
          </w:rPr>
          <w:t xml:space="preserve">@C_Hendrick</w:t>
        </w:r>
      </w:hyperlink>
      <w:r w:rsidDel="00000000" w:rsidR="00000000" w:rsidRPr="00000000">
        <w:rPr>
          <w:color w:val="333333"/>
          <w:rtl w:val="0"/>
        </w:rPr>
        <w:t xml:space="preserve">., Substack '</w:t>
      </w:r>
      <w:hyperlink r:id="rId18">
        <w:r w:rsidDel="00000000" w:rsidR="00000000" w:rsidRPr="00000000">
          <w:rPr>
            <w:color w:val="868c90"/>
            <w:u w:val="single"/>
            <w:rtl w:val="0"/>
          </w:rPr>
          <w:t xml:space="preserve">The Learning Dispatch</w:t>
        </w:r>
      </w:hyperlink>
      <w:r w:rsidDel="00000000" w:rsidR="00000000" w:rsidRPr="00000000">
        <w:rPr>
          <w:color w:val="333333"/>
          <w:rtl w:val="0"/>
        </w:rPr>
        <w:t xml:space="preserve">'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Expert 5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Who:</w:t>
      </w:r>
      <w:r w:rsidDel="00000000" w:rsidR="00000000" w:rsidRPr="00000000">
        <w:rPr>
          <w:color w:val="333333"/>
          <w:rtl w:val="0"/>
        </w:rPr>
        <w:t xml:space="preserve"> Doug Lemov; Author of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Teach Like a Champion</w:t>
      </w:r>
      <w:r w:rsidDel="00000000" w:rsidR="00000000" w:rsidRPr="00000000">
        <w:rPr>
          <w:color w:val="333333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Reading Reconsidered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Focus:</w:t>
      </w:r>
      <w:r w:rsidDel="00000000" w:rsidR="00000000" w:rsidRPr="00000000">
        <w:rPr>
          <w:color w:val="333333"/>
          <w:rtl w:val="0"/>
        </w:rPr>
        <w:t xml:space="preserve"> Explicit instruction, building fluency, and attentional habits.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Why Follow:</w:t>
      </w:r>
      <w:r w:rsidDel="00000000" w:rsidR="00000000" w:rsidRPr="00000000">
        <w:rPr>
          <w:color w:val="333333"/>
          <w:rtl w:val="0"/>
        </w:rPr>
        <w:t xml:space="preserve"> He champions "Cold Calling" and "Ratio," techniques that maximize student cognitive engagement and ensure everyone is "intellectually on".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Where:</w:t>
      </w:r>
      <w:r w:rsidDel="00000000" w:rsidR="00000000" w:rsidRPr="00000000">
        <w:rPr>
          <w:color w:val="333333"/>
          <w:rtl w:val="0"/>
        </w:rPr>
        <w:t xml:space="preserve"> X</w:t>
      </w:r>
      <w:hyperlink r:id="rId19">
        <w:r w:rsidDel="00000000" w:rsidR="00000000" w:rsidRPr="00000000">
          <w:rPr>
            <w:color w:val="333333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868c90"/>
            <w:u w:val="single"/>
            <w:rtl w:val="0"/>
          </w:rPr>
          <w:t xml:space="preserve">@Doug_Lemov</w:t>
        </w:r>
      </w:hyperlink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Expert 6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Who:</w:t>
      </w:r>
      <w:r w:rsidDel="00000000" w:rsidR="00000000" w:rsidRPr="00000000">
        <w:rPr>
          <w:color w:val="333333"/>
          <w:rtl w:val="0"/>
        </w:rPr>
        <w:t xml:space="preserve"> Rod J. Naquin; High school educator and literacy advocate.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Focus:</w:t>
      </w:r>
      <w:r w:rsidDel="00000000" w:rsidR="00000000" w:rsidRPr="00000000">
        <w:rPr>
          <w:color w:val="333333"/>
          <w:rtl w:val="0"/>
        </w:rPr>
        <w:t xml:space="preserve"> Systematic teaching of sentence-level skills within rigorous high school curriculum.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Why Follow:</w:t>
      </w:r>
      <w:r w:rsidDel="00000000" w:rsidR="00000000" w:rsidRPr="00000000">
        <w:rPr>
          <w:color w:val="333333"/>
          <w:rtl w:val="0"/>
        </w:rPr>
        <w:t xml:space="preserve"> He identifies a "pedagogical blind spot" in high school instruction where sophisticated thinking in discussions fails to translate to the page because students lack foundational sentence construction tools.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Where:</w:t>
      </w:r>
      <w:r w:rsidDel="00000000" w:rsidR="00000000" w:rsidRPr="00000000">
        <w:rPr>
          <w:color w:val="333333"/>
          <w:rtl w:val="0"/>
        </w:rPr>
        <w:t xml:space="preserve"> Substack:</w:t>
      </w:r>
      <w:hyperlink r:id="rId21">
        <w:r w:rsidDel="00000000" w:rsidR="00000000" w:rsidRPr="00000000">
          <w:rPr>
            <w:color w:val="333333"/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868c90"/>
            <w:u w:val="single"/>
            <w:rtl w:val="0"/>
          </w:rPr>
          <w:t xml:space="preserve">Rod J. Naquin</w:t>
        </w:r>
      </w:hyperlink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ind w:left="720" w:firstLine="0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afterAutospacing="0" w:before="24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Category 1: AlphaWrite’s Current Strengths (Engagement as an On-Ramp)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bCs w:val="1"/>
          <w:color w:val="333333"/>
          <w:u w:val="none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Source: The Writing Revolution 2.0 (Hochman &amp; Wexler)</w:t>
      </w:r>
    </w:p>
    <w:p w:rsidR="00000000" w:rsidDel="00000000" w:rsidP="00000000" w:rsidRDefault="00000000" w:rsidRPr="00000000" w14:paraId="00000027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DOK1 - Facts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Student-interest prompts increase willingness to write and sustain practice.</w:t>
      </w:r>
    </w:p>
    <w:p w:rsidR="00000000" w:rsidDel="00000000" w:rsidP="00000000" w:rsidRDefault="00000000" w:rsidRPr="00000000" w14:paraId="00000029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Sentence-first practice aligns with TWR sequencing (sentence → paragraph).</w:t>
      </w:r>
    </w:p>
    <w:p w:rsidR="00000000" w:rsidDel="00000000" w:rsidP="00000000" w:rsidRDefault="00000000" w:rsidRPr="00000000" w14:paraId="0000002A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Link:</w:t>
      </w:r>
      <w:hyperlink r:id="rId23">
        <w:r w:rsidDel="00000000" w:rsidR="00000000" w:rsidRPr="00000000">
          <w:rPr>
            <w:color w:val="333333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868c90"/>
            <w:u w:val="single"/>
            <w:rtl w:val="0"/>
          </w:rPr>
          <w:t xml:space="preserve">thewritingrevolution.org</w:t>
        </w:r>
      </w:hyperlink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DOK3 - Insights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5"/>
          <w:numId w:val="1"/>
        </w:numPr>
        <w:spacing w:after="24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Keep interest topics as a motivational layer, but don’t confuse “more writing” with “transfer-ready writing.”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after="0" w:afterAutospacing="0" w:before="24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Category 2: TWR Theory of Action (What “TWR-Aligned” Actually Means)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DOK1 - Facts:</w:t>
      </w:r>
    </w:p>
    <w:p w:rsidR="00000000" w:rsidDel="00000000" w:rsidP="00000000" w:rsidRDefault="00000000" w:rsidRPr="00000000" w14:paraId="00000030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“Content drives the rigor,” and interesting content can increase student investment and quality—but content still matters for rigor.</w:t>
      </w:r>
    </w:p>
    <w:p w:rsidR="00000000" w:rsidDel="00000000" w:rsidP="00000000" w:rsidRDefault="00000000" w:rsidRPr="00000000" w14:paraId="00000031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Writing instruction embedded in curriculum builds skills + knowledge simultaneously.</w:t>
      </w:r>
    </w:p>
    <w:p w:rsidR="00000000" w:rsidDel="00000000" w:rsidP="00000000" w:rsidRDefault="00000000" w:rsidRPr="00000000" w14:paraId="00000032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Same strategy scales in rigor based on content.</w:t>
      </w:r>
    </w:p>
    <w:p w:rsidR="00000000" w:rsidDel="00000000" w:rsidP="00000000" w:rsidRDefault="00000000" w:rsidRPr="00000000" w14:paraId="00000033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Link:</w:t>
      </w:r>
      <w:hyperlink r:id="rId25">
        <w:r w:rsidDel="00000000" w:rsidR="00000000" w:rsidRPr="00000000">
          <w:rPr>
            <w:color w:val="333333"/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868c90"/>
            <w:u w:val="single"/>
            <w:rtl w:val="0"/>
          </w:rPr>
          <w:t xml:space="preserve">thewritingrevolution.org</w:t>
        </w:r>
      </w:hyperlink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Source: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Hochman &amp; Wexler — “One Sentence at a Time” (American Educator, 2017)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DOK1 - Important facts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They argue writing is extremely difficult and therefore cannot be assumed to develop “by osmosis”; explicit instruction starting at the sentence level is necessary. </w:t>
      </w:r>
    </w:p>
    <w:p w:rsidR="00000000" w:rsidDel="00000000" w:rsidP="00000000" w:rsidRDefault="00000000" w:rsidRPr="00000000" w14:paraId="00000037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Link</w:t>
      </w:r>
      <w:r w:rsidDel="00000000" w:rsidR="00000000" w:rsidRPr="00000000">
        <w:rPr>
          <w:color w:val="333333"/>
          <w:rtl w:val="0"/>
        </w:rPr>
        <w:t xml:space="preserve">:</w:t>
      </w:r>
      <w:hyperlink r:id="rId27">
        <w:r w:rsidDel="00000000" w:rsidR="00000000" w:rsidRPr="00000000">
          <w:rPr>
            <w:color w:val="333333"/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868c90"/>
            <w:u w:val="single"/>
            <w:rtl w:val="0"/>
          </w:rPr>
          <w:t xml:space="preserve">One Sentence at a 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Category 3: Cognitive Architecture and Load Management in 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Source: Kirschner &amp; Hendrick — How Learning Happens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DOK1 - Facts:</w:t>
      </w: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The book emphasizes the limits of working memory and why novice problem-solving/search is constrained by that limited capacity.</w:t>
      </w:r>
    </w:p>
    <w:p w:rsidR="00000000" w:rsidDel="00000000" w:rsidP="00000000" w:rsidRDefault="00000000" w:rsidRPr="00000000" w14:paraId="0000003C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They describe moving from guided instruction toward independent practice by gradually withdrawing guidance (“fading”) as expertise develops.</w:t>
      </w:r>
    </w:p>
    <w:p w:rsidR="00000000" w:rsidDel="00000000" w:rsidP="00000000" w:rsidRDefault="00000000" w:rsidRPr="00000000" w14:paraId="0000003D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Writing requires multiple competing sub-processes.</w:t>
      </w:r>
    </w:p>
    <w:p w:rsidR="00000000" w:rsidDel="00000000" w:rsidP="00000000" w:rsidRDefault="00000000" w:rsidRPr="00000000" w14:paraId="0000003E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Limited working memory makes automaticity essential.</w:t>
      </w:r>
    </w:p>
    <w:p w:rsidR="00000000" w:rsidDel="00000000" w:rsidP="00000000" w:rsidRDefault="00000000" w:rsidRPr="00000000" w14:paraId="0000003F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Link: (internal upload)</w:t>
      </w:r>
    </w:p>
    <w:p w:rsidR="00000000" w:rsidDel="00000000" w:rsidP="00000000" w:rsidRDefault="00000000" w:rsidRPr="00000000" w14:paraId="00000040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Link: Book: </w:t>
      </w: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How Learning Happens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Source: Natalie Wexler — “Writing and cognitive load theory” (researchED, 2019)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DOK1- Facts:</w:t>
      </w:r>
      <w:r w:rsidDel="00000000" w:rsidR="00000000" w:rsidRPr="00000000">
        <w:rPr>
          <w:color w:val="333333"/>
          <w:rtl w:val="0"/>
        </w:rPr>
        <w:t xml:space="preserve"> Writing imposes heavy cognitive load; for novices, even one sentence can require juggling multiple demands (mechanics + word choice + structure), and writing about unfamiliar topics is especially hard.</w:t>
      </w:r>
    </w:p>
    <w:p w:rsidR="00000000" w:rsidDel="00000000" w:rsidP="00000000" w:rsidRDefault="00000000" w:rsidRPr="00000000" w14:paraId="00000043">
      <w:pPr>
        <w:numPr>
          <w:ilvl w:val="4"/>
          <w:numId w:val="1"/>
        </w:numPr>
        <w:spacing w:after="240" w:before="0" w:beforeAutospacing="0" w:lineRule="auto"/>
        <w:ind w:left="360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Link:</w:t>
      </w:r>
      <w:hyperlink r:id="rId29">
        <w:r w:rsidDel="00000000" w:rsidR="00000000" w:rsidRPr="00000000">
          <w:rPr>
            <w:b w:val="1"/>
            <w:bCs w:val="1"/>
            <w:color w:val="333333"/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868c90"/>
            <w:u w:val="single"/>
            <w:rtl w:val="0"/>
          </w:rPr>
          <w:t xml:space="preserve">https://researched.org.uk/2019/06/24/writing-and-cognitive-load-theory/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3600" w:firstLine="0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after="0" w:afterAutospacing="0" w:before="24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Category 4: </w:t>
      </w:r>
      <w:r w:rsidDel="00000000" w:rsidR="00000000" w:rsidRPr="00000000">
        <w:rPr>
          <w:color w:val="333333"/>
          <w:rtl w:val="0"/>
        </w:rPr>
        <w:t xml:space="preserve">Knowledge-Building and Writing-to-Learn</w:t>
      </w:r>
    </w:p>
    <w:p w:rsidR="00000000" w:rsidDel="00000000" w:rsidP="00000000" w:rsidRDefault="00000000" w:rsidRPr="00000000" w14:paraId="00000046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med—and when students are writing about meaningful content.</w:t>
      </w:r>
    </w:p>
    <w:p w:rsidR="00000000" w:rsidDel="00000000" w:rsidP="00000000" w:rsidRDefault="00000000" w:rsidRPr="00000000" w14:paraId="00000047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Source: Natalie Wexler (Knowledge Matters Campaign) — Podcast page: “Memory and the Writing Effect”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DOK1 - Facts:</w:t>
      </w: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Writing can improve memory/learning, especially when prompts require elaboration (“how/why”).</w:t>
      </w:r>
    </w:p>
    <w:p w:rsidR="00000000" w:rsidDel="00000000" w:rsidP="00000000" w:rsidRDefault="00000000" w:rsidRPr="00000000" w14:paraId="0000004A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Inexperienced writers can be overwhelmed; one recommendation is to have students write about content already taught so working memory isn’t overloaded.</w:t>
      </w:r>
    </w:p>
    <w:p w:rsidR="00000000" w:rsidDel="00000000" w:rsidP="00000000" w:rsidRDefault="00000000" w:rsidRPr="00000000" w14:paraId="0000004B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Link:</w:t>
      </w:r>
      <w:r w:rsidDel="00000000" w:rsidR="00000000" w:rsidRPr="00000000">
        <w:rPr>
          <w:color w:val="333333"/>
          <w:rtl w:val="0"/>
        </w:rPr>
        <w:t xml:space="preserve"> </w:t>
      </w:r>
      <w:hyperlink r:id="rId31">
        <w:r w:rsidDel="00000000" w:rsidR="00000000" w:rsidRPr="00000000">
          <w:rPr>
            <w:color w:val="868c90"/>
            <w:u w:val="single"/>
            <w:rtl w:val="0"/>
          </w:rPr>
          <w:t xml:space="preserve">https://knowledgematterscampaign.org/post/podcast-s3-ep5/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Source: Hochman &amp; Wexler — The Writing Revolution 2.0 (content drives rigor; interest as support)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DOK1 - Important facts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Content drives rigor; engaging content can “spice up” writing instruction and influence student effort/quality.</w:t>
      </w:r>
    </w:p>
    <w:p w:rsidR="00000000" w:rsidDel="00000000" w:rsidP="00000000" w:rsidRDefault="00000000" w:rsidRPr="00000000" w14:paraId="0000004F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Link</w:t>
      </w:r>
      <w:r w:rsidDel="00000000" w:rsidR="00000000" w:rsidRPr="00000000">
        <w:rPr>
          <w:color w:val="333333"/>
          <w:rtl w:val="0"/>
        </w:rPr>
        <w:t xml:space="preserve">:</w:t>
      </w:r>
      <w:hyperlink r:id="rId32">
        <w:r w:rsidDel="00000000" w:rsidR="00000000" w:rsidRPr="00000000">
          <w:rPr>
            <w:color w:val="333333"/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868c90"/>
            <w:u w:val="single"/>
            <w:rtl w:val="0"/>
          </w:rPr>
          <w:t xml:space="preserve">http://thewritingrevolution.org/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Category 5: Engineering Transfer with Mathemagenic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Source: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Ernst Rothkopf — “The Concept of Mathemagenic Activities” (Review of Educational Research, 1970)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DOK1 - Important facts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Defines mathemagenic behaviors as learner activities relevant to achieving instructional objectives, emphasizing attention to the instructional environment and learner actions.</w:t>
      </w:r>
    </w:p>
    <w:p w:rsidR="00000000" w:rsidDel="00000000" w:rsidP="00000000" w:rsidRDefault="00000000" w:rsidRPr="00000000" w14:paraId="00000054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Link</w:t>
      </w:r>
      <w:r w:rsidDel="00000000" w:rsidR="00000000" w:rsidRPr="00000000">
        <w:rPr>
          <w:color w:val="333333"/>
          <w:rtl w:val="0"/>
        </w:rPr>
        <w:t xml:space="preserve">:</w:t>
      </w:r>
      <w:hyperlink r:id="rId34">
        <w:r w:rsidDel="00000000" w:rsidR="00000000" w:rsidRPr="00000000">
          <w:rPr>
            <w:color w:val="333333"/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868c90"/>
            <w:u w:val="single"/>
            <w:rtl w:val="0"/>
          </w:rPr>
          <w:t xml:space="preserve">https://www.jstor.org/stable/info/1169369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Source: Kirschner &amp; Hendrick — How Learning Happens (Mathemagenic Activities chapter/section)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DOK1 - Important facts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Defines mathemagenic activities as activities that “give birth to learning” and groups them into categories (orientation, acquisition, translation/processing).</w:t>
      </w:r>
    </w:p>
    <w:p w:rsidR="00000000" w:rsidDel="00000000" w:rsidP="00000000" w:rsidRDefault="00000000" w:rsidRPr="00000000" w14:paraId="00000058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Link</w:t>
      </w:r>
      <w:r w:rsidDel="00000000" w:rsidR="00000000" w:rsidRPr="00000000">
        <w:rPr>
          <w:color w:val="333333"/>
          <w:rtl w:val="0"/>
        </w:rPr>
        <w:t xml:space="preserve">: Book: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How Learning Happens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Category 6: Motivation, Identity, and Feedback That Sustains Revision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Source: David Yeager — 10 to 25 (Mentor Mindset; wise feedback; high standards + high support)</w:t>
      </w:r>
    </w:p>
    <w:p w:rsidR="00000000" w:rsidDel="00000000" w:rsidP="00000000" w:rsidRDefault="00000000" w:rsidRPr="00000000" w14:paraId="0000005B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DOK2 - Summary</w:t>
      </w:r>
      <w:r w:rsidDel="00000000" w:rsidR="00000000" w:rsidRPr="00000000">
        <w:rPr>
          <w:color w:val="333333"/>
          <w:rtl w:val="0"/>
        </w:rPr>
        <w:t xml:space="preserve">: Frames effective motivation as combining high expectations with messages that students can meet them, protecting identity under challenge.</w:t>
      </w:r>
    </w:p>
    <w:p w:rsidR="00000000" w:rsidDel="00000000" w:rsidP="00000000" w:rsidRDefault="00000000" w:rsidRPr="00000000" w14:paraId="0000005C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DOK1 - Important facts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Describes how “wise feedback” pairs high standards with belief in the student’s capacity, and emphasizes relationships/mentorship that support growth.</w:t>
      </w:r>
    </w:p>
    <w:p w:rsidR="00000000" w:rsidDel="00000000" w:rsidP="00000000" w:rsidRDefault="00000000" w:rsidRPr="00000000" w14:paraId="0000005E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Link</w:t>
      </w:r>
      <w:r w:rsidDel="00000000" w:rsidR="00000000" w:rsidRPr="00000000">
        <w:rPr>
          <w:color w:val="333333"/>
          <w:rtl w:val="0"/>
        </w:rPr>
        <w:t xml:space="preserve">: Book: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10 to 25</w:t>
      </w:r>
    </w:p>
    <w:p w:rsidR="00000000" w:rsidDel="00000000" w:rsidP="00000000" w:rsidRDefault="00000000" w:rsidRPr="00000000" w14:paraId="0000005F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Source: Yeager et al. (2014) — Wise Feedback framing (“high standards” + “I know you can meet them”)</w:t>
      </w:r>
    </w:p>
    <w:p w:rsidR="00000000" w:rsidDel="00000000" w:rsidP="00000000" w:rsidRDefault="00000000" w:rsidRPr="00000000" w14:paraId="00000060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DOK1 - Summary</w:t>
      </w:r>
      <w:r w:rsidDel="00000000" w:rsidR="00000000" w:rsidRPr="00000000">
        <w:rPr>
          <w:color w:val="333333"/>
          <w:rtl w:val="0"/>
        </w:rPr>
        <w:t xml:space="preserve">: Practical framing that increases revision and follow-through—especially for students vulnerable to mistrust.</w:t>
      </w:r>
    </w:p>
    <w:p w:rsidR="00000000" w:rsidDel="00000000" w:rsidP="00000000" w:rsidRDefault="00000000" w:rsidRPr="00000000" w14:paraId="00000061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DOK1 - Important facts:</w:t>
      </w:r>
    </w:p>
    <w:p w:rsidR="00000000" w:rsidDel="00000000" w:rsidP="00000000" w:rsidRDefault="00000000" w:rsidRPr="00000000" w14:paraId="00000062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Two essential components: communicate high standards and assurance students can meet them; includes the canonical phrasing.</w:t>
      </w:r>
    </w:p>
    <w:p w:rsidR="00000000" w:rsidDel="00000000" w:rsidP="00000000" w:rsidRDefault="00000000" w:rsidRPr="00000000" w14:paraId="00000063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Link:</w:t>
      </w:r>
      <w:hyperlink r:id="rId36">
        <w:r w:rsidDel="00000000" w:rsidR="00000000" w:rsidRPr="00000000">
          <w:rPr>
            <w:color w:val="333333"/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868c90"/>
            <w:u w:val="single"/>
            <w:rtl w:val="0"/>
          </w:rPr>
          <w:t xml:space="preserve">https://celt.uky.edu/sites/default/files/2024-08/wise-feedback-accessible.pdf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color w:val="333333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Category 7: Pedagogical Content Knowledge and Disciplinary Lenses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Source: Lee Shulman — “Those Who Understand: Knowledge Growth in Teaching” (1986)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DOK1 - Important facts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Distinguishes subject matter content knowledge, pedagogical content knowledge, and curricular knowledge.</w:t>
      </w:r>
    </w:p>
    <w:p w:rsidR="00000000" w:rsidDel="00000000" w:rsidP="00000000" w:rsidRDefault="00000000" w:rsidRPr="00000000" w14:paraId="00000069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Defines PCK as including powerful representations (analogies, examples, explanations) and understanding what makes learning specific topics easy/difficult.</w:t>
      </w:r>
    </w:p>
    <w:p w:rsidR="00000000" w:rsidDel="00000000" w:rsidP="00000000" w:rsidRDefault="00000000" w:rsidRPr="00000000" w14:paraId="0000006A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Link</w:t>
      </w:r>
      <w:r w:rsidDel="00000000" w:rsidR="00000000" w:rsidRPr="00000000">
        <w:rPr>
          <w:color w:val="333333"/>
          <w:rtl w:val="0"/>
        </w:rPr>
        <w:t xml:space="preserve">:</w:t>
      </w:r>
      <w:hyperlink r:id="rId38">
        <w:r w:rsidDel="00000000" w:rsidR="00000000" w:rsidRPr="00000000">
          <w:rPr>
            <w:color w:val="333333"/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868c90"/>
            <w:u w:val="single"/>
            <w:rtl w:val="0"/>
          </w:rPr>
          <w:t xml:space="preserve">https://depts.washington.edu/comgrnd/ccli/papers/shulman_ThoseWhoUnderstandKnowledgeGrowthTeaching_1986-jy.pdf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Source: Hochman &amp; Wexler — The Writing Revolution 2.0 (Chapter 12: revolutionizing existing materials)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DOK1 - Important facts</w:t>
      </w:r>
      <w:r w:rsidDel="00000000" w:rsidR="00000000" w:rsidRPr="00000000">
        <w:rPr>
          <w:color w:val="333333"/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Reinforces that writing tasks should attach to the content you teach (content drives rigor).</w:t>
      </w:r>
    </w:p>
    <w:p w:rsidR="00000000" w:rsidDel="00000000" w:rsidP="00000000" w:rsidRDefault="00000000" w:rsidRPr="00000000" w14:paraId="0000006E">
      <w:pPr>
        <w:numPr>
          <w:ilvl w:val="4"/>
          <w:numId w:val="1"/>
        </w:numPr>
        <w:spacing w:after="240" w:before="0" w:beforeAutospacing="0" w:lineRule="auto"/>
        <w:ind w:left="360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Link</w:t>
      </w:r>
      <w:r w:rsidDel="00000000" w:rsidR="00000000" w:rsidRPr="00000000">
        <w:rPr>
          <w:color w:val="333333"/>
          <w:rtl w:val="0"/>
        </w:rPr>
        <w:t xml:space="preserve">:</w:t>
      </w:r>
      <w:hyperlink r:id="rId40">
        <w:r w:rsidDel="00000000" w:rsidR="00000000" w:rsidRPr="00000000">
          <w:rPr>
            <w:color w:val="333333"/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868c90"/>
            <w:u w:val="single"/>
            <w:rtl w:val="0"/>
          </w:rPr>
          <w:t xml:space="preserve">http://thewritingrevolution.org/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2160" w:firstLine="0"/>
        <w:rPr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spacing w:after="0" w:afterAutospacing="0" w:before="240" w:lineRule="auto"/>
        <w:ind w:left="2160" w:hanging="360"/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Category 8: Cold-Text Reading-to-Write as a Distinct Skill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Source: Natalie Wexler — writing + cognitive load (researchED)</w:t>
      </w:r>
    </w:p>
    <w:p w:rsidR="00000000" w:rsidDel="00000000" w:rsidP="00000000" w:rsidRDefault="00000000" w:rsidRPr="00000000" w14:paraId="00000072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.</w:t>
      </w:r>
      <w:hyperlink r:id="rId42">
        <w:r w:rsidDel="00000000" w:rsidR="00000000" w:rsidRPr="00000000">
          <w:rPr>
            <w:color w:val="333333"/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868c90"/>
            <w:u w:val="single"/>
            <w:rtl w:val="0"/>
          </w:rPr>
          <w:t xml:space="preserve">ResearchED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Link</w:t>
      </w:r>
      <w:r w:rsidDel="00000000" w:rsidR="00000000" w:rsidRPr="00000000">
        <w:rPr>
          <w:color w:val="333333"/>
          <w:rtl w:val="0"/>
        </w:rPr>
        <w:t xml:space="preserve">:</w:t>
      </w:r>
      <w:hyperlink r:id="rId44">
        <w:r w:rsidDel="00000000" w:rsidR="00000000" w:rsidRPr="00000000">
          <w:rPr>
            <w:color w:val="333333"/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868c90"/>
            <w:u w:val="single"/>
            <w:rtl w:val="0"/>
          </w:rPr>
          <w:t xml:space="preserve">https://researched.org.uk/2019/06/24/writing-and-cognitive-load-theory/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Source</w:t>
      </w:r>
      <w:r w:rsidDel="00000000" w:rsidR="00000000" w:rsidRPr="00000000">
        <w:rPr>
          <w:color w:val="333333"/>
          <w:rtl w:val="0"/>
        </w:rPr>
        <w:t xml:space="preserve">: Knowledge Matters Campaign — Wexler on memory + writing effect</w:t>
      </w:r>
    </w:p>
    <w:p w:rsidR="00000000" w:rsidDel="00000000" w:rsidP="00000000" w:rsidRDefault="00000000" w:rsidRPr="00000000" w14:paraId="00000075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Link:</w:t>
      </w:r>
      <w:hyperlink r:id="rId46">
        <w:r w:rsidDel="00000000" w:rsidR="00000000" w:rsidRPr="00000000">
          <w:rPr>
            <w:color w:val="333333"/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868c90"/>
            <w:u w:val="single"/>
            <w:rtl w:val="0"/>
          </w:rPr>
          <w:t xml:space="preserve">https://knowledgematterscampaign.org/post/podcast-s3-ep5/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Source: Kirschner &amp; Hendrick — working memory limits + fading supports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Link</w:t>
      </w:r>
      <w:r w:rsidDel="00000000" w:rsidR="00000000" w:rsidRPr="00000000">
        <w:rPr>
          <w:color w:val="333333"/>
          <w:rtl w:val="0"/>
        </w:rPr>
        <w:t xml:space="preserve">: Book: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How Learning Happens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DOK3 - Insights on Category 8:</w:t>
      </w:r>
    </w:p>
    <w:p w:rsidR="00000000" w:rsidDel="00000000" w:rsidP="00000000" w:rsidRDefault="00000000" w:rsidRPr="00000000" w14:paraId="00000079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AlphaWrite should track two separate progressions that must converge:</w:t>
      </w:r>
    </w:p>
    <w:p w:rsidR="00000000" w:rsidDel="00000000" w:rsidP="00000000" w:rsidRDefault="00000000" w:rsidRPr="00000000" w14:paraId="0000007A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sentence/structure automaticity (writing load down)</w:t>
      </w:r>
    </w:p>
    <w:p w:rsidR="00000000" w:rsidDel="00000000" w:rsidP="00000000" w:rsidRDefault="00000000" w:rsidRPr="00000000" w14:paraId="0000007B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comprehension/evidence extraction from cold text (reading load managed)</w:t>
      </w:r>
    </w:p>
    <w:p w:rsidR="00000000" w:rsidDel="00000000" w:rsidP="00000000" w:rsidRDefault="00000000" w:rsidRPr="00000000" w14:paraId="0000007C">
      <w:pPr>
        <w:numPr>
          <w:ilvl w:val="3"/>
          <w:numId w:val="1"/>
        </w:numPr>
        <w:spacing w:after="240" w:before="0" w:beforeAutospacing="0" w:lineRule="auto"/>
        <w:ind w:left="2880" w:hanging="360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“Bridge tasks” should be a first-class product pathway: short passage → highlight evidence → sentence frame using that evidence → outline → paragraph → fade highlights and frames.</w:t>
      </w:r>
    </w:p>
    <w:p w:rsidR="00000000" w:rsidDel="00000000" w:rsidP="00000000" w:rsidRDefault="00000000" w:rsidRPr="00000000" w14:paraId="0000007D">
      <w:pPr>
        <w:spacing w:after="240" w:before="240" w:lineRule="auto"/>
        <w:ind w:left="1440" w:firstLine="0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thewritingrevolution.org/" TargetMode="External"/><Relationship Id="rId20" Type="http://schemas.openxmlformats.org/officeDocument/2006/relationships/hyperlink" Target="https://x.com/Doug_Lemov" TargetMode="External"/><Relationship Id="rId42" Type="http://schemas.openxmlformats.org/officeDocument/2006/relationships/hyperlink" Target="https://researched.org.uk/2019/06/24/writing-and-cognitive-load-theory/" TargetMode="External"/><Relationship Id="rId41" Type="http://schemas.openxmlformats.org/officeDocument/2006/relationships/hyperlink" Target="http://thewritingrevolution.org/" TargetMode="External"/><Relationship Id="rId22" Type="http://schemas.openxmlformats.org/officeDocument/2006/relationships/hyperlink" Target="https://rodjnaquin.substack.com/" TargetMode="External"/><Relationship Id="rId44" Type="http://schemas.openxmlformats.org/officeDocument/2006/relationships/hyperlink" Target="https://researched.org.uk/2019/06/24/writing-and-cognitive-load-theory/" TargetMode="External"/><Relationship Id="rId21" Type="http://schemas.openxmlformats.org/officeDocument/2006/relationships/hyperlink" Target="https://rodjnaquin.substack.com/" TargetMode="External"/><Relationship Id="rId43" Type="http://schemas.openxmlformats.org/officeDocument/2006/relationships/hyperlink" Target="https://researched.org.uk/2019/06/24/writing-and-cognitive-load-theory/" TargetMode="External"/><Relationship Id="rId24" Type="http://schemas.openxmlformats.org/officeDocument/2006/relationships/hyperlink" Target="http://thewritingrevolution.org/" TargetMode="External"/><Relationship Id="rId46" Type="http://schemas.openxmlformats.org/officeDocument/2006/relationships/hyperlink" Target="https://knowledgematterscampaign.org/post/podcast-s3-ep5/" TargetMode="External"/><Relationship Id="rId23" Type="http://schemas.openxmlformats.org/officeDocument/2006/relationships/hyperlink" Target="http://thewritingrevolution.org/" TargetMode="External"/><Relationship Id="rId45" Type="http://schemas.openxmlformats.org/officeDocument/2006/relationships/hyperlink" Target="https://researched.org.uk/2019/06/24/writing-and-cognitive-load-theor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thewritingrevolution.org/" TargetMode="External"/><Relationship Id="rId26" Type="http://schemas.openxmlformats.org/officeDocument/2006/relationships/hyperlink" Target="http://thewritingrevolution.org/" TargetMode="External"/><Relationship Id="rId25" Type="http://schemas.openxmlformats.org/officeDocument/2006/relationships/hyperlink" Target="http://thewritingrevolution.org/" TargetMode="External"/><Relationship Id="rId47" Type="http://schemas.openxmlformats.org/officeDocument/2006/relationships/hyperlink" Target="https://knowledgematterscampaign.org/post/podcast-s3-ep5/" TargetMode="External"/><Relationship Id="rId28" Type="http://schemas.openxmlformats.org/officeDocument/2006/relationships/hyperlink" Target="https://www.aft.org/sites/default/files/ae_summer2017_hochman_and_wexler.pdf" TargetMode="External"/><Relationship Id="rId27" Type="http://schemas.openxmlformats.org/officeDocument/2006/relationships/hyperlink" Target="https://www.aft.org/sites/default/files/ae_summer2017_hochman_and_wexler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x.com/TheWritingRevol" TargetMode="External"/><Relationship Id="rId29" Type="http://schemas.openxmlformats.org/officeDocument/2006/relationships/hyperlink" Target="https://researched.org.uk/2019/06/24/writing-and-cognitive-load-theory/" TargetMode="External"/><Relationship Id="rId7" Type="http://schemas.openxmlformats.org/officeDocument/2006/relationships/hyperlink" Target="https://x.com/TheWritingRevol" TargetMode="External"/><Relationship Id="rId8" Type="http://schemas.openxmlformats.org/officeDocument/2006/relationships/hyperlink" Target="http://thewritingrevolution.org/" TargetMode="External"/><Relationship Id="rId31" Type="http://schemas.openxmlformats.org/officeDocument/2006/relationships/hyperlink" Target="https://knowledgematterscampaign.org/post/podcast-s3-ep5/" TargetMode="External"/><Relationship Id="rId30" Type="http://schemas.openxmlformats.org/officeDocument/2006/relationships/hyperlink" Target="https://researched.org.uk/2019/06/24/writing-and-cognitive-load-theory/" TargetMode="External"/><Relationship Id="rId11" Type="http://schemas.openxmlformats.org/officeDocument/2006/relationships/hyperlink" Target="https://x.com/natwexler?lang=en" TargetMode="External"/><Relationship Id="rId33" Type="http://schemas.openxmlformats.org/officeDocument/2006/relationships/hyperlink" Target="http://thewritingrevolution.org/" TargetMode="External"/><Relationship Id="rId10" Type="http://schemas.openxmlformats.org/officeDocument/2006/relationships/hyperlink" Target="https://x.com/natwexler?lang=en" TargetMode="External"/><Relationship Id="rId32" Type="http://schemas.openxmlformats.org/officeDocument/2006/relationships/hyperlink" Target="http://thewritingrevolution.org/" TargetMode="External"/><Relationship Id="rId13" Type="http://schemas.openxmlformats.org/officeDocument/2006/relationships/hyperlink" Target="https://www.linkedin.com/in/david-yeager-3713905/" TargetMode="External"/><Relationship Id="rId35" Type="http://schemas.openxmlformats.org/officeDocument/2006/relationships/hyperlink" Target="https://www.jstor.org/stable/info/1169369" TargetMode="External"/><Relationship Id="rId12" Type="http://schemas.openxmlformats.org/officeDocument/2006/relationships/hyperlink" Target="https://nataliewexler.substack.com/" TargetMode="External"/><Relationship Id="rId34" Type="http://schemas.openxmlformats.org/officeDocument/2006/relationships/hyperlink" Target="https://www.jstor.org/stable/info/1169369" TargetMode="External"/><Relationship Id="rId15" Type="http://schemas.openxmlformats.org/officeDocument/2006/relationships/hyperlink" Target="https://x.com/P_A_Kirschner" TargetMode="External"/><Relationship Id="rId37" Type="http://schemas.openxmlformats.org/officeDocument/2006/relationships/hyperlink" Target="https://celt.uky.edu/sites/default/files/2024-08/wise-feedback-accessible.pdf" TargetMode="External"/><Relationship Id="rId14" Type="http://schemas.openxmlformats.org/officeDocument/2006/relationships/hyperlink" Target="https://www.linkedin.com/in/david-yeager-3713905/" TargetMode="External"/><Relationship Id="rId36" Type="http://schemas.openxmlformats.org/officeDocument/2006/relationships/hyperlink" Target="https://celt.uky.edu/sites/default/files/2024-08/wise-feedback-accessible.pdf" TargetMode="External"/><Relationship Id="rId17" Type="http://schemas.openxmlformats.org/officeDocument/2006/relationships/hyperlink" Target="https://x.com/C_Hendrick" TargetMode="External"/><Relationship Id="rId39" Type="http://schemas.openxmlformats.org/officeDocument/2006/relationships/hyperlink" Target="https://depts.washington.edu/comgrnd/ccli/papers/shulman_ThoseWhoUnderstandKnowledgeGrowthTeaching_1986-jy.pdf" TargetMode="External"/><Relationship Id="rId16" Type="http://schemas.openxmlformats.org/officeDocument/2006/relationships/hyperlink" Target="https://x.com/C_Hendrick" TargetMode="External"/><Relationship Id="rId38" Type="http://schemas.openxmlformats.org/officeDocument/2006/relationships/hyperlink" Target="https://depts.washington.edu/comgrnd/ccli/papers/shulman_ThoseWhoUnderstandKnowledgeGrowthTeaching_1986-jy.pdf" TargetMode="External"/><Relationship Id="rId19" Type="http://schemas.openxmlformats.org/officeDocument/2006/relationships/hyperlink" Target="https://x.com/Doug_Lemov" TargetMode="External"/><Relationship Id="rId18" Type="http://schemas.openxmlformats.org/officeDocument/2006/relationships/hyperlink" Target="https://carlhendrick.substac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