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4"/>
        </w:rPr>
        <w:t>Carolina del Pilar Díaz</w:t>
      </w:r>
    </w:p>
    <w:p>
      <w:pPr>
        <w:spacing w:after="20"/>
      </w:pPr>
      <w:r>
        <w:rPr>
          <w:i/>
          <w:color w:val="666666"/>
          <w:sz w:val="19"/>
        </w:rPr>
        <w:t>Portfolio de proyectos — IT Patagonia · AI &amp; Data Solutions · Rol: Forward Deployed Engineer (AI/ML)</w:t>
      </w:r>
    </w:p>
    <w:p>
      <w:pPr>
        <w:spacing w:after="20"/>
      </w:pPr>
      <w:r>
        <w:rPr>
          <w:i/>
          <w:color w:val="666666"/>
          <w:sz w:val="19"/>
        </w:rPr>
        <w:t>Borrador de revisión en español. Contenido factual, extraído de código y documentos propios + commits. Sin adornos.</w:t>
      </w:r>
    </w:p>
    <w:p>
      <w:pPr>
        <w:spacing w:before="280" w:after="80"/>
      </w:pPr>
      <w:r>
        <w:rPr>
          <w:b/>
          <w:color w:val="1F3A5F"/>
          <w:sz w:val="26"/>
        </w:rPr>
        <w:t>1 · Soluciones desplegadas para clientes (Forward Deployed Engineer)</w:t>
      </w:r>
    </w:p>
    <w:p>
      <w:pPr>
        <w:spacing w:before="180" w:after="0"/>
      </w:pPr>
      <w:r>
        <w:rPr>
          <w:b/>
          <w:sz w:val="23"/>
        </w:rPr>
        <w:t>PATAGON.IA — Documentador automático de COBOL legacy</w:t>
      </w:r>
    </w:p>
    <w:p>
      <w:pPr>
        <w:spacing w:after="40"/>
      </w:pPr>
      <w:r>
        <w:rPr>
          <w:i/>
          <w:color w:val="666666"/>
          <w:sz w:val="18"/>
        </w:rPr>
        <w:t>Proyecto de equipo · Abril–Julio 2026</w:t>
      </w:r>
    </w:p>
    <w:p>
      <w:pPr>
        <w:spacing w:after="40"/>
      </w:pPr>
      <w:r>
        <w:t>Pipeline de 33 nodos en LangGraph sobre AWS Bedrock que genera documentación BRD/TRD de sistemas COBOL legacy a partir del código fuente.</w:t>
      </w:r>
    </w:p>
    <w:p>
      <w:pPr>
        <w:pStyle w:val="ListBullet"/>
        <w:spacing w:after="20"/>
      </w:pPr>
      <w:r>
        <w:t>Lideré la ingeniería de prompts de ~23 secciones (BRD/TRD); llevé el sistema ITPCS a 20/20 secciones verificadas y 0 errores de pipeline.</w:t>
      </w:r>
    </w:p>
    <w:p>
      <w:pPr>
        <w:pStyle w:val="ListBullet"/>
        <w:spacing w:after="20"/>
      </w:pPr>
      <w:r>
        <w:t>Panel de 3 jueces LLM con voto por mayoría + filtros anti-alucinación contra un “golden truth” determinístico (juez integrado como nodo n34).</w:t>
      </w:r>
    </w:p>
    <w:p>
      <w:pPr>
        <w:pStyle w:val="ListBullet"/>
        <w:spacing w:after="20"/>
      </w:pPr>
      <w:r>
        <w:t>Flujo Human-in-the-Loop (Excel + Google Drive + knowledge packs) y adaptación multi-modelo (DeepSeek R1 / Qwen / GLM) con corridas reproducibles (temperature=0).</w:t>
      </w:r>
    </w:p>
    <w:p>
      <w:pPr>
        <w:spacing w:before="180" w:after="0"/>
      </w:pPr>
      <w:r>
        <w:rPr>
          <w:b/>
          <w:sz w:val="23"/>
        </w:rPr>
        <w:t>Facturante — Asistente de ventas IA por WhatsApp</w:t>
      </w:r>
    </w:p>
    <w:p>
      <w:pPr>
        <w:spacing w:after="40"/>
      </w:pPr>
      <w:r>
        <w:rPr>
          <w:i/>
          <w:color w:val="666666"/>
          <w:sz w:val="18"/>
        </w:rPr>
        <w:t>Cliente: Facturante (SaaS de facturación electrónica) · 2026</w:t>
      </w:r>
    </w:p>
    <w:p>
      <w:pPr>
        <w:spacing w:after="40"/>
      </w:pPr>
      <w:r>
        <w:t>Agente conversacional de ventas desplegado como modelo MLflow PyFunc en Databricks Model Serving, con RAG sobre manuales de producto (Databricks Vector Search) y LLM Gemini.</w:t>
      </w:r>
    </w:p>
    <w:p>
      <w:pPr>
        <w:pStyle w:val="ListBullet"/>
        <w:spacing w:after="20"/>
      </w:pPr>
      <w:r>
        <w:t>Arquitectura sobre Databricks (Model Serving, Vector Search, Delta Lake) con handoff por webhook y conversación de ventas en fases.</w:t>
      </w:r>
    </w:p>
    <w:p>
      <w:pPr>
        <w:pStyle w:val="ListBullet"/>
        <w:spacing w:after="20"/>
      </w:pPr>
      <w:r>
        <w:t>Banco de pruebas con evaluación automatizada (LLM-as-judge sobre golden dataset), scoring de consistencia entre corridas y visor de conversaciones en Lakeview.</w:t>
      </w:r>
    </w:p>
    <w:p>
      <w:pPr>
        <w:spacing w:before="180" w:after="0"/>
      </w:pPr>
      <w:r>
        <w:rPr>
          <w:b/>
          <w:sz w:val="23"/>
        </w:rPr>
        <w:t>ITP Flokzu Agents — Plataforma agentic sobre BPM</w:t>
      </w:r>
    </w:p>
    <w:p>
      <w:pPr>
        <w:spacing w:after="40"/>
      </w:pPr>
      <w:r>
        <w:rPr>
          <w:i/>
          <w:color w:val="666666"/>
          <w:sz w:val="18"/>
        </w:rPr>
        <w:t>Integración con Flokzu (BPM) · 2026</w:t>
      </w:r>
    </w:p>
    <w:p>
      <w:pPr>
        <w:spacing w:after="40"/>
      </w:pPr>
      <w:r>
        <w:t>Plataforma de 2 agentes: extracción estructurada de facturas/recibos desde PDF con validación de importes, y evaluación de elegibilidad para el Régimen de Economía del Conocimiento.</w:t>
      </w:r>
    </w:p>
    <w:p>
      <w:pPr>
        <w:pStyle w:val="ListBullet"/>
        <w:spacing w:after="20"/>
      </w:pPr>
      <w:r>
        <w:t>AWS Lambda (Python 3.13) + AWS Bedrock con Claude Sonnet 4.6 y Claude Haiku, framework Strands, prompts versionados en S3.</w:t>
      </w:r>
    </w:p>
    <w:p>
      <w:pPr>
        <w:pStyle w:val="ListBullet"/>
        <w:spacing w:after="20"/>
      </w:pPr>
      <w:r>
        <w:t>Extracción de PDF (PyMuPDF, pdfplumber, pypdf), salidas JSON e integración por eventos HTTP con Flokzu; logging y monitoreo con Amazon CloudWatch.</w:t>
      </w:r>
    </w:p>
    <w:p>
      <w:pPr>
        <w:spacing w:before="180" w:after="0"/>
      </w:pPr>
      <w:r>
        <w:rPr>
          <w:b/>
          <w:sz w:val="23"/>
        </w:rPr>
        <w:t>Plataforma Inteligente de Activos — Banco Macro</w:t>
      </w:r>
    </w:p>
    <w:p>
      <w:pPr>
        <w:spacing w:after="40"/>
      </w:pPr>
      <w:r>
        <w:rPr>
          <w:i/>
          <w:color w:val="666666"/>
          <w:sz w:val="18"/>
        </w:rPr>
        <w:t>Cliente: Banco Macro · 2026</w:t>
      </w:r>
    </w:p>
    <w:p>
      <w:pPr>
        <w:spacing w:after="40"/>
      </w:pPr>
      <w:r>
        <w:t>App web que carga datos de activos (CSV/Excel), los analiza con IA conversacional y muestra reportes y visualizaciones en tiempo real, incluida una proyección de costos.</w:t>
      </w:r>
    </w:p>
    <w:p>
      <w:pPr>
        <w:pStyle w:val="ListBullet"/>
        <w:spacing w:after="20"/>
      </w:pPr>
      <w:r>
        <w:t>React 19 + TypeScript + Vite; Google Gemini 2.5 Flash para identificación automática de columnas y chat contextual; Recharts y mathjs para reportes y forecast de costos a 3 meses.</w:t>
      </w:r>
    </w:p>
    <w:p>
      <w:pPr>
        <w:spacing w:before="180" w:after="0"/>
      </w:pPr>
      <w:r>
        <w:rPr>
          <w:b/>
          <w:sz w:val="23"/>
        </w:rPr>
        <w:t>Automatización de QA — Universal Assistance</w:t>
      </w:r>
    </w:p>
    <w:p>
      <w:pPr>
        <w:spacing w:after="40"/>
      </w:pPr>
      <w:r>
        <w:rPr>
          <w:i/>
          <w:color w:val="666666"/>
          <w:sz w:val="18"/>
        </w:rPr>
        <w:t>Cliente: Universal Assistance · 2026</w:t>
      </w:r>
    </w:p>
    <w:p>
      <w:pPr>
        <w:spacing w:after="40"/>
      </w:pPr>
      <w:r>
        <w:t>App que convierte requerimientos en lenguaje natural en scripts de test Playwright (TypeScript) mediante IA, con dashboard de resultados.</w:t>
      </w:r>
    </w:p>
    <w:p>
      <w:pPr>
        <w:pStyle w:val="ListBullet"/>
        <w:spacing w:after="20"/>
      </w:pPr>
      <w:r>
        <w:t>React 19 + TypeScript + Vite; Google Gemini 2.5 Flash para generación de código orientado a @playwright/test.</w:t>
      </w:r>
    </w:p>
    <w:p>
      <w:pPr>
        <w:spacing w:before="180" w:after="0"/>
      </w:pPr>
      <w:r>
        <w:rPr>
          <w:b/>
          <w:sz w:val="23"/>
        </w:rPr>
        <w:t>Legalizaciones Web Assistant (CPCE)</w:t>
      </w:r>
    </w:p>
    <w:p>
      <w:pPr>
        <w:spacing w:after="40"/>
      </w:pPr>
      <w:r>
        <w:rPr>
          <w:i/>
          <w:color w:val="666666"/>
          <w:sz w:val="18"/>
        </w:rPr>
        <w:t>2026</w:t>
      </w:r>
    </w:p>
    <w:p>
      <w:pPr>
        <w:spacing w:after="40"/>
      </w:pPr>
      <w:r>
        <w:t>App web de asistencia al proceso de legalizaciones: chat sobre normativa (RT 37, Res. 34/2024, checklist) y carga de PDF/DOCX con análisis automatizado de errores, faltantes e inconsistencias.</w:t>
      </w:r>
    </w:p>
    <w:p>
      <w:pPr>
        <w:pStyle w:val="ListBullet"/>
        <w:spacing w:after="20"/>
      </w:pPr>
      <w:r>
        <w:t>React 19 + TypeScript + Vite + Tailwind; extracción de documentos con mammoth (DOCX) y pdfjs-dist (PDF); LLM Gemini 2.5 Flash con base normativa embebida.</w:t>
      </w:r>
    </w:p>
    <w:p>
      <w:pPr>
        <w:spacing w:before="180" w:after="0"/>
      </w:pPr>
      <w:r>
        <w:rPr>
          <w:b/>
          <w:sz w:val="23"/>
        </w:rPr>
        <w:t>Car One — PoC de inteligencia de precios de vehículos</w:t>
      </w:r>
    </w:p>
    <w:p>
      <w:pPr>
        <w:spacing w:after="40"/>
      </w:pPr>
      <w:r>
        <w:rPr>
          <w:i/>
          <w:color w:val="666666"/>
          <w:sz w:val="18"/>
        </w:rPr>
        <w:t>Cliente: Car One · 2026</w:t>
      </w:r>
    </w:p>
    <w:p>
      <w:pPr>
        <w:spacing w:after="40"/>
      </w:pPr>
      <w:r>
        <w:t>PoC multiagente en Python que recolecta publicaciones de varias fuentes, valida y emite una recomendación de pricing para un vehículo objetivo.</w:t>
      </w:r>
    </w:p>
    <w:p>
      <w:pPr>
        <w:pStyle w:val="ListBullet"/>
        <w:spacing w:after="20"/>
      </w:pPr>
      <w:r>
        <w:t>Python con orquestador + agentes especializados y paralelismo (ThreadPoolExecutor); analítica estadística de mercado (promedio, desvío vs. referencia, detección de outliers).</w:t>
      </w:r>
    </w:p>
    <w:p>
      <w:pPr>
        <w:spacing w:before="180" w:after="0"/>
      </w:pPr>
      <w:r>
        <w:rPr>
          <w:b/>
          <w:sz w:val="23"/>
        </w:rPr>
        <w:t>Data Stewardship Application</w:t>
      </w:r>
    </w:p>
    <w:p>
      <w:pPr>
        <w:spacing w:after="40"/>
      </w:pPr>
      <w:r>
        <w:rPr>
          <w:i/>
          <w:color w:val="666666"/>
          <w:sz w:val="18"/>
        </w:rPr>
        <w:t>2026</w:t>
      </w:r>
    </w:p>
    <w:p>
      <w:pPr>
        <w:spacing w:after="40"/>
      </w:pPr>
      <w:r>
        <w:t>App de calidad y gobierno de datos que evalúa datasets CSV con reglas personalizadas y genera diccionarios de datos automáticamente.</w:t>
      </w:r>
    </w:p>
    <w:p>
      <w:pPr>
        <w:pStyle w:val="ListBullet"/>
        <w:spacing w:after="20"/>
      </w:pPr>
      <w:r>
        <w:t>React 19 + TypeScript + Vite; Google Gemini 2.5 Flash; parseo CSV con papaparse; i18n es/en.</w:t>
      </w:r>
    </w:p>
    <w:p>
      <w:pPr>
        <w:spacing w:before="180" w:after="0"/>
      </w:pPr>
      <w:r>
        <w:rPr>
          <w:b/>
          <w:sz w:val="23"/>
        </w:rPr>
        <w:t>ICBC — Migración de Oficios Judiciales de VB6 a C#/.NET 8</w:t>
      </w:r>
    </w:p>
    <w:p>
      <w:pPr>
        <w:spacing w:after="40"/>
      </w:pPr>
      <w:r>
        <w:rPr>
          <w:i/>
          <w:color w:val="666666"/>
          <w:sz w:val="18"/>
        </w:rPr>
        <w:t>Cliente: ICBC · Banca · Legacy Modernization · 2026</w:t>
      </w:r>
    </w:p>
    <w:p>
      <w:pPr>
        <w:spacing w:after="40"/>
      </w:pPr>
      <w:r>
        <w:t>Modernización del sistema de oficios judiciales (integración AFIP e importación BCRA) desde Visual Basic 6 a una arquitectura moderna en capas.</w:t>
      </w:r>
    </w:p>
    <w:p>
      <w:pPr>
        <w:pStyle w:val="ListBullet"/>
        <w:spacing w:after="20"/>
      </w:pPr>
      <w:r>
        <w:t>Arquitectura en capas (Core / Data / Business / WinForms / AfipConnection) con Entity Framework Core, Dependency Injection, async/await, Serilog y conexión a DB2 (IBM.Data.DB2.Core).</w:t>
      </w:r>
    </w:p>
    <w:p>
      <w:pPr>
        <w:spacing w:before="280" w:after="80"/>
      </w:pPr>
      <w:r>
        <w:rPr>
          <w:b/>
          <w:color w:val="1F3A5F"/>
          <w:sz w:val="26"/>
        </w:rPr>
        <w:t>2 · Modelos estadísticos avanzados y Machine Learning</w:t>
      </w:r>
    </w:p>
    <w:p>
      <w:pPr>
        <w:spacing w:before="180" w:after="0"/>
      </w:pPr>
      <w:r>
        <w:rPr>
          <w:b/>
          <w:sz w:val="23"/>
        </w:rPr>
        <w:t>Predictor de finalización del batch nocturno — Banco Macro</w:t>
      </w:r>
    </w:p>
    <w:p>
      <w:pPr>
        <w:spacing w:after="40"/>
      </w:pPr>
      <w:r>
        <w:rPr>
          <w:i/>
          <w:color w:val="666666"/>
          <w:sz w:val="18"/>
        </w:rPr>
        <w:t>Cliente: Banco Macro · Producto OPTI+ / Rangos Dinámicos · 2025–2026</w:t>
      </w:r>
    </w:p>
    <w:p>
      <w:pPr>
        <w:spacing w:after="40"/>
      </w:pPr>
      <w:r>
        <w:t>Predice la hora de fin del proceso batch nocturno y la comunica como ventana horaria con explicación en lenguaje natural. Reemplaza heurísticas estáticas por modelado estadístico que aprende del histórico.</w:t>
      </w:r>
    </w:p>
    <w:p>
      <w:pPr>
        <w:pStyle w:val="ListBullet"/>
        <w:spacing w:after="20"/>
      </w:pPr>
      <w:r>
        <w:t>Modelado y comparación de ML: regresión lineal, árboles de decisión, Random Forest, HistGradientBoosting y series de tiempo con Prophet; split temporal, métricas MAE y R² sobre 485 registros reales (MAE optimizado ~39 min).</w:t>
      </w:r>
    </w:p>
    <w:p>
      <w:pPr>
        <w:pStyle w:val="ListBullet"/>
        <w:spacing w:after="20"/>
      </w:pPr>
      <w:r>
        <w:t>Estimador estadístico basado en instancias (k-NN ponderado por tipo de jornada, volumen y día): mediana robusta, filtrado de outliers (σ) y rangos asimétricos según el sesgo de la distribución.</w:t>
      </w:r>
    </w:p>
    <w:p>
      <w:pPr>
        <w:pStyle w:val="ListBullet"/>
        <w:spacing w:after="20"/>
      </w:pPr>
      <w:r>
        <w:t>Criterio económico de pérdida asimétrica + SLA de 15 min. Backtest leave-one-out sobre 105 días: 81,0% (simétrico), 90,5% (asimétrico) y 99,0% dentro de tope+SLA (104/105 días).</w:t>
      </w:r>
    </w:p>
    <w:p>
      <w:pPr>
        <w:pStyle w:val="ListBullet"/>
        <w:spacing w:after="20"/>
      </w:pPr>
      <w:r>
        <w:t>Producto desplegable: Python (FastAPI), frontend React + Vite, proxy Node/Express, Docker; integración en vivo con la API de OPTI (226 registros, patrón Repository) y explicación NL con Gemini.</w:t>
      </w:r>
    </w:p>
    <w:p>
      <w:pPr>
        <w:spacing w:before="180" w:after="0"/>
      </w:pPr>
      <w:r>
        <w:rPr>
          <w:b/>
          <w:sz w:val="23"/>
        </w:rPr>
        <w:t>Segmentación de clientes bancarios (RFM) — ICBC</w:t>
      </w:r>
    </w:p>
    <w:p>
      <w:pPr>
        <w:spacing w:after="40"/>
      </w:pPr>
      <w:r>
        <w:rPr>
          <w:i/>
          <w:color w:val="666666"/>
          <w:sz w:val="18"/>
        </w:rPr>
        <w:t>Cliente: ICBC · AWS SageMaker Canvas / Data Wrangler · 2024–2025</w:t>
      </w:r>
    </w:p>
    <w:p>
      <w:pPr>
        <w:spacing w:after="40"/>
      </w:pPr>
      <w:r>
        <w:t>Segmentación de clientes tipo RFM (Recency, Frequency, Monetary) a partir de la vista de cliente 360 del banco, con ingeniería de features sobre un dataset de ~250 atributos (productos, saldos, consumos de tarjeta, canales, scores de riesgo).</w:t>
      </w:r>
    </w:p>
    <w:p>
      <w:pPr>
        <w:pStyle w:val="ListBullet"/>
        <w:spacing w:after="20"/>
      </w:pPr>
      <w:r>
        <w:t>Data prep en AWS SageMaker Canvas / Data Wrangler (PySpark) sobre datos en Amazon Athena: join de la tabla de productos por cliente con la vista 360, filtrado mensual, salida en Parquet a S3.</w:t>
      </w:r>
    </w:p>
    <w:p>
      <w:pPr>
        <w:pStyle w:val="ListBullet"/>
        <w:spacing w:after="20"/>
      </w:pPr>
      <w:r>
        <w:t>Pipeline de features: casteo de tipos, descarte de PII/identificadores, tratamiento de outliers (desviación estándar robusta, cuantiles 1%/99%, 4σ), imputación (mediana aproximada / categórica) y encoding ordinal / one-hot / similarity (MinHash LSH + n-gramas).</w:t>
      </w:r>
    </w:p>
    <w:p>
      <w:pPr>
        <w:pStyle w:val="ListBullet"/>
        <w:spacing w:after="20"/>
      </w:pPr>
      <w:r>
        <w:t>Descomposición de series temporales STL/LOESS (statsmodels) sobre el histórico transaccional (~1 millón de registros mensuales de depósitos y extracciones por cliente).</w:t>
      </w:r>
    </w:p>
    <w:p>
      <w:pPr>
        <w:spacing w:before="180" w:after="0"/>
      </w:pPr>
      <w:r>
        <w:rPr>
          <w:b/>
          <w:sz w:val="23"/>
        </w:rPr>
        <w:t>Predicción de churn de clientes de tarjeta de crédito</w:t>
      </w:r>
    </w:p>
    <w:p>
      <w:pPr>
        <w:spacing w:after="40"/>
      </w:pPr>
      <w:r>
        <w:rPr>
          <w:i/>
          <w:color w:val="666666"/>
          <w:sz w:val="18"/>
        </w:rPr>
        <w:t>Estudio / PoC · 2024</w:t>
      </w:r>
    </w:p>
    <w:p>
      <w:pPr>
        <w:spacing w:after="40"/>
      </w:pPr>
      <w:r>
        <w:t>Modelo de clasificación para predecir la baja (churn) de clientes de tarjeta de crédito.</w:t>
      </w:r>
    </w:p>
    <w:p>
      <w:pPr>
        <w:pStyle w:val="ListBullet"/>
        <w:spacing w:after="20"/>
      </w:pPr>
      <w:r>
        <w:t>Random Forest, AdaBoost y SVM; balanceo de clases con SMOTE; StandardScaler, validación cruzada y evaluación con F1-score y matriz de confusión (scikit-learn, imblearn).</w:t>
      </w:r>
    </w:p>
    <w:p>
      <w:pPr>
        <w:spacing w:after="20"/>
      </w:pPr>
      <w:r>
        <w:rPr>
          <w:i/>
          <w:color w:val="999999"/>
          <w:sz w:val="17"/>
        </w:rPr>
        <w:t>Alcance: entrenado sobre dataset público de Kaggle (BankChurners). Presentar como estudio/PoC, no como modelo en producción con datos de cliente.</w:t>
      </w:r>
    </w:p>
    <w:p>
      <w:pPr>
        <w:spacing w:before="180" w:after="0"/>
      </w:pPr>
      <w:r>
        <w:rPr>
          <w:b/>
          <w:sz w:val="23"/>
        </w:rPr>
        <w:t>Detección de fraude bancario — diseño de solución</w:t>
      </w:r>
    </w:p>
    <w:p>
      <w:pPr>
        <w:spacing w:after="40"/>
      </w:pPr>
      <w:r>
        <w:rPr>
          <w:i/>
          <w:color w:val="666666"/>
          <w:sz w:val="18"/>
        </w:rPr>
        <w:t>Contexto banca · 2024–2025</w:t>
      </w:r>
    </w:p>
    <w:p>
      <w:pPr>
        <w:spacing w:after="40"/>
      </w:pPr>
      <w:r>
        <w:t>Diseño de un enfoque híbrido de detección de fraude que combina un sistema de reglas con detección de anomalías.</w:t>
      </w:r>
    </w:p>
    <w:p>
      <w:pPr>
        <w:pStyle w:val="ListBullet"/>
        <w:spacing w:after="20"/>
      </w:pPr>
      <w:r>
        <w:t>Diseño de modelos de anomalías (Isolation Forest, Autoencoders, One-Class SVM) y clasificación; métricas objetivo precisión/recall/F1; tipologías de anomalías puntuales, contextuales y colectivas.</w:t>
      </w:r>
    </w:p>
    <w:p>
      <w:pPr>
        <w:spacing w:after="20"/>
      </w:pPr>
      <w:r>
        <w:rPr>
          <w:i/>
          <w:color w:val="999999"/>
          <w:sz w:val="17"/>
        </w:rPr>
        <w:t>Alcance: en la carpeta hay relevamiento, datos reales mensuales y documento de diseño (v1.6); los algoritmos figuran como propuesta, sin modelo entrenado hallado.</w:t>
      </w:r>
    </w:p>
    <w:p>
      <w:pPr>
        <w:spacing w:before="180" w:after="0"/>
      </w:pPr>
      <w:r>
        <w:rPr>
          <w:b/>
          <w:sz w:val="23"/>
        </w:rPr>
        <w:t>Fondos Comunes de Inversión — segmentación y propensión (ICBC)</w:t>
      </w:r>
    </w:p>
    <w:p>
      <w:pPr>
        <w:spacing w:after="40"/>
      </w:pPr>
      <w:r>
        <w:rPr>
          <w:i/>
          <w:color w:val="666666"/>
          <w:sz w:val="18"/>
        </w:rPr>
        <w:t>Cliente: ICBC · 2024–2025</w:t>
      </w:r>
    </w:p>
    <w:p>
      <w:pPr>
        <w:spacing w:after="40"/>
      </w:pPr>
      <w:r>
        <w:t>Proyecto para aumentar la penetración en FCI: segmentar clientes y predecir la probabilidad de invertir (personas físicas).</w:t>
      </w:r>
    </w:p>
    <w:p>
      <w:pPr>
        <w:pStyle w:val="ListBullet"/>
        <w:spacing w:after="20"/>
      </w:pPr>
      <w:r>
        <w:t>Definición de target booleano, preparación de datos sobre fuentes Teradata (millones de registros), diseño de features, reentrenamiento y A/B testing de campañas.</w:t>
      </w:r>
    </w:p>
    <w:p>
      <w:pPr>
        <w:spacing w:after="20"/>
      </w:pPr>
      <w:r>
        <w:rPr>
          <w:i/>
          <w:color w:val="999999"/>
          <w:sz w:val="17"/>
        </w:rPr>
        <w:t>Alcance: relevamiento y preparación de datos documentados; sin código de modelo entrenado en la carpeta.</w:t>
      </w:r>
    </w:p>
    <w:p>
      <w:pPr>
        <w:spacing w:before="280" w:after="80"/>
      </w:pPr>
      <w:r>
        <w:rPr>
          <w:b/>
          <w:color w:val="1F3A5F"/>
          <w:sz w:val="26"/>
        </w:rPr>
        <w:t>3 · Observabilidad y monitoreo de IA</w:t>
      </w:r>
    </w:p>
    <w:p>
      <w:pPr>
        <w:spacing w:before="180" w:after="0"/>
      </w:pPr>
      <w:r>
        <w:rPr>
          <w:b/>
          <w:sz w:val="23"/>
        </w:rPr>
        <w:t>Estrategia de observabilidad de IA en producción — Banco Galicia</w:t>
      </w:r>
    </w:p>
    <w:p>
      <w:pPr>
        <w:spacing w:after="40"/>
      </w:pPr>
      <w:r>
        <w:rPr>
          <w:i/>
          <w:color w:val="666666"/>
          <w:sz w:val="18"/>
        </w:rPr>
        <w:t>Cliente: Banco Galicia · Evaluación de arquitectura · 2025–2026</w:t>
      </w:r>
    </w:p>
    <w:p>
      <w:pPr>
        <w:spacing w:after="40"/>
      </w:pPr>
      <w:r>
        <w:t>Como parte de la auditoría de dos sistemas de IA en producción (orquestador multiagente + agente RAG), diseñé la estrategia de observabilidad y cumplimiento.</w:t>
      </w:r>
    </w:p>
    <w:p>
      <w:pPr>
        <w:pStyle w:val="ListBullet"/>
        <w:spacing w:after="20"/>
      </w:pPr>
      <w:r>
        <w:t>Diagnóstico de brechas: ausencia de métricas P50/P95/P99, punto ciego de 24 h, logs sin contexto (message_id/offset/partition), sin health checks ni tracing.</w:t>
      </w:r>
    </w:p>
    <w:p>
      <w:pPr>
        <w:pStyle w:val="ListBullet"/>
        <w:spacing w:after="20"/>
      </w:pPr>
      <w:r>
        <w:t>Diseño TO-BE: Prometheus (latencia HTTP/Kafka, tokens), Grafana como “vidrio único”, Azure Application Insights, OpenTelemetry + Jaeger (tracing distribuido).</w:t>
      </w:r>
    </w:p>
    <w:p>
      <w:pPr>
        <w:pStyle w:val="ListBullet"/>
        <w:spacing w:after="20"/>
      </w:pPr>
      <w:r>
        <w:t>Auditoría de alucinaciones con RAGAS (agente “Inspector”, faithfulness / answer relevancy) y alertas (HighLatency P95&gt;2s, HighErrorRate, DLQ).</w:t>
      </w:r>
    </w:p>
    <w:p>
      <w:pPr>
        <w:pStyle w:val="ListBullet"/>
        <w:spacing w:after="20"/>
      </w:pPr>
      <w:r>
        <w:t>Alineación regulatoria: trazabilidad BCRA (Com. “A” 8280) y CNV; roadmap con fase dedicada de observabilidad.</w:t>
      </w:r>
    </w:p>
    <w:p>
      <w:pPr>
        <w:spacing w:after="20"/>
      </w:pPr>
      <w:r>
        <w:rPr>
          <w:i/>
          <w:color w:val="999999"/>
          <w:sz w:val="17"/>
        </w:rPr>
        <w:t>Alcance: diseño/propuesta dentro de una evaluación de arquitectura (no despliegue en producción por parte del equipo).</w:t>
      </w:r>
    </w:p>
    <w:p>
      <w:pPr>
        <w:spacing w:before="180" w:after="0"/>
      </w:pPr>
      <w:r>
        <w:rPr>
          <w:b/>
          <w:sz w:val="23"/>
        </w:rPr>
        <w:t>Evaluación automatizada de calidad de LLM — Facturante</w:t>
      </w:r>
    </w:p>
    <w:p>
      <w:pPr>
        <w:spacing w:after="40"/>
      </w:pPr>
      <w:r>
        <w:rPr>
          <w:i/>
          <w:color w:val="666666"/>
          <w:sz w:val="18"/>
        </w:rPr>
        <w:t>Cliente: Facturante · 2026</w:t>
      </w:r>
    </w:p>
    <w:p>
      <w:pPr>
        <w:spacing w:after="40"/>
      </w:pPr>
      <w:r>
        <w:t>Banco de pruebas para medir y versionar la calidad del asistente conversacional.</w:t>
      </w:r>
    </w:p>
    <w:p>
      <w:pPr>
        <w:pStyle w:val="ListBullet"/>
        <w:spacing w:after="20"/>
      </w:pPr>
      <w:r>
        <w:t>LLM-as-judge sobre golden dataset, score de consistencia entre múltiples corridas, resultados versión-contra-versión en tabla Delta Lake y visor de conversaciones en Lakeview (auditabilidad total).</w:t>
      </w:r>
    </w:p>
    <w:p>
      <w:pPr>
        <w:spacing w:before="180" w:after="0"/>
      </w:pPr>
      <w:r>
        <w:rPr>
          <w:b/>
          <w:sz w:val="23"/>
        </w:rPr>
        <w:t>Backtest reproducible e informe de drift — Predictor Banco Macro</w:t>
      </w:r>
    </w:p>
    <w:p>
      <w:pPr>
        <w:spacing w:after="40"/>
      </w:pPr>
      <w:r>
        <w:rPr>
          <w:i/>
          <w:color w:val="666666"/>
          <w:sz w:val="18"/>
        </w:rPr>
        <w:t>Cliente: Banco Macro · 2026</w:t>
      </w:r>
    </w:p>
    <w:p>
      <w:pPr>
        <w:spacing w:after="40"/>
      </w:pPr>
      <w:r>
        <w:t>Validación y control de calidad del predictor de batch.</w:t>
      </w:r>
    </w:p>
    <w:p>
      <w:pPr>
        <w:pStyle w:val="ListBullet"/>
        <w:spacing w:after="20"/>
      </w:pPr>
      <w:r>
        <w:t>Backtest reproducible (leave-one-out) e informe de drift/desfasaje del piso “hora sin demora” de OPTI, identificando sesgo sistemático a calibrar.</w:t>
      </w:r>
    </w:p>
    <w:p>
      <w:pPr>
        <w:spacing w:after="20"/>
      </w:pPr>
      <w:r>
        <w:rPr>
          <w:i/>
          <w:color w:val="999999"/>
          <w:sz w:val="17"/>
        </w:rPr>
        <w:t>Alcance: el aprendizaje continuo y la calibración automática quedan como fase pendiente; no hay dashboard de monitoreo de drift en producción.</w:t>
      </w:r>
    </w:p>
    <w:p>
      <w:pPr>
        <w:spacing w:before="280" w:after="80"/>
      </w:pPr>
      <w:r>
        <w:rPr>
          <w:b/>
          <w:color w:val="1F3A5F"/>
          <w:sz w:val="26"/>
        </w:rPr>
        <w:t>4 · Consultoría estadística (perfil economista / estadística aplicada)</w:t>
      </w:r>
    </w:p>
    <w:p>
      <w:pPr>
        <w:spacing w:before="180" w:after="0"/>
      </w:pPr>
      <w:r>
        <w:rPr>
          <w:b/>
          <w:sz w:val="23"/>
        </w:rPr>
        <w:t>Análisis estadístico de ensayo agronómico (soja)</w:t>
      </w:r>
    </w:p>
    <w:p>
      <w:pPr>
        <w:spacing w:after="40"/>
      </w:pPr>
      <w:r>
        <w:rPr>
          <w:i/>
          <w:color w:val="666666"/>
          <w:sz w:val="18"/>
        </w:rPr>
        <w:t>Consultoría · Python</w:t>
      </w:r>
    </w:p>
    <w:p>
      <w:pPr>
        <w:spacing w:after="40"/>
      </w:pPr>
      <w:r>
        <w:t>Análisis estadístico completo de un ensayo de soja con generación de reportes.</w:t>
      </w:r>
    </w:p>
    <w:p>
      <w:pPr>
        <w:pStyle w:val="ListBullet"/>
        <w:spacing w:after="20"/>
      </w:pPr>
      <w:r>
        <w:t>EDA, estadística paramétrica y no paramétrica, modelos mixtos (statsmodels: OLS, mixedlm, ANOVA, Tukey HSD), datos sintéticos y reportes PDF.</w:t>
      </w:r>
    </w:p>
    <w:p>
      <w:pPr>
        <w:spacing w:before="180" w:after="0"/>
      </w:pPr>
      <w:r>
        <w:rPr>
          <w:b/>
          <w:sz w:val="23"/>
        </w:rPr>
        <w:t>Análisis exploratorio de suelos</w:t>
      </w:r>
    </w:p>
    <w:p>
      <w:pPr>
        <w:spacing w:after="40"/>
      </w:pPr>
      <w:r>
        <w:rPr>
          <w:i/>
          <w:color w:val="666666"/>
          <w:sz w:val="18"/>
        </w:rPr>
        <w:t>Consultoría · Python</w:t>
      </w:r>
    </w:p>
    <w:p>
      <w:pPr>
        <w:spacing w:after="40"/>
      </w:pPr>
      <w:r>
        <w:t>EDA sobre 11.866 registros de suelos (2021–2026), foco en Nitrógeno Mineralizado (Nan) vs. Materia Orgánica, N total y pH.</w:t>
      </w:r>
    </w:p>
    <w:p>
      <w:pPr>
        <w:pStyle w:val="ListBullet"/>
        <w:spacing w:after="20"/>
      </w:pPr>
      <w:r>
        <w:t>Correlaciones Pearson/Spearman/PPS, modelos mixtos no lineales, efectos fijos por mes/estación y tratamiento de outliers (IQR).</w:t>
      </w:r>
    </w:p>
    <w:p>
      <w:pPr>
        <w:spacing w:before="280" w:after="80"/>
      </w:pPr>
      <w:r>
        <w:rPr>
          <w:b/>
          <w:color w:val="1F3A5F"/>
          <w:sz w:val="26"/>
        </w:rPr>
        <w:t>Certificaciones (aprobadas)</w:t>
      </w:r>
    </w:p>
    <w:p>
      <w:pPr>
        <w:pStyle w:val="ListBullet"/>
      </w:pPr>
      <w:r>
        <w:t>Databricks Certified Generative AI Engineer Associate (2026)</w:t>
      </w:r>
    </w:p>
    <w:p>
      <w:pPr>
        <w:pStyle w:val="ListBullet"/>
      </w:pPr>
      <w:r>
        <w:t>AWS Academy Graduate — Cloud Foundations (2026)</w:t>
      </w:r>
    </w:p>
    <w:p>
      <w:pPr>
        <w:pStyle w:val="ListBullet"/>
      </w:pPr>
      <w:r>
        <w:t>AWS Academy Graduate — Machine Learning Foundations (2026)</w:t>
      </w:r>
    </w:p>
    <w:p>
      <w:pPr>
        <w:pStyle w:val="ListBullet"/>
      </w:pPr>
      <w:r>
        <w:t>IBM SkillsBuild — Certificado de finalización (2026)</w:t>
      </w:r>
    </w:p>
    <w:p>
      <w:pPr>
        <w:spacing w:before="280" w:after="80"/>
      </w:pPr>
      <w:r>
        <w:rPr>
          <w:b/>
          <w:color w:val="1F3A5F"/>
          <w:sz w:val="26"/>
        </w:rPr>
        <w:t>Notas de alcance (para vos, no para el CV final)</w:t>
      </w:r>
    </w:p>
    <w:p>
      <w:pPr>
        <w:pStyle w:val="ListBullet"/>
      </w:pPr>
      <w:r>
        <w:rPr>
          <w:color w:val="666666"/>
          <w:sz w:val="18"/>
        </w:rPr>
        <w:t>Los “ROI / ahorros mensuales” que aparecen en los informes de las apps son ejemplos estimados, no resultados medidos: no conviene presentarlos como logros alcanzados.</w:t>
      </w:r>
    </w:p>
    <w:p>
      <w:pPr>
        <w:pStyle w:val="ListBullet"/>
      </w:pPr>
      <w:r>
        <w:rPr>
          <w:color w:val="666666"/>
          <w:sz w:val="18"/>
        </w:rPr>
        <w:t>En ninguna carpeta figura tu nombre como autora; la atribución de rol (FDE / líder de línea) es la que vos sostengas, no está escrita en los docs.</w:t>
      </w:r>
    </w:p>
    <w:p>
      <w:pPr>
        <w:pStyle w:val="ListBullet"/>
      </w:pPr>
      <w:r>
        <w:rPr>
          <w:color w:val="666666"/>
          <w:sz w:val="18"/>
        </w:rPr>
        <w:t>Monitoreo en producción (dashboards de drift automatizado): no hay ninguno desplegado. Lo real es el diseño de observabilidad de Galicia y el backtest+drift de Macro.</w:t>
      </w:r>
    </w:p>
    <w:p>
      <w:pPr>
        <w:pStyle w:val="ListBullet"/>
      </w:pPr>
      <w:r>
        <w:rPr>
          <w:color w:val="666666"/>
          <w:sz w:val="18"/>
        </w:rPr>
        <w:t>Churn = dataset público (PoC). Fondos y Fraudes = relevamiento y diseño, sin modelo entrenado en carpeta. Macro y Facturante son los casos con más sustancia verificable.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