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2"/>
        </w:rPr>
        <w:t>Optimización de LinkedIn - Carolina Del Pilar Díaz</w:t>
      </w:r>
    </w:p>
    <w:p>
      <w:pPr>
        <w:spacing w:before="280"/>
      </w:pPr>
      <w:r>
        <w:rPr>
          <w:b/>
          <w:color w:val="003366"/>
          <w:sz w:val="26"/>
        </w:rPr>
        <w:t>1. Titular Principal (Headline)</w:t>
      </w:r>
    </w:p>
    <w:p>
      <w:pPr>
        <w:spacing w:after="200" w:line="276" w:lineRule="auto"/>
      </w:pPr>
      <w:r>
        <w:t>Staff AI Engineer &amp; Solution Architect | Economist &amp; Applied Statistician | Multi-Agent Systems (GenAI, RAG, MCP) | Python, R, SQL, Spark | AWS &amp; Azure</w:t>
      </w:r>
    </w:p>
    <w:p>
      <w:pPr>
        <w:spacing w:before="280"/>
      </w:pPr>
      <w:r>
        <w:rPr>
          <w:b/>
          <w:color w:val="003366"/>
          <w:sz w:val="26"/>
        </w:rPr>
        <w:t>2. Sección 'Acerca de' (About)</w:t>
      </w:r>
    </w:p>
    <w:p>
      <w:pPr>
        <w:spacing w:after="200" w:line="276" w:lineRule="auto"/>
      </w:pPr>
      <w:r>
        <w:t>Staff AI Engineer and Solution Architect — Economist and Applied Statistician by training — with 20+ years spanning applied statistical research and hands-on production AI/ML engineering for global enterprises in Fintech, AgTech, and Healthcare.</w:t>
        <w:br/>
        <w:br/>
        <w:t>I spent over a decade leading statistical research and experimental design as Head of Statistical Research at INTA (Argentina's national agricultural research institute), then moved into enterprise AI — both architecting and personally building Multi-Agent Systems (GenAI, RAG, MCP) for regulated industries.</w:t>
        <w:br/>
        <w:br/>
        <w:t>As Staff AI Engineer / Architect at IT Patagonia, I designed a proprietary Multi-Agent Framework that now serves as the production blueprint for autonomous AI applications at Banco Galicia and ICBC — and I built and shipped it myself, end to end (LangGraph pipelines, RAG, FastAPI/React apps, AWS Lambda deployments). I build provider-agnostic LLM architectures that dynamically route between Gemini, GPT, and Claude, and I embed statistical validation and SHAP-based interpretability directly into agent reasoning loops to prevent hallucinations and meet compliance requirements (BCRA, CNV).</w:t>
        <w:br/>
        <w:br/>
        <w:t>What sets my approach apart is the combination of deep statistical rigor — a Master's in Applied Statistics and a background in Economics — with hands-on engineering of production-grade AI systems. I don't just design the architecture; I build it, and I embed the governance, validation, and observability layers that make GenAI systems auditable and trustworthy at enterprise scale.</w:t>
        <w:br/>
        <w:br/>
        <w:t>Databricks Certified Generative AI Engineer Associate, with a full Databricks Academy path completed in agentic AI: retrieval agents, single-agent applications, deployment &amp; monitoring, evaluation &amp; governance, and Unity Catalog.</w:t>
        <w:br/>
        <w:br/>
        <w:t>Core stack: Enterprise AI Architecture, Multi-Agent Systems (LangGraph, LangChain, LlamaIndex), RAG, MCP, AI Governance &amp; XAI (SHAP), AWS (SageMaker, Bedrock, Fraud Detector), Azure AI, Databricks, Causal Inference, Econometrics, Bayesian Statistics.</w:t>
        <w:br/>
        <w:br/>
        <w:t>Languages: Spanish (Native), English (Professional Working Proficiency), Portuguese (Basic).</w:t>
      </w:r>
    </w:p>
    <w:p>
      <w:pPr>
        <w:spacing w:before="280"/>
      </w:pPr>
      <w:r>
        <w:rPr>
          <w:b/>
          <w:color w:val="003366"/>
          <w:sz w:val="26"/>
        </w:rPr>
        <w:t>3. Ajuste en la sección de Idiomas (Languages)</w:t>
      </w:r>
    </w:p>
    <w:p>
      <w:pPr>
        <w:spacing w:after="200" w:line="276" w:lineRule="auto"/>
      </w:pPr>
      <w:r>
        <w:t>Configuración recomendada en el selector de LinkedIn:</w:t>
        <w:br/>
        <w:t>English → "Professional Working Proficiency".</w:t>
        <w:br/>
        <w:br/>
        <w:t>(Se descarta la etiqueta anterior "B1/B2" para que quede consistente con el CV y el Resume, que ya usan "Professional Working Proficiency".)</w:t>
      </w:r>
    </w:p>
    <w:p>
      <w:pPr>
        <w:spacing w:before="280"/>
      </w:pPr>
      <w:r>
        <w:rPr>
          <w:b/>
          <w:color w:val="003366"/>
          <w:sz w:val="26"/>
        </w:rPr>
        <w:t>4. Sección Destacada (Featured)</w:t>
      </w:r>
    </w:p>
    <w:p>
      <w:pPr>
        <w:spacing w:after="200" w:line="276" w:lineRule="auto"/>
      </w:pPr>
      <w:r>
        <w:t>Fijar arriba de todo (sección Featured) la insignia de:</w:t>
        <w:br/>
        <w:t>Databricks Certified Generative AI Engineer Associate — Issued 07/2026, valid through 07/2028 (Credential ID 186901264), con el link de verificación visible.</w:t>
        <w:br/>
        <w:br/>
        <w:t>Ya no es "Candidate": es la certificación aprobada, y debería ser el elemento más visible del perfil.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