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Group-Shared Baseline Model</w:t>
      </w:r>
    </w:p>
    <w:p>
      <w:pPr>
        <w:spacing w:after="40"/>
        <w:jc w:val="center"/>
      </w:pPr>
      <w:r>
        <w:rPr>
          <w:i/>
          <w:iCs/>
          <w:sz w:val="22"/>
          <w:szCs w:val="22"/>
        </w:rPr>
        <w:t xml:space="preserve">Immigration, Foreign Investment, and Infrastructure Shocks in Lisbon's Housing Market</w:t>
      </w:r>
    </w:p>
    <w:p>
      <w:pPr>
        <w:spacing w:after="300"/>
        <w:jc w:val="center"/>
      </w:pPr>
      <w:r>
        <w:rPr>
          <w:color w:val="595959"/>
          <w:sz w:val="19"/>
          <w:szCs w:val="19"/>
        </w:rPr>
        <w:t xml:space="preserve">Nova SBE Business Analytics Field Lab, Fall 2025/2026 — Advisor: Miguel Matos</w:t>
      </w:r>
    </w:p>
    <w:p>
      <w:pPr>
        <w:pStyle w:val="Heading1"/>
        <w:spacing w:after="140" w:before="280"/>
      </w:pPr>
      <w:r>
        <w:t xml:space="preserve">1. Scope and purpose</w:t>
      </w:r>
    </w:p>
    <w:p>
      <w:pPr>
        <w:spacing w:after="160"/>
      </w:pPr>
      <w:r>
        <w:t xml:space="preserve">This document implements the group-shared baseline specified in the project's shared benchmark design: a two-way fixed-effects (TWFE) panel regression of log house price on entity and time fixed effects, reported alongside R², RMSE and coefficient tables to serve as the comparison point for the causal machine learning results in §6.1. Two deviations from the original specification are made explicit and carried through the analysis rather than concealed.</w:t>
      </w:r>
    </w:p>
    <w:p>
      <w:pPr>
        <w:spacing w:after="160"/>
      </w:pPr>
      <w:r>
        <w:rPr>
          <w:b/>
          <w:bCs/>
        </w:rPr>
        <w:t xml:space="preserve">Geographic unit. </w:t>
      </w:r>
      <w:r>
        <w:t xml:space="preserve">The specified panel unit was freguesia × quarter. The only price series available in the current data drop (idealista/data, consolidated) is reported at district level, not freguesia. The panel below is therefore built at district × quarter resolution (20 mainland districts + Azores + Madeira). Freguesia-level resolution requires INE “Preços da Habitação ao Nível Local,” listed in the project's own data-source table but not yet pulled into this drop; re-running this pipeline against that source is the natural next step (§6).</w:t>
      </w:r>
    </w:p>
    <w:p>
      <w:pPr>
        <w:spacing w:after="160"/>
      </w:pPr>
      <w:r>
        <w:rPr>
          <w:b/>
          <w:bCs/>
        </w:rPr>
        <w:t xml:space="preserve">Covariates. </w:t>
      </w:r>
      <w:r>
        <w:t xml:space="preserve">The specified controls (mortgage rate, construction costs, unemployment/income, population) and IVs (immigration inflow, FDI/foreign-buyer share, infrastructure investment, supply constraint) are, in every source this project has identified so far, published at national or NUTS II level — none carry district-level cross-sectional variation. Three national series were retrieved live from Banco de Portugal BPstat for this baseline (mortgage rate, FDI real-estate transactions); population, unemployment, construction costs and immigration stock by district were not able to be sourced in clean, verifiable form in this pass — see §5 for why, and §6 for what this implies.</w:t>
      </w:r>
    </w:p>
    <w:p>
      <w:pPr>
        <w:pStyle w:val="Heading1"/>
        <w:spacing w:after="140" w:before="280"/>
      </w:pPr>
      <w:r>
        <w:t xml:space="preserve">2. Data</w:t>
      </w:r>
    </w:p>
    <w:p>
      <w:pPr>
        <w:pStyle w:val="Heading2"/>
        <w:spacing w:after="140" w:before="280"/>
      </w:pPr>
      <w:r>
        <w:t xml:space="preserve">2.1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1"/>
        <w:gridCol w:w="2177"/>
        <w:gridCol w:w="1959"/>
        <w:gridCol w:w="1524"/>
        <w:gridCol w:w="1959"/>
      </w:tblGrid>
      <w:tr>
        <w:trPr>
          <w:tblHeader/>
        </w:trPr>
        <w:tc>
          <w:tcPr>
            <w:tcW w:type="dxa" w:w="1741"/>
            <w:shd w:fill="D9D9D9" w:color="auto" w:val="clear"/>
            <w:tcMar>
              <w:top w:type="dxa" w:w="60"/>
              <w:left w:type="dxa" w:w="100"/>
              <w:bottom w:type="dxa" w:w="60"/>
              <w:right w:type="dxa" w:w="100"/>
            </w:tcMar>
          </w:tcPr>
          <w:p>
            <w:pPr>
              <w:jc w:val="left"/>
            </w:pPr>
            <w:r>
              <w:rPr>
                <w:b/>
                <w:bCs/>
                <w:i w:val="false"/>
                <w:iCs w:val="false"/>
                <w:sz w:val="19"/>
                <w:szCs w:val="19"/>
              </w:rPr>
              <w:t xml:space="preserve">Series</w:t>
            </w:r>
          </w:p>
        </w:tc>
        <w:tc>
          <w:tcPr>
            <w:tcW w:type="dxa" w:w="2177"/>
            <w:shd w:fill="D9D9D9" w:color="auto" w:val="clear"/>
            <w:tcMar>
              <w:top w:type="dxa" w:w="60"/>
              <w:left w:type="dxa" w:w="100"/>
              <w:bottom w:type="dxa" w:w="60"/>
              <w:right w:type="dxa" w:w="100"/>
            </w:tcMar>
          </w:tcPr>
          <w:p>
            <w:pPr>
              <w:jc w:val="left"/>
            </w:pPr>
            <w:r>
              <w:rPr>
                <w:b/>
                <w:bCs/>
                <w:i w:val="false"/>
                <w:iCs w:val="false"/>
                <w:sz w:val="19"/>
                <w:szCs w:val="19"/>
              </w:rPr>
              <w:t xml:space="preserve">Source</w:t>
            </w:r>
          </w:p>
        </w:tc>
        <w:tc>
          <w:tcPr>
            <w:tcW w:type="dxa" w:w="1959"/>
            <w:shd w:fill="D9D9D9" w:color="auto" w:val="clear"/>
            <w:tcMar>
              <w:top w:type="dxa" w:w="60"/>
              <w:left w:type="dxa" w:w="100"/>
              <w:bottom w:type="dxa" w:w="60"/>
              <w:right w:type="dxa" w:w="100"/>
            </w:tcMar>
          </w:tcPr>
          <w:p>
            <w:pPr>
              <w:jc w:val="left"/>
            </w:pPr>
            <w:r>
              <w:rPr>
                <w:b/>
                <w:bCs/>
                <w:i w:val="false"/>
                <w:iCs w:val="false"/>
                <w:sz w:val="19"/>
                <w:szCs w:val="19"/>
              </w:rPr>
              <w:t xml:space="preserve">Coverage</w:t>
            </w:r>
          </w:p>
        </w:tc>
        <w:tc>
          <w:tcPr>
            <w:tcW w:type="dxa" w:w="1524"/>
            <w:shd w:fill="D9D9D9" w:color="auto" w:val="clear"/>
            <w:tcMar>
              <w:top w:type="dxa" w:w="60"/>
              <w:left w:type="dxa" w:w="100"/>
              <w:bottom w:type="dxa" w:w="60"/>
              <w:right w:type="dxa" w:w="100"/>
            </w:tcMar>
          </w:tcPr>
          <w:p>
            <w:pPr>
              <w:jc w:val="left"/>
            </w:pPr>
            <w:r>
              <w:rPr>
                <w:b/>
                <w:bCs/>
                <w:i w:val="false"/>
                <w:iCs w:val="false"/>
                <w:sz w:val="19"/>
                <w:szCs w:val="19"/>
              </w:rPr>
              <w:t xml:space="preserve">Frequency</w:t>
            </w:r>
          </w:p>
        </w:tc>
        <w:tc>
          <w:tcPr>
            <w:tcW w:type="dxa" w:w="1959"/>
            <w:shd w:fill="D9D9D9" w:color="auto" w:val="clear"/>
            <w:tcMar>
              <w:top w:type="dxa" w:w="60"/>
              <w:left w:type="dxa" w:w="100"/>
              <w:bottom w:type="dxa" w:w="60"/>
              <w:right w:type="dxa" w:w="100"/>
            </w:tcMar>
          </w:tcPr>
          <w:p>
            <w:pPr>
              <w:jc w:val="left"/>
            </w:pPr>
            <w:r>
              <w:rPr>
                <w:b/>
                <w:bCs/>
                <w:i w:val="false"/>
                <w:iCs w:val="false"/>
                <w:sz w:val="19"/>
                <w:szCs w:val="19"/>
              </w:rPr>
              <w:t xml:space="preserve">Role</w:t>
            </w:r>
          </w:p>
        </w:tc>
      </w:tr>
      <w:tr>
        <w:tc>
          <w:tcPr>
            <w:tcW w:type="dxa" w:w="1741"/>
            <w:tcMar>
              <w:top w:type="dxa" w:w="60"/>
              <w:left w:type="dxa" w:w="100"/>
              <w:bottom w:type="dxa" w:w="60"/>
              <w:right w:type="dxa" w:w="100"/>
            </w:tcMar>
          </w:tcPr>
          <w:p>
            <w:pPr>
              <w:jc w:val="left"/>
            </w:pPr>
            <w:r>
              <w:rPr>
                <w:b w:val="false"/>
                <w:bCs w:val="false"/>
                <w:i w:val="false"/>
                <w:iCs w:val="false"/>
                <w:sz w:val="19"/>
                <w:szCs w:val="19"/>
              </w:rPr>
              <w:t xml:space="preserve">Asking sale price / sqm</w:t>
            </w:r>
          </w:p>
        </w:tc>
        <w:tc>
          <w:tcPr>
            <w:tcW w:type="dxa" w:w="2177"/>
            <w:tcMar>
              <w:top w:type="dxa" w:w="60"/>
              <w:left w:type="dxa" w:w="100"/>
              <w:bottom w:type="dxa" w:w="60"/>
              <w:right w:type="dxa" w:w="100"/>
            </w:tcMar>
          </w:tcPr>
          <w:p>
            <w:pPr>
              <w:jc w:val="left"/>
            </w:pPr>
            <w:r>
              <w:rPr>
                <w:b w:val="false"/>
                <w:bCs w:val="false"/>
                <w:i w:val="false"/>
                <w:iCs w:val="false"/>
                <w:sz w:val="19"/>
                <w:szCs w:val="19"/>
              </w:rPr>
              <w:t xml:space="preserve">idealista/data (consolidated)</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20 districts, 2015Q1–2025Q1</w:t>
            </w:r>
          </w:p>
        </w:tc>
        <w:tc>
          <w:tcPr>
            <w:tcW w:type="dxa" w:w="1524"/>
            <w:tcMar>
              <w:top w:type="dxa" w:w="60"/>
              <w:left w:type="dxa" w:w="100"/>
              <w:bottom w:type="dxa" w:w="60"/>
              <w:right w:type="dxa" w:w="100"/>
            </w:tcMar>
          </w:tcPr>
          <w:p>
            <w:pPr>
              <w:jc w:val="left"/>
            </w:pPr>
            <w:r>
              <w:rPr>
                <w:b w:val="false"/>
                <w:bCs w:val="false"/>
                <w:i w:val="false"/>
                <w:iCs w:val="false"/>
                <w:sz w:val="19"/>
                <w:szCs w:val="19"/>
              </w:rPr>
              <w:t xml:space="preserve">Monthly → quarterly mean</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Dependent variable</w:t>
            </w:r>
          </w:p>
        </w:tc>
      </w:tr>
      <w:tr>
        <w:tc>
          <w:tcPr>
            <w:tcW w:type="dxa" w:w="1741"/>
            <w:tcMar>
              <w:top w:type="dxa" w:w="60"/>
              <w:left w:type="dxa" w:w="100"/>
              <w:bottom w:type="dxa" w:w="60"/>
              <w:right w:type="dxa" w:w="100"/>
            </w:tcMar>
          </w:tcPr>
          <w:p>
            <w:pPr>
              <w:jc w:val="left"/>
            </w:pPr>
            <w:r>
              <w:rPr>
                <w:b w:val="false"/>
                <w:bCs w:val="false"/>
                <w:i w:val="false"/>
                <w:iCs w:val="false"/>
                <w:sz w:val="19"/>
                <w:szCs w:val="19"/>
              </w:rPr>
              <w:t xml:space="preserve">Transaction count / value, INE value &amp; volume indices</w:t>
            </w:r>
          </w:p>
        </w:tc>
        <w:tc>
          <w:tcPr>
            <w:tcW w:type="dxa" w:w="2177"/>
            <w:tcMar>
              <w:top w:type="dxa" w:w="60"/>
              <w:left w:type="dxa" w:w="100"/>
              <w:bottom w:type="dxa" w:w="60"/>
              <w:right w:type="dxa" w:w="100"/>
            </w:tcMar>
          </w:tcPr>
          <w:p>
            <w:pPr>
              <w:jc w:val="left"/>
            </w:pPr>
            <w:r>
              <w:rPr>
                <w:b w:val="false"/>
                <w:bCs w:val="false"/>
                <w:i w:val="false"/>
                <w:iCs w:val="false"/>
                <w:sz w:val="19"/>
                <w:szCs w:val="19"/>
              </w:rPr>
              <w:t xml:space="preserve">INE (ine_transaction_data.csv)</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National, 2009–2025</w:t>
            </w:r>
          </w:p>
        </w:tc>
        <w:tc>
          <w:tcPr>
            <w:tcW w:type="dxa" w:w="1524"/>
            <w:tcMar>
              <w:top w:type="dxa" w:w="60"/>
              <w:left w:type="dxa" w:w="100"/>
              <w:bottom w:type="dxa" w:w="60"/>
              <w:right w:type="dxa" w:w="100"/>
            </w:tcMar>
          </w:tcPr>
          <w:p>
            <w:pPr>
              <w:jc w:val="left"/>
            </w:pPr>
            <w:r>
              <w:rPr>
                <w:b w:val="false"/>
                <w:bCs w:val="false"/>
                <w:i w:val="false"/>
                <w:iCs w:val="false"/>
                <w:sz w:val="19"/>
                <w:szCs w:val="19"/>
              </w:rPr>
              <w:t xml:space="preserve">Quarterly</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Demand-side control</w:t>
            </w:r>
          </w:p>
        </w:tc>
      </w:tr>
      <w:tr>
        <w:tc>
          <w:tcPr>
            <w:tcW w:type="dxa" w:w="1741"/>
            <w:tcMar>
              <w:top w:type="dxa" w:w="60"/>
              <w:left w:type="dxa" w:w="100"/>
              <w:bottom w:type="dxa" w:w="60"/>
              <w:right w:type="dxa" w:w="100"/>
            </w:tcMar>
          </w:tcPr>
          <w:p>
            <w:pPr>
              <w:jc w:val="left"/>
            </w:pPr>
            <w:r>
              <w:rPr>
                <w:b w:val="false"/>
                <w:bCs w:val="false"/>
                <w:i w:val="false"/>
                <w:iCs w:val="false"/>
                <w:sz w:val="19"/>
                <w:szCs w:val="19"/>
              </w:rPr>
              <w:t xml:space="preserve">Mortgage rate, new fixed-rate loans</w:t>
            </w:r>
          </w:p>
        </w:tc>
        <w:tc>
          <w:tcPr>
            <w:tcW w:type="dxa" w:w="2177"/>
            <w:tcMar>
              <w:top w:type="dxa" w:w="60"/>
              <w:left w:type="dxa" w:w="100"/>
              <w:bottom w:type="dxa" w:w="60"/>
              <w:right w:type="dxa" w:w="100"/>
            </w:tcMar>
          </w:tcPr>
          <w:p>
            <w:pPr>
              <w:jc w:val="left"/>
            </w:pPr>
            <w:r>
              <w:rPr>
                <w:b w:val="false"/>
                <w:bCs w:val="false"/>
                <w:i w:val="false"/>
                <w:iCs w:val="false"/>
                <w:sz w:val="19"/>
                <w:szCs w:val="19"/>
              </w:rPr>
              <w:t xml:space="preserve">Banco de Portugal BPstat, series 12710780</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National, 2018M12–2026M06</w:t>
            </w:r>
          </w:p>
        </w:tc>
        <w:tc>
          <w:tcPr>
            <w:tcW w:type="dxa" w:w="1524"/>
            <w:tcMar>
              <w:top w:type="dxa" w:w="60"/>
              <w:left w:type="dxa" w:w="100"/>
              <w:bottom w:type="dxa" w:w="60"/>
              <w:right w:type="dxa" w:w="100"/>
            </w:tcMar>
          </w:tcPr>
          <w:p>
            <w:pPr>
              <w:jc w:val="left"/>
            </w:pPr>
            <w:r>
              <w:rPr>
                <w:b w:val="false"/>
                <w:bCs w:val="false"/>
                <w:i w:val="false"/>
                <w:iCs w:val="false"/>
                <w:sz w:val="19"/>
                <w:szCs w:val="19"/>
              </w:rPr>
              <w:t xml:space="preserve">Monthly → quarterly mean</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Credit-conditions control</w:t>
            </w:r>
          </w:p>
        </w:tc>
      </w:tr>
      <w:tr>
        <w:tc>
          <w:tcPr>
            <w:tcW w:type="dxa" w:w="1741"/>
            <w:tcMar>
              <w:top w:type="dxa" w:w="60"/>
              <w:left w:type="dxa" w:w="100"/>
              <w:bottom w:type="dxa" w:w="60"/>
              <w:right w:type="dxa" w:w="100"/>
            </w:tcMar>
          </w:tcPr>
          <w:p>
            <w:pPr>
              <w:jc w:val="left"/>
            </w:pPr>
            <w:r>
              <w:rPr>
                <w:b w:val="false"/>
                <w:bCs w:val="false"/>
                <w:i w:val="false"/>
                <w:iCs w:val="false"/>
                <w:sz w:val="19"/>
                <w:szCs w:val="19"/>
              </w:rPr>
              <w:t xml:space="preserve">Inward FDI, real estate, transactions</w:t>
            </w:r>
          </w:p>
        </w:tc>
        <w:tc>
          <w:tcPr>
            <w:tcW w:type="dxa" w:w="2177"/>
            <w:tcMar>
              <w:top w:type="dxa" w:w="60"/>
              <w:left w:type="dxa" w:w="100"/>
              <w:bottom w:type="dxa" w:w="60"/>
              <w:right w:type="dxa" w:w="100"/>
            </w:tcMar>
          </w:tcPr>
          <w:p>
            <w:pPr>
              <w:jc w:val="left"/>
            </w:pPr>
            <w:r>
              <w:rPr>
                <w:b w:val="false"/>
                <w:bCs w:val="false"/>
                <w:i w:val="false"/>
                <w:iCs w:val="false"/>
                <w:sz w:val="19"/>
                <w:szCs w:val="19"/>
              </w:rPr>
              <w:t xml:space="preserve">Banco de Portugal BPstat, series 12565842</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National, 2008Q1–2026Q1</w:t>
            </w:r>
          </w:p>
        </w:tc>
        <w:tc>
          <w:tcPr>
            <w:tcW w:type="dxa" w:w="1524"/>
            <w:tcMar>
              <w:top w:type="dxa" w:w="60"/>
              <w:left w:type="dxa" w:w="100"/>
              <w:bottom w:type="dxa" w:w="60"/>
              <w:right w:type="dxa" w:w="100"/>
            </w:tcMar>
          </w:tcPr>
          <w:p>
            <w:pPr>
              <w:jc w:val="left"/>
            </w:pPr>
            <w:r>
              <w:rPr>
                <w:b w:val="false"/>
                <w:bCs w:val="false"/>
                <w:i w:val="false"/>
                <w:iCs w:val="false"/>
                <w:sz w:val="19"/>
                <w:szCs w:val="19"/>
              </w:rPr>
              <w:t xml:space="preserve">Quarterly</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Foreign-investment proxy (IV)</w:t>
            </w:r>
          </w:p>
        </w:tc>
      </w:tr>
      <w:tr>
        <w:tc>
          <w:tcPr>
            <w:tcW w:type="dxa" w:w="1741"/>
            <w:tcMar>
              <w:top w:type="dxa" w:w="60"/>
              <w:left w:type="dxa" w:w="100"/>
              <w:bottom w:type="dxa" w:w="60"/>
              <w:right w:type="dxa" w:w="100"/>
            </w:tcMar>
          </w:tcPr>
          <w:p>
            <w:pPr>
              <w:jc w:val="left"/>
            </w:pPr>
            <w:r>
              <w:rPr>
                <w:b w:val="false"/>
                <w:bCs w:val="false"/>
                <w:i w:val="false"/>
                <w:iCs w:val="false"/>
                <w:sz w:val="19"/>
                <w:szCs w:val="19"/>
              </w:rPr>
              <w:t xml:space="preserve">Inward FDI, all countries, stock</w:t>
            </w:r>
          </w:p>
        </w:tc>
        <w:tc>
          <w:tcPr>
            <w:tcW w:type="dxa" w:w="2177"/>
            <w:tcMar>
              <w:top w:type="dxa" w:w="60"/>
              <w:left w:type="dxa" w:w="100"/>
              <w:bottom w:type="dxa" w:w="60"/>
              <w:right w:type="dxa" w:w="100"/>
            </w:tcMar>
          </w:tcPr>
          <w:p>
            <w:pPr>
              <w:jc w:val="left"/>
            </w:pPr>
            <w:r>
              <w:rPr>
                <w:b w:val="false"/>
                <w:bCs w:val="false"/>
                <w:i w:val="false"/>
                <w:iCs w:val="false"/>
                <w:sz w:val="19"/>
                <w:szCs w:val="19"/>
              </w:rPr>
              <w:t xml:space="preserve">Banco de Portugal BPstat, series 12573788</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National, 2008–2025</w:t>
            </w:r>
          </w:p>
        </w:tc>
        <w:tc>
          <w:tcPr>
            <w:tcW w:type="dxa" w:w="1524"/>
            <w:tcMar>
              <w:top w:type="dxa" w:w="60"/>
              <w:left w:type="dxa" w:w="100"/>
              <w:bottom w:type="dxa" w:w="60"/>
              <w:right w:type="dxa" w:w="100"/>
            </w:tcMar>
          </w:tcPr>
          <w:p>
            <w:pPr>
              <w:jc w:val="left"/>
            </w:pPr>
            <w:r>
              <w:rPr>
                <w:b w:val="false"/>
                <w:bCs w:val="false"/>
                <w:i w:val="false"/>
                <w:iCs w:val="false"/>
                <w:sz w:val="19"/>
                <w:szCs w:val="19"/>
              </w:rPr>
              <w:t xml:space="preserve">Annual</w:t>
            </w:r>
          </w:p>
        </w:tc>
        <w:tc>
          <w:tcPr>
            <w:tcW w:type="dxa" w:w="1959"/>
            <w:tcMar>
              <w:top w:type="dxa" w:w="60"/>
              <w:left w:type="dxa" w:w="100"/>
              <w:bottom w:type="dxa" w:w="60"/>
              <w:right w:type="dxa" w:w="100"/>
            </w:tcMar>
          </w:tcPr>
          <w:p>
            <w:pPr>
              <w:jc w:val="left"/>
            </w:pPr>
            <w:r>
              <w:rPr>
                <w:b w:val="false"/>
                <w:bCs w:val="false"/>
                <w:i w:val="false"/>
                <w:iCs w:val="false"/>
                <w:sz w:val="19"/>
                <w:szCs w:val="19"/>
              </w:rPr>
              <w:t xml:space="preserve">Context / EDA only</w:t>
            </w:r>
          </w:p>
        </w:tc>
      </w:tr>
    </w:tbl>
    <w:p>
      <w:pPr>
        <w:spacing w:after="200" w:before="60"/>
      </w:pPr>
      <w:r>
        <w:rPr>
          <w:i/>
          <w:iCs/>
          <w:color w:val="595959"/>
          <w:sz w:val="18"/>
          <w:szCs w:val="18"/>
        </w:rPr>
        <w:t xml:space="preserve">BPstat series retrieved via the BPstat Data API (bpstat.bportugal.pt/data/v1) on the date of this analysis; values are reproduced in data/bdp_*.csv alongside the pipeline script.</w:t>
      </w:r>
    </w:p>
    <w:p>
      <w:pPr>
        <w:pStyle w:val="Heading2"/>
        <w:spacing w:after="140" w:before="280"/>
      </w:pPr>
      <w:r>
        <w:t xml:space="preserve">2.2 Panel construction</w:t>
      </w:r>
    </w:p>
    <w:p>
      <w:pPr>
        <w:spacing w:after="160"/>
      </w:pPr>
      <w:r>
        <w:t xml:space="preserve">Idealista's monthly district-level asking sale price per sqm is averaged to quarterly frequency (arithmetic mean of the 3 months in each quarter). The “portugal” national aggregate row is excluded from the panel and reserved for validation. This yields a balanced panel of 20 districts × 41 quarters (2015Q1–2025Q1, n = 820); every district has a complete, gap-free monthly sale series over the full window, so no interpolation is required for the dependent variable. The rental series is materially less complete for several smaller districts (as few as 10 quarters for Guarda) and is not used here. Log price is the primary dependent variable; QoQ and YoY log differences are constructed for robustness. National covariates are merged onto the panel by quarter and are therefore identical across all 20 districts within a quarter — the mechanical consequence of this is developed in §3.3.</w:t>
      </w:r>
    </w:p>
    <w:p>
      <w:pPr>
        <w:spacing w:after="8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95959"/>
          <w:sz w:val="18"/>
          <w:szCs w:val="18"/>
        </w:rPr>
        <w:t xml:space="preserve">Figure 1. District asking sale prices, 2015Q1–2025Q1. Lisboa, Porto and Faro highlighted; remaining 17 districts in gray. Source: idealista/data.</w:t>
      </w:r>
    </w:p>
    <w:p>
      <w:pPr>
        <w:pStyle w:val="Heading1"/>
        <w:spacing w:after="140" w:before="280"/>
      </w:pPr>
      <w:r>
        <w:t xml:space="preserve">3. Methodology</w:t>
      </w:r>
    </w:p>
    <w:p>
      <w:pPr>
        <w:pStyle w:val="Heading2"/>
        <w:spacing w:after="140" w:before="280"/>
      </w:pPr>
      <w:r>
        <w:t xml:space="preserve">3.1 Estimating equation</w:t>
      </w:r>
    </w:p>
    <w:p>
      <w:pPr>
        <w:spacing w:after="160"/>
      </w:pPr>
      <w:r>
        <w:t xml:space="preserve">The group baseline is the standard TWFE panel model:</w:t>
      </w:r>
    </w:p>
    <w:p>
      <w:pPr>
        <w:spacing w:after="160"/>
        <w:jc w:val="center"/>
      </w:pPr>
      <w:r>
        <w:rPr>
          <w:i/>
          <w:iCs/>
          <w:sz w:val="22"/>
          <w:szCs w:val="22"/>
        </w:rPr>
        <w:t xml:space="preserve">log(price_sqm)ᵢₜ = αᵢ + γₜ + β′Xᵢₜ + εᵢₜ</w:t>
      </w:r>
    </w:p>
    <w:p>
      <w:pPr>
        <w:spacing w:after="160"/>
      </w:pPr>
      <w:r>
        <w:t xml:space="preserve">where i indexes district, t indexes quarter, αᵢ is the district fixed effect, γₜ is the quarter fixed effect, Xᵢₜ is the covariate vector, and standard errors are clustered by district throughout. Because Xᵢₜ in this data drop is national-only (Xᵢₜ = Xₜ for all i), it is collinear with γₜ by construction; §3.3 demonstrates this directly rather than assuming it. Five specifications are estimated in sequence to isolate what each component of the model is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496"/>
        <w:gridCol w:w="3120"/>
        <w:gridCol w:w="2704"/>
      </w:tblGrid>
      <w:tr>
        <w:trPr>
          <w:tblHeader/>
        </w:trPr>
        <w:tc>
          <w:tcPr>
            <w:tcW w:type="dxa" w:w="1040"/>
            <w:shd w:fill="D9D9D9" w:color="auto" w:val="clear"/>
            <w:tcMar>
              <w:top w:type="dxa" w:w="60"/>
              <w:left w:type="dxa" w:w="100"/>
              <w:bottom w:type="dxa" w:w="60"/>
              <w:right w:type="dxa" w:w="100"/>
            </w:tcMar>
          </w:tcPr>
          <w:p>
            <w:pPr>
              <w:jc w:val="left"/>
            </w:pPr>
            <w:r>
              <w:rPr>
                <w:b/>
                <w:bCs/>
                <w:i w:val="false"/>
                <w:iCs w:val="false"/>
                <w:sz w:val="19"/>
                <w:szCs w:val="19"/>
              </w:rPr>
              <w:t xml:space="preserve">Spec</w:t>
            </w:r>
          </w:p>
        </w:tc>
        <w:tc>
          <w:tcPr>
            <w:tcW w:type="dxa" w:w="2496"/>
            <w:shd w:fill="D9D9D9" w:color="auto" w:val="clear"/>
            <w:tcMar>
              <w:top w:type="dxa" w:w="60"/>
              <w:left w:type="dxa" w:w="100"/>
              <w:bottom w:type="dxa" w:w="60"/>
              <w:right w:type="dxa" w:w="100"/>
            </w:tcMar>
          </w:tcPr>
          <w:p>
            <w:pPr>
              <w:jc w:val="left"/>
            </w:pPr>
            <w:r>
              <w:rPr>
                <w:b/>
                <w:bCs/>
                <w:i w:val="false"/>
                <w:iCs w:val="false"/>
                <w:sz w:val="19"/>
                <w:szCs w:val="19"/>
              </w:rPr>
              <w:t xml:space="preserve">Fixed effects</w:t>
            </w:r>
          </w:p>
        </w:tc>
        <w:tc>
          <w:tcPr>
            <w:tcW w:type="dxa" w:w="3120"/>
            <w:shd w:fill="D9D9D9" w:color="auto" w:val="clear"/>
            <w:tcMar>
              <w:top w:type="dxa" w:w="60"/>
              <w:left w:type="dxa" w:w="100"/>
              <w:bottom w:type="dxa" w:w="60"/>
              <w:right w:type="dxa" w:w="100"/>
            </w:tcMar>
          </w:tcPr>
          <w:p>
            <w:pPr>
              <w:jc w:val="left"/>
            </w:pPr>
            <w:r>
              <w:rPr>
                <w:b/>
                <w:bCs/>
                <w:i w:val="false"/>
                <w:iCs w:val="false"/>
                <w:sz w:val="19"/>
                <w:szCs w:val="19"/>
              </w:rPr>
              <w:t xml:space="preserve">Covariates</w:t>
            </w:r>
          </w:p>
        </w:tc>
        <w:tc>
          <w:tcPr>
            <w:tcW w:type="dxa" w:w="2704"/>
            <w:shd w:fill="D9D9D9" w:color="auto" w:val="clear"/>
            <w:tcMar>
              <w:top w:type="dxa" w:w="60"/>
              <w:left w:type="dxa" w:w="100"/>
              <w:bottom w:type="dxa" w:w="60"/>
              <w:right w:type="dxa" w:w="100"/>
            </w:tcMar>
          </w:tcPr>
          <w:p>
            <w:pPr>
              <w:jc w:val="left"/>
            </w:pPr>
            <w:r>
              <w:rPr>
                <w:b/>
                <w:bCs/>
                <w:i w:val="false"/>
                <w:iCs w:val="false"/>
                <w:sz w:val="19"/>
                <w:szCs w:val="19"/>
              </w:rPr>
              <w:t xml:space="preserve">Sample</w:t>
            </w:r>
          </w:p>
        </w:tc>
      </w:tr>
      <w:tr>
        <w:tc>
          <w:tcPr>
            <w:tcW w:type="dxa" w:w="1040"/>
            <w:tcMar>
              <w:top w:type="dxa" w:w="60"/>
              <w:left w:type="dxa" w:w="100"/>
              <w:bottom w:type="dxa" w:w="60"/>
              <w:right w:type="dxa" w:w="100"/>
            </w:tcMar>
          </w:tcPr>
          <w:p>
            <w:pPr>
              <w:jc w:val="left"/>
            </w:pPr>
            <w:r>
              <w:rPr>
                <w:b w:val="false"/>
                <w:bCs w:val="false"/>
                <w:i w:val="false"/>
                <w:iCs w:val="false"/>
                <w:sz w:val="19"/>
                <w:szCs w:val="19"/>
              </w:rPr>
              <w:t xml:space="preserve">0 — Pooled OLS</w:t>
            </w:r>
          </w:p>
        </w:tc>
        <w:tc>
          <w:tcPr>
            <w:tcW w:type="dxa" w:w="2496"/>
            <w:tcMar>
              <w:top w:type="dxa" w:w="60"/>
              <w:left w:type="dxa" w:w="100"/>
              <w:bottom w:type="dxa" w:w="60"/>
              <w:right w:type="dxa" w:w="100"/>
            </w:tcMar>
          </w:tcPr>
          <w:p>
            <w:pPr>
              <w:jc w:val="left"/>
            </w:pPr>
            <w:r>
              <w:rPr>
                <w:b w:val="false"/>
                <w:bCs w:val="false"/>
                <w:i w:val="false"/>
                <w:iCs w:val="false"/>
                <w:sz w:val="19"/>
                <w:szCs w:val="19"/>
              </w:rPr>
              <w:t xml:space="preserve">None</w:t>
            </w:r>
          </w:p>
        </w:tc>
        <w:tc>
          <w:tcPr>
            <w:tcW w:type="dxa" w:w="3120"/>
            <w:tcMar>
              <w:top w:type="dxa" w:w="60"/>
              <w:left w:type="dxa" w:w="100"/>
              <w:bottom w:type="dxa" w:w="60"/>
              <w:right w:type="dxa" w:w="100"/>
            </w:tcMar>
          </w:tcPr>
          <w:p>
            <w:pPr>
              <w:jc w:val="left"/>
            </w:pPr>
            <w:r>
              <w:rPr>
                <w:b w:val="false"/>
                <w:bCs w:val="false"/>
                <w:i w:val="false"/>
                <w:iCs w:val="false"/>
                <w:sz w:val="19"/>
                <w:szCs w:val="19"/>
              </w:rPr>
              <w:t xml:space="preserve">t, volume_index, FDI</w:t>
            </w:r>
          </w:p>
        </w:tc>
        <w:tc>
          <w:tcPr>
            <w:tcW w:type="dxa" w:w="2704"/>
            <w:tcMar>
              <w:top w:type="dxa" w:w="60"/>
              <w:left w:type="dxa" w:w="100"/>
              <w:bottom w:type="dxa" w:w="60"/>
              <w:right w:type="dxa" w:w="100"/>
            </w:tcMar>
          </w:tcPr>
          <w:p>
            <w:pPr>
              <w:jc w:val="left"/>
            </w:pPr>
            <w:r>
              <w:rPr>
                <w:b w:val="false"/>
                <w:bCs w:val="false"/>
                <w:i w:val="false"/>
                <w:iCs w:val="false"/>
                <w:sz w:val="19"/>
                <w:szCs w:val="19"/>
              </w:rPr>
              <w:t xml:space="preserve">Full, n=820</w:t>
            </w:r>
          </w:p>
        </w:tc>
      </w:tr>
      <w:tr>
        <w:tc>
          <w:tcPr>
            <w:tcW w:type="dxa" w:w="1040"/>
            <w:tcMar>
              <w:top w:type="dxa" w:w="60"/>
              <w:left w:type="dxa" w:w="100"/>
              <w:bottom w:type="dxa" w:w="60"/>
              <w:right w:type="dxa" w:w="100"/>
            </w:tcMar>
          </w:tcPr>
          <w:p>
            <w:pPr>
              <w:jc w:val="left"/>
            </w:pPr>
            <w:r>
              <w:rPr>
                <w:b w:val="false"/>
                <w:bCs w:val="false"/>
                <w:i w:val="false"/>
                <w:iCs w:val="false"/>
                <w:sz w:val="19"/>
                <w:szCs w:val="19"/>
              </w:rPr>
              <w:t xml:space="preserve">0b — Entity FE only</w:t>
            </w:r>
          </w:p>
        </w:tc>
        <w:tc>
          <w:tcPr>
            <w:tcW w:type="dxa" w:w="2496"/>
            <w:tcMar>
              <w:top w:type="dxa" w:w="60"/>
              <w:left w:type="dxa" w:w="100"/>
              <w:bottom w:type="dxa" w:w="60"/>
              <w:right w:type="dxa" w:w="100"/>
            </w:tcMar>
          </w:tcPr>
          <w:p>
            <w:pPr>
              <w:jc w:val="left"/>
            </w:pPr>
            <w:r>
              <w:rPr>
                <w:b w:val="false"/>
                <w:bCs w:val="false"/>
                <w:i w:val="false"/>
                <w:iCs w:val="false"/>
                <w:sz w:val="19"/>
                <w:szCs w:val="19"/>
              </w:rPr>
              <w:t xml:space="preserve">District</w:t>
            </w:r>
          </w:p>
        </w:tc>
        <w:tc>
          <w:tcPr>
            <w:tcW w:type="dxa" w:w="3120"/>
            <w:tcMar>
              <w:top w:type="dxa" w:w="60"/>
              <w:left w:type="dxa" w:w="100"/>
              <w:bottom w:type="dxa" w:w="60"/>
              <w:right w:type="dxa" w:w="100"/>
            </w:tcMar>
          </w:tcPr>
          <w:p>
            <w:pPr>
              <w:jc w:val="left"/>
            </w:pPr>
            <w:r>
              <w:rPr>
                <w:b w:val="false"/>
                <w:bCs w:val="false"/>
                <w:i w:val="false"/>
                <w:iCs w:val="false"/>
                <w:sz w:val="19"/>
                <w:szCs w:val="19"/>
              </w:rPr>
              <w:t xml:space="preserve">None</w:t>
            </w:r>
          </w:p>
        </w:tc>
        <w:tc>
          <w:tcPr>
            <w:tcW w:type="dxa" w:w="2704"/>
            <w:tcMar>
              <w:top w:type="dxa" w:w="60"/>
              <w:left w:type="dxa" w:w="100"/>
              <w:bottom w:type="dxa" w:w="60"/>
              <w:right w:type="dxa" w:w="100"/>
            </w:tcMar>
          </w:tcPr>
          <w:p>
            <w:pPr>
              <w:jc w:val="left"/>
            </w:pPr>
            <w:r>
              <w:rPr>
                <w:b w:val="false"/>
                <w:bCs w:val="false"/>
                <w:i w:val="false"/>
                <w:iCs w:val="false"/>
                <w:sz w:val="19"/>
                <w:szCs w:val="19"/>
              </w:rPr>
              <w:t xml:space="preserve">Full, n=820</w:t>
            </w:r>
          </w:p>
        </w:tc>
      </w:tr>
      <w:tr>
        <w:tc>
          <w:tcPr>
            <w:tcW w:type="dxa" w:w="1040"/>
            <w:tcMar>
              <w:top w:type="dxa" w:w="60"/>
              <w:left w:type="dxa" w:w="100"/>
              <w:bottom w:type="dxa" w:w="60"/>
              <w:right w:type="dxa" w:w="100"/>
            </w:tcMar>
          </w:tcPr>
          <w:p>
            <w:pPr>
              <w:jc w:val="left"/>
            </w:pPr>
            <w:r>
              <w:rPr>
                <w:b w:val="false"/>
                <w:bCs w:val="false"/>
                <w:i w:val="false"/>
                <w:iCs w:val="false"/>
                <w:sz w:val="19"/>
                <w:szCs w:val="19"/>
              </w:rPr>
              <w:t xml:space="preserve">1 — TWFE decomposition (baseline spec)</w:t>
            </w:r>
          </w:p>
        </w:tc>
        <w:tc>
          <w:tcPr>
            <w:tcW w:type="dxa" w:w="2496"/>
            <w:tcMar>
              <w:top w:type="dxa" w:w="60"/>
              <w:left w:type="dxa" w:w="100"/>
              <w:bottom w:type="dxa" w:w="60"/>
              <w:right w:type="dxa" w:w="100"/>
            </w:tcMar>
          </w:tcPr>
          <w:p>
            <w:pPr>
              <w:jc w:val="left"/>
            </w:pPr>
            <w:r>
              <w:rPr>
                <w:b w:val="false"/>
                <w:bCs w:val="false"/>
                <w:i w:val="false"/>
                <w:iCs w:val="false"/>
                <w:sz w:val="19"/>
                <w:szCs w:val="19"/>
              </w:rPr>
              <w:t xml:space="preserve">District + Quarter</w:t>
            </w:r>
          </w:p>
        </w:tc>
        <w:tc>
          <w:tcPr>
            <w:tcW w:type="dxa" w:w="3120"/>
            <w:tcMar>
              <w:top w:type="dxa" w:w="60"/>
              <w:left w:type="dxa" w:w="100"/>
              <w:bottom w:type="dxa" w:w="60"/>
              <w:right w:type="dxa" w:w="100"/>
            </w:tcMar>
          </w:tcPr>
          <w:p>
            <w:pPr>
              <w:jc w:val="left"/>
            </w:pPr>
            <w:r>
              <w:rPr>
                <w:b w:val="false"/>
                <w:bCs w:val="false"/>
                <w:i w:val="false"/>
                <w:iCs w:val="false"/>
                <w:sz w:val="19"/>
                <w:szCs w:val="19"/>
              </w:rPr>
              <w:t xml:space="preserve">None</w:t>
            </w:r>
          </w:p>
        </w:tc>
        <w:tc>
          <w:tcPr>
            <w:tcW w:type="dxa" w:w="2704"/>
            <w:tcMar>
              <w:top w:type="dxa" w:w="60"/>
              <w:left w:type="dxa" w:w="100"/>
              <w:bottom w:type="dxa" w:w="60"/>
              <w:right w:type="dxa" w:w="100"/>
            </w:tcMar>
          </w:tcPr>
          <w:p>
            <w:pPr>
              <w:jc w:val="left"/>
            </w:pPr>
            <w:r>
              <w:rPr>
                <w:b w:val="false"/>
                <w:bCs w:val="false"/>
                <w:i w:val="false"/>
                <w:iCs w:val="false"/>
                <w:sz w:val="19"/>
                <w:szCs w:val="19"/>
              </w:rPr>
              <w:t xml:space="preserve">Full, n=820</w:t>
            </w:r>
          </w:p>
        </w:tc>
      </w:tr>
      <w:tr>
        <w:tc>
          <w:tcPr>
            <w:tcW w:type="dxa" w:w="1040"/>
            <w:tcMar>
              <w:top w:type="dxa" w:w="60"/>
              <w:left w:type="dxa" w:w="100"/>
              <w:bottom w:type="dxa" w:w="60"/>
              <w:right w:type="dxa" w:w="100"/>
            </w:tcMar>
          </w:tcPr>
          <w:p>
            <w:pPr>
              <w:jc w:val="left"/>
            </w:pPr>
            <w:r>
              <w:rPr>
                <w:b w:val="false"/>
                <w:bCs w:val="false"/>
                <w:i w:val="false"/>
                <w:iCs w:val="false"/>
                <w:sz w:val="19"/>
                <w:szCs w:val="19"/>
              </w:rPr>
              <w:t xml:space="preserve">2 — Entity FE + trend + covariates</w:t>
            </w:r>
          </w:p>
        </w:tc>
        <w:tc>
          <w:tcPr>
            <w:tcW w:type="dxa" w:w="2496"/>
            <w:tcMar>
              <w:top w:type="dxa" w:w="60"/>
              <w:left w:type="dxa" w:w="100"/>
              <w:bottom w:type="dxa" w:w="60"/>
              <w:right w:type="dxa" w:w="100"/>
            </w:tcMar>
          </w:tcPr>
          <w:p>
            <w:pPr>
              <w:jc w:val="left"/>
            </w:pPr>
            <w:r>
              <w:rPr>
                <w:b w:val="false"/>
                <w:bCs w:val="false"/>
                <w:i w:val="false"/>
                <w:iCs w:val="false"/>
                <w:sz w:val="19"/>
                <w:szCs w:val="19"/>
              </w:rPr>
              <w:t xml:space="preserve">District</w:t>
            </w:r>
          </w:p>
        </w:tc>
        <w:tc>
          <w:tcPr>
            <w:tcW w:type="dxa" w:w="3120"/>
            <w:tcMar>
              <w:top w:type="dxa" w:w="60"/>
              <w:left w:type="dxa" w:w="100"/>
              <w:bottom w:type="dxa" w:w="60"/>
              <w:right w:type="dxa" w:w="100"/>
            </w:tcMar>
          </w:tcPr>
          <w:p>
            <w:pPr>
              <w:jc w:val="left"/>
            </w:pPr>
            <w:r>
              <w:rPr>
                <w:b w:val="false"/>
                <w:bCs w:val="false"/>
                <w:i w:val="false"/>
                <w:iCs w:val="false"/>
                <w:sz w:val="19"/>
                <w:szCs w:val="19"/>
              </w:rPr>
              <w:t xml:space="preserve">t, volume_index, FDI</w:t>
            </w:r>
          </w:p>
        </w:tc>
        <w:tc>
          <w:tcPr>
            <w:tcW w:type="dxa" w:w="2704"/>
            <w:tcMar>
              <w:top w:type="dxa" w:w="60"/>
              <w:left w:type="dxa" w:w="100"/>
              <w:bottom w:type="dxa" w:w="60"/>
              <w:right w:type="dxa" w:w="100"/>
            </w:tcMar>
          </w:tcPr>
          <w:p>
            <w:pPr>
              <w:jc w:val="left"/>
            </w:pPr>
            <w:r>
              <w:rPr>
                <w:b w:val="false"/>
                <w:bCs w:val="false"/>
                <w:i w:val="false"/>
                <w:iCs w:val="false"/>
                <w:sz w:val="19"/>
                <w:szCs w:val="19"/>
              </w:rPr>
              <w:t xml:space="preserve">Full, n=820</w:t>
            </w:r>
          </w:p>
        </w:tc>
      </w:tr>
      <w:tr>
        <w:tc>
          <w:tcPr>
            <w:tcW w:type="dxa" w:w="1040"/>
            <w:tcMar>
              <w:top w:type="dxa" w:w="60"/>
              <w:left w:type="dxa" w:w="100"/>
              <w:bottom w:type="dxa" w:w="60"/>
              <w:right w:type="dxa" w:w="100"/>
            </w:tcMar>
          </w:tcPr>
          <w:p>
            <w:pPr>
              <w:jc w:val="left"/>
            </w:pPr>
            <w:r>
              <w:rPr>
                <w:b w:val="false"/>
                <w:bCs w:val="false"/>
                <w:i w:val="false"/>
                <w:iCs w:val="false"/>
                <w:sz w:val="19"/>
                <w:szCs w:val="19"/>
              </w:rPr>
              <w:t xml:space="preserve">3 — Entity FE + trend + mortgage + covariates</w:t>
            </w:r>
          </w:p>
        </w:tc>
        <w:tc>
          <w:tcPr>
            <w:tcW w:type="dxa" w:w="2496"/>
            <w:tcMar>
              <w:top w:type="dxa" w:w="60"/>
              <w:left w:type="dxa" w:w="100"/>
              <w:bottom w:type="dxa" w:w="60"/>
              <w:right w:type="dxa" w:w="100"/>
            </w:tcMar>
          </w:tcPr>
          <w:p>
            <w:pPr>
              <w:jc w:val="left"/>
            </w:pPr>
            <w:r>
              <w:rPr>
                <w:b w:val="false"/>
                <w:bCs w:val="false"/>
                <w:i w:val="false"/>
                <w:iCs w:val="false"/>
                <w:sz w:val="19"/>
                <w:szCs w:val="19"/>
              </w:rPr>
              <w:t xml:space="preserve">District</w:t>
            </w:r>
          </w:p>
        </w:tc>
        <w:tc>
          <w:tcPr>
            <w:tcW w:type="dxa" w:w="3120"/>
            <w:tcMar>
              <w:top w:type="dxa" w:w="60"/>
              <w:left w:type="dxa" w:w="100"/>
              <w:bottom w:type="dxa" w:w="60"/>
              <w:right w:type="dxa" w:w="100"/>
            </w:tcMar>
          </w:tcPr>
          <w:p>
            <w:pPr>
              <w:jc w:val="left"/>
            </w:pPr>
            <w:r>
              <w:rPr>
                <w:b w:val="false"/>
                <w:bCs w:val="false"/>
                <w:i w:val="false"/>
                <w:iCs w:val="false"/>
                <w:sz w:val="19"/>
                <w:szCs w:val="19"/>
              </w:rPr>
              <w:t xml:space="preserve">t, mortgage, volume_index, FDI</w:t>
            </w:r>
          </w:p>
        </w:tc>
        <w:tc>
          <w:tcPr>
            <w:tcW w:type="dxa" w:w="2704"/>
            <w:tcMar>
              <w:top w:type="dxa" w:w="60"/>
              <w:left w:type="dxa" w:w="100"/>
              <w:bottom w:type="dxa" w:w="60"/>
              <w:right w:type="dxa" w:w="100"/>
            </w:tcMar>
          </w:tcPr>
          <w:p>
            <w:pPr>
              <w:jc w:val="left"/>
            </w:pPr>
            <w:r>
              <w:rPr>
                <w:b w:val="false"/>
                <w:bCs w:val="false"/>
                <w:i w:val="false"/>
                <w:iCs w:val="false"/>
                <w:sz w:val="19"/>
                <w:szCs w:val="19"/>
              </w:rPr>
              <w:t xml:space="preserve">Restricted, n=520 (2019Q1–2025Q1)</w:t>
            </w:r>
          </w:p>
        </w:tc>
      </w:tr>
      <w:tr>
        <w:tc>
          <w:tcPr>
            <w:tcW w:type="dxa" w:w="1040"/>
            <w:tcMar>
              <w:top w:type="dxa" w:w="60"/>
              <w:left w:type="dxa" w:w="100"/>
              <w:bottom w:type="dxa" w:w="60"/>
              <w:right w:type="dxa" w:w="100"/>
            </w:tcMar>
          </w:tcPr>
          <w:p>
            <w:pPr>
              <w:jc w:val="left"/>
            </w:pPr>
            <w:r>
              <w:rPr>
                <w:b w:val="false"/>
                <w:bCs w:val="false"/>
                <w:i w:val="false"/>
                <w:iCs w:val="false"/>
                <w:sz w:val="19"/>
                <w:szCs w:val="19"/>
              </w:rPr>
              <w:t xml:space="preserve">4 — Full TWFE + covariates (diagnostic)</w:t>
            </w:r>
          </w:p>
        </w:tc>
        <w:tc>
          <w:tcPr>
            <w:tcW w:type="dxa" w:w="2496"/>
            <w:tcMar>
              <w:top w:type="dxa" w:w="60"/>
              <w:left w:type="dxa" w:w="100"/>
              <w:bottom w:type="dxa" w:w="60"/>
              <w:right w:type="dxa" w:w="100"/>
            </w:tcMar>
          </w:tcPr>
          <w:p>
            <w:pPr>
              <w:jc w:val="left"/>
            </w:pPr>
            <w:r>
              <w:rPr>
                <w:b w:val="false"/>
                <w:bCs w:val="false"/>
                <w:i w:val="false"/>
                <w:iCs w:val="false"/>
                <w:sz w:val="19"/>
                <w:szCs w:val="19"/>
              </w:rPr>
              <w:t xml:space="preserve">District + Quarter</w:t>
            </w:r>
          </w:p>
        </w:tc>
        <w:tc>
          <w:tcPr>
            <w:tcW w:type="dxa" w:w="3120"/>
            <w:tcMar>
              <w:top w:type="dxa" w:w="60"/>
              <w:left w:type="dxa" w:w="100"/>
              <w:bottom w:type="dxa" w:w="60"/>
              <w:right w:type="dxa" w:w="100"/>
            </w:tcMar>
          </w:tcPr>
          <w:p>
            <w:pPr>
              <w:jc w:val="left"/>
            </w:pPr>
            <w:r>
              <w:rPr>
                <w:b w:val="false"/>
                <w:bCs w:val="false"/>
                <w:i w:val="false"/>
                <w:iCs w:val="false"/>
                <w:sz w:val="19"/>
                <w:szCs w:val="19"/>
              </w:rPr>
              <w:t xml:space="preserve">mortgage, volume_index, FDI</w:t>
            </w:r>
          </w:p>
        </w:tc>
        <w:tc>
          <w:tcPr>
            <w:tcW w:type="dxa" w:w="2704"/>
            <w:tcMar>
              <w:top w:type="dxa" w:w="60"/>
              <w:left w:type="dxa" w:w="100"/>
              <w:bottom w:type="dxa" w:w="60"/>
              <w:right w:type="dxa" w:w="100"/>
            </w:tcMar>
          </w:tcPr>
          <w:p>
            <w:pPr>
              <w:jc w:val="left"/>
            </w:pPr>
            <w:r>
              <w:rPr>
                <w:b w:val="false"/>
                <w:bCs w:val="false"/>
                <w:i w:val="false"/>
                <w:iCs w:val="false"/>
                <w:sz w:val="19"/>
                <w:szCs w:val="19"/>
              </w:rPr>
              <w:t xml:space="preserve">Restricted, n=520 — fails to estimate</w:t>
            </w:r>
          </w:p>
        </w:tc>
      </w:tr>
      <w:tr>
        <w:tc>
          <w:tcPr>
            <w:tcW w:type="dxa" w:w="1040"/>
            <w:tcMar>
              <w:top w:type="dxa" w:w="60"/>
              <w:left w:type="dxa" w:w="100"/>
              <w:bottom w:type="dxa" w:w="60"/>
              <w:right w:type="dxa" w:w="100"/>
            </w:tcMar>
          </w:tcPr>
          <w:p>
            <w:pPr>
              <w:jc w:val="left"/>
            </w:pPr>
            <w:r>
              <w:rPr>
                <w:b w:val="false"/>
                <w:bCs w:val="false"/>
                <w:i w:val="false"/>
                <w:iCs w:val="false"/>
                <w:sz w:val="19"/>
                <w:szCs w:val="19"/>
              </w:rPr>
              <w:t xml:space="preserve">5 — Growth / convergence (robustness DV)</w:t>
            </w:r>
          </w:p>
        </w:tc>
        <w:tc>
          <w:tcPr>
            <w:tcW w:type="dxa" w:w="2496"/>
            <w:tcMar>
              <w:top w:type="dxa" w:w="60"/>
              <w:left w:type="dxa" w:w="100"/>
              <w:bottom w:type="dxa" w:w="60"/>
              <w:right w:type="dxa" w:w="100"/>
            </w:tcMar>
          </w:tcPr>
          <w:p>
            <w:pPr>
              <w:jc w:val="left"/>
            </w:pPr>
            <w:r>
              <w:rPr>
                <w:b w:val="false"/>
                <w:bCs w:val="false"/>
                <w:i w:val="false"/>
                <w:iCs w:val="false"/>
                <w:sz w:val="19"/>
                <w:szCs w:val="19"/>
              </w:rPr>
              <w:t xml:space="preserve">District</w:t>
            </w:r>
          </w:p>
        </w:tc>
        <w:tc>
          <w:tcPr>
            <w:tcW w:type="dxa" w:w="3120"/>
            <w:tcMar>
              <w:top w:type="dxa" w:w="60"/>
              <w:left w:type="dxa" w:w="100"/>
              <w:bottom w:type="dxa" w:w="60"/>
              <w:right w:type="dxa" w:w="100"/>
            </w:tcMar>
          </w:tcPr>
          <w:p>
            <w:pPr>
              <w:jc w:val="left"/>
            </w:pPr>
            <w:r>
              <w:rPr>
                <w:b w:val="false"/>
                <w:bCs w:val="false"/>
                <w:i w:val="false"/>
                <w:iCs w:val="false"/>
                <w:sz w:val="19"/>
                <w:szCs w:val="19"/>
              </w:rPr>
              <w:t xml:space="preserve">log(price)ₜ₋₁, volume_index, FDI</w:t>
            </w:r>
          </w:p>
        </w:tc>
        <w:tc>
          <w:tcPr>
            <w:tcW w:type="dxa" w:w="2704"/>
            <w:tcMar>
              <w:top w:type="dxa" w:w="60"/>
              <w:left w:type="dxa" w:w="100"/>
              <w:bottom w:type="dxa" w:w="60"/>
              <w:right w:type="dxa" w:w="100"/>
            </w:tcMar>
          </w:tcPr>
          <w:p>
            <w:pPr>
              <w:jc w:val="left"/>
            </w:pPr>
            <w:r>
              <w:rPr>
                <w:b w:val="false"/>
                <w:bCs w:val="false"/>
                <w:i w:val="false"/>
                <w:iCs w:val="false"/>
                <w:sz w:val="19"/>
                <w:szCs w:val="19"/>
              </w:rPr>
              <w:t xml:space="preserve">Full, n=800</w:t>
            </w:r>
          </w:p>
        </w:tc>
      </w:tr>
    </w:tbl>
    <w:p>
      <w:pPr>
        <w:spacing w:after="200" w:before="60"/>
      </w:pPr>
      <w:r>
        <w:rPr>
          <w:i/>
          <w:iCs/>
          <w:color w:val="595959"/>
          <w:sz w:val="18"/>
          <w:szCs w:val="18"/>
        </w:rPr>
        <w:t xml:space="preserve">Spec 1 is the literal group-baseline specification. Specs 0, 0b, 2–5 are diagnostic and robustness extensions added to make the identification problem in §3.3 visible and to extract usable coefficients on the national covariates the group's baseline design calls for.</w:t>
      </w:r>
    </w:p>
    <w:p>
      <w:pPr>
        <w:pStyle w:val="Heading2"/>
        <w:spacing w:after="140" w:before="280"/>
      </w:pPr>
      <w:r>
        <w:t xml:space="preserve">3.2 Evaluation metrics</w:t>
      </w:r>
    </w:p>
    <w:p>
      <w:pPr>
        <w:spacing w:after="160"/>
      </w:pPr>
      <w:r>
        <w:t xml:space="preserve">R² is reported both as within-R² (variance explained by covariates after demeaning by the included fixed effects — zero by construction for models with no covariates) and total R² = 1 − SSR/SST against the raw dependent variable, which is the more informative figure for models whose explanatory power comes primarily from the fixed effects themselves. RMSE is computed on the same residual (log price scale).</w:t>
      </w:r>
    </w:p>
    <w:p>
      <w:pPr>
        <w:pStyle w:val="Heading2"/>
        <w:spacing w:after="140" w:before="280"/>
      </w:pPr>
      <w:r>
        <w:t xml:space="preserve">3.3 The identification problem (Spec 4)</w:t>
      </w:r>
    </w:p>
    <w:p>
      <w:pPr>
        <w:spacing w:after="160"/>
      </w:pPr>
      <w:r>
        <w:t xml:space="preserve">Fitting log(price) on district FE + quarter FE + {mortgage rate, transaction volume index, FDI real estate} raises an absorption error in linearmodels: “The included effects have fully absorbed one or more of the variables … Intercept, mortgage_rate_fixed, volume_index, fdi_real_estate_transactions_meur.” This is not a bug to work around — it is the correct econometric outcome. Any variable that is constant across the cross-section within a period is a linear combination of the quarter dummies, so a TWFE estimator with quarter FE cannot separately identify its coefficient, by construction, regardless of sample size. This holds for every IV/control in the group's baseline table that is sourced nationally: mortgage rate, construction costs, unemployment, population growth (to the extent it is drawn from national series), total FDI, and total immigration stock. It does not hold for genuinely district-varying series (e.g., district-level population, unemployment, permits, or nationality-level buyer shares by freguesia), which is precisely why obtaining those series is not optional polish but a binding precondition for estimating the baseline as specified.</w:t>
      </w:r>
    </w:p>
    <w:p>
      <w:pPr>
        <w:spacing w:after="160"/>
      </w:pPr>
      <w:r>
        <w:t xml:space="preserve">This has a direct, positive implication for §5/§6.3: it is also exactly why a plain TWFE panel cannot identify the FDI → price effect described in the foreign-investment subtopic, and why that subtopic's design already moves to DML / Causal Forest with a Bartik-style local-exposure instrument (interacting the national FDI shock with a district's pre-existing exposure share) rather than a panel regression on the raw national series. Spec 4's failure is the baseline's own evidence for that design choice.</w:t>
      </w:r>
    </w:p>
    <w:p>
      <w:pPr>
        <w:pStyle w:val="Heading1"/>
        <w:spacing w:after="140" w:before="280"/>
      </w:pPr>
      <w:r>
        <w:t xml:space="preserve">4. Results</w:t>
      </w:r>
    </w:p>
    <w:p>
      <w:pPr>
        <w:pStyle w:val="Heading2"/>
        <w:spacing w:after="140" w:before="280"/>
      </w:pPr>
      <w:r>
        <w:t xml:space="preserve">4.1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8"/>
        <w:gridCol w:w="913"/>
        <w:gridCol w:w="1598"/>
        <w:gridCol w:w="1598"/>
        <w:gridCol w:w="2283"/>
      </w:tblGrid>
      <w:tr>
        <w:trPr>
          <w:tblHeader/>
        </w:trPr>
        <w:tc>
          <w:tcPr>
            <w:tcW w:type="dxa" w:w="2968"/>
            <w:shd w:fill="D9D9D9" w:color="auto" w:val="clear"/>
            <w:tcMar>
              <w:top w:type="dxa" w:w="60"/>
              <w:left w:type="dxa" w:w="100"/>
              <w:bottom w:type="dxa" w:w="60"/>
              <w:right w:type="dxa" w:w="100"/>
            </w:tcMar>
          </w:tcPr>
          <w:p>
            <w:pPr>
              <w:jc w:val="left"/>
            </w:pPr>
            <w:r>
              <w:rPr>
                <w:b/>
                <w:bCs/>
                <w:i w:val="false"/>
                <w:iCs w:val="false"/>
                <w:sz w:val="19"/>
                <w:szCs w:val="19"/>
              </w:rPr>
              <w:t xml:space="preserve">Spec</w:t>
            </w:r>
          </w:p>
        </w:tc>
        <w:tc>
          <w:tcPr>
            <w:tcW w:type="dxa" w:w="913"/>
            <w:shd w:fill="D9D9D9" w:color="auto" w:val="clear"/>
            <w:tcMar>
              <w:top w:type="dxa" w:w="60"/>
              <w:left w:type="dxa" w:w="100"/>
              <w:bottom w:type="dxa" w:w="60"/>
              <w:right w:type="dxa" w:w="100"/>
            </w:tcMar>
          </w:tcPr>
          <w:p>
            <w:pPr>
              <w:jc w:val="left"/>
            </w:pPr>
            <w:r>
              <w:rPr>
                <w:b/>
                <w:bCs/>
                <w:i w:val="false"/>
                <w:iCs w:val="false"/>
                <w:sz w:val="19"/>
                <w:szCs w:val="19"/>
              </w:rPr>
              <w:t xml:space="preserve">N</w:t>
            </w:r>
          </w:p>
        </w:tc>
        <w:tc>
          <w:tcPr>
            <w:tcW w:type="dxa" w:w="1598"/>
            <w:shd w:fill="D9D9D9" w:color="auto" w:val="clear"/>
            <w:tcMar>
              <w:top w:type="dxa" w:w="60"/>
              <w:left w:type="dxa" w:w="100"/>
              <w:bottom w:type="dxa" w:w="60"/>
              <w:right w:type="dxa" w:w="100"/>
            </w:tcMar>
          </w:tcPr>
          <w:p>
            <w:pPr>
              <w:jc w:val="left"/>
            </w:pPr>
            <w:r>
              <w:rPr>
                <w:b/>
                <w:bCs/>
                <w:i w:val="false"/>
                <w:iCs w:val="false"/>
                <w:sz w:val="19"/>
                <w:szCs w:val="19"/>
              </w:rPr>
              <w:t xml:space="preserve">R² (total)</w:t>
            </w:r>
          </w:p>
        </w:tc>
        <w:tc>
          <w:tcPr>
            <w:tcW w:type="dxa" w:w="1598"/>
            <w:shd w:fill="D9D9D9" w:color="auto" w:val="clear"/>
            <w:tcMar>
              <w:top w:type="dxa" w:w="60"/>
              <w:left w:type="dxa" w:w="100"/>
              <w:bottom w:type="dxa" w:w="60"/>
              <w:right w:type="dxa" w:w="100"/>
            </w:tcMar>
          </w:tcPr>
          <w:p>
            <w:pPr>
              <w:jc w:val="left"/>
            </w:pPr>
            <w:r>
              <w:rPr>
                <w:b/>
                <w:bCs/>
                <w:i w:val="false"/>
                <w:iCs w:val="false"/>
                <w:sz w:val="19"/>
                <w:szCs w:val="19"/>
              </w:rPr>
              <w:t xml:space="preserve">R² (within)</w:t>
            </w:r>
          </w:p>
        </w:tc>
        <w:tc>
          <w:tcPr>
            <w:tcW w:type="dxa" w:w="2283"/>
            <w:shd w:fill="D9D9D9" w:color="auto" w:val="clear"/>
            <w:tcMar>
              <w:top w:type="dxa" w:w="60"/>
              <w:left w:type="dxa" w:w="100"/>
              <w:bottom w:type="dxa" w:w="60"/>
              <w:right w:type="dxa" w:w="100"/>
            </w:tcMar>
          </w:tcPr>
          <w:p>
            <w:pPr>
              <w:jc w:val="left"/>
            </w:pPr>
            <w:r>
              <w:rPr>
                <w:b/>
                <w:bCs/>
                <w:i w:val="false"/>
                <w:iCs w:val="false"/>
                <w:sz w:val="19"/>
                <w:szCs w:val="19"/>
              </w:rPr>
              <w:t xml:space="preserve">RMSE (log price)</w:t>
            </w:r>
          </w:p>
        </w:tc>
      </w:tr>
      <w:tr>
        <w:tc>
          <w:tcPr>
            <w:tcW w:type="dxa" w:w="2968"/>
            <w:tcMar>
              <w:top w:type="dxa" w:w="60"/>
              <w:left w:type="dxa" w:w="100"/>
              <w:bottom w:type="dxa" w:w="60"/>
              <w:right w:type="dxa" w:w="100"/>
            </w:tcMar>
          </w:tcPr>
          <w:p>
            <w:pPr>
              <w:jc w:val="left"/>
            </w:pPr>
            <w:r>
              <w:rPr>
                <w:b w:val="false"/>
                <w:bCs w:val="false"/>
                <w:i w:val="false"/>
                <w:iCs w:val="false"/>
                <w:sz w:val="19"/>
                <w:szCs w:val="19"/>
              </w:rPr>
              <w:t xml:space="preserve">0 — Pooled OLS</w:t>
            </w:r>
          </w:p>
        </w:tc>
        <w:tc>
          <w:tcPr>
            <w:tcW w:type="dxa" w:w="913"/>
            <w:tcMar>
              <w:top w:type="dxa" w:w="60"/>
              <w:left w:type="dxa" w:w="100"/>
              <w:bottom w:type="dxa" w:w="60"/>
              <w:right w:type="dxa" w:w="100"/>
            </w:tcMar>
          </w:tcPr>
          <w:p>
            <w:pPr>
              <w:jc w:val="left"/>
            </w:pPr>
            <w:r>
              <w:rPr>
                <w:b w:val="false"/>
                <w:bCs w:val="false"/>
                <w:i w:val="false"/>
                <w:iCs w:val="false"/>
                <w:sz w:val="19"/>
                <w:szCs w:val="19"/>
              </w:rPr>
              <w:t xml:space="preserve">820</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0.199</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w:t>
            </w:r>
          </w:p>
        </w:tc>
        <w:tc>
          <w:tcPr>
            <w:tcW w:type="dxa" w:w="2283"/>
            <w:tcMar>
              <w:top w:type="dxa" w:w="60"/>
              <w:left w:type="dxa" w:w="100"/>
              <w:bottom w:type="dxa" w:w="60"/>
              <w:right w:type="dxa" w:w="100"/>
            </w:tcMar>
          </w:tcPr>
          <w:p>
            <w:pPr>
              <w:jc w:val="left"/>
            </w:pPr>
            <w:r>
              <w:rPr>
                <w:b w:val="false"/>
                <w:bCs w:val="false"/>
                <w:i w:val="false"/>
                <w:iCs w:val="false"/>
                <w:sz w:val="19"/>
                <w:szCs w:val="19"/>
              </w:rPr>
              <w:t xml:space="preserve">0.387</w:t>
            </w:r>
          </w:p>
        </w:tc>
      </w:tr>
      <w:tr>
        <w:tc>
          <w:tcPr>
            <w:tcW w:type="dxa" w:w="2968"/>
            <w:tcMar>
              <w:top w:type="dxa" w:w="60"/>
              <w:left w:type="dxa" w:w="100"/>
              <w:bottom w:type="dxa" w:w="60"/>
              <w:right w:type="dxa" w:w="100"/>
            </w:tcMar>
          </w:tcPr>
          <w:p>
            <w:pPr>
              <w:jc w:val="left"/>
            </w:pPr>
            <w:r>
              <w:rPr>
                <w:b w:val="false"/>
                <w:bCs w:val="false"/>
                <w:i w:val="false"/>
                <w:iCs w:val="false"/>
                <w:sz w:val="19"/>
                <w:szCs w:val="19"/>
              </w:rPr>
              <w:t xml:space="preserve">0b — Entity FE only</w:t>
            </w:r>
          </w:p>
        </w:tc>
        <w:tc>
          <w:tcPr>
            <w:tcW w:type="dxa" w:w="913"/>
            <w:tcMar>
              <w:top w:type="dxa" w:w="60"/>
              <w:left w:type="dxa" w:w="100"/>
              <w:bottom w:type="dxa" w:w="60"/>
              <w:right w:type="dxa" w:w="100"/>
            </w:tcMar>
          </w:tcPr>
          <w:p>
            <w:pPr>
              <w:jc w:val="left"/>
            </w:pPr>
            <w:r>
              <w:rPr>
                <w:b w:val="false"/>
                <w:bCs w:val="false"/>
                <w:i w:val="false"/>
                <w:iCs w:val="false"/>
                <w:sz w:val="19"/>
                <w:szCs w:val="19"/>
              </w:rPr>
              <w:t xml:space="preserve">820</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0.725</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0.000</w:t>
            </w:r>
          </w:p>
        </w:tc>
        <w:tc>
          <w:tcPr>
            <w:tcW w:type="dxa" w:w="2283"/>
            <w:tcMar>
              <w:top w:type="dxa" w:w="60"/>
              <w:left w:type="dxa" w:w="100"/>
              <w:bottom w:type="dxa" w:w="60"/>
              <w:right w:type="dxa" w:w="100"/>
            </w:tcMar>
          </w:tcPr>
          <w:p>
            <w:pPr>
              <w:jc w:val="left"/>
            </w:pPr>
            <w:r>
              <w:rPr>
                <w:b w:val="false"/>
                <w:bCs w:val="false"/>
                <w:i w:val="false"/>
                <w:iCs w:val="false"/>
                <w:sz w:val="19"/>
                <w:szCs w:val="19"/>
              </w:rPr>
              <w:t xml:space="preserve">0.227</w:t>
            </w:r>
          </w:p>
        </w:tc>
      </w:tr>
      <w:tr>
        <w:tc>
          <w:tcPr>
            <w:tcW w:type="dxa" w:w="2968"/>
            <w:tcMar>
              <w:top w:type="dxa" w:w="60"/>
              <w:left w:type="dxa" w:w="100"/>
              <w:bottom w:type="dxa" w:w="60"/>
              <w:right w:type="dxa" w:w="100"/>
            </w:tcMar>
          </w:tcPr>
          <w:p>
            <w:pPr>
              <w:jc w:val="left"/>
            </w:pPr>
            <w:r>
              <w:rPr>
                <w:b w:val="false"/>
                <w:bCs w:val="false"/>
                <w:i w:val="false"/>
                <w:iCs w:val="false"/>
                <w:sz w:val="19"/>
                <w:szCs w:val="19"/>
              </w:rPr>
              <w:t xml:space="preserve">1 — TWFE decomposition (baseline)</w:t>
            </w:r>
          </w:p>
        </w:tc>
        <w:tc>
          <w:tcPr>
            <w:tcW w:type="dxa" w:w="913"/>
            <w:tcMar>
              <w:top w:type="dxa" w:w="60"/>
              <w:left w:type="dxa" w:w="100"/>
              <w:bottom w:type="dxa" w:w="60"/>
              <w:right w:type="dxa" w:w="100"/>
            </w:tcMar>
          </w:tcPr>
          <w:p>
            <w:pPr>
              <w:jc w:val="left"/>
            </w:pPr>
            <w:r>
              <w:rPr>
                <w:b w:val="false"/>
                <w:bCs w:val="false"/>
                <w:i w:val="false"/>
                <w:iCs w:val="false"/>
                <w:sz w:val="19"/>
                <w:szCs w:val="19"/>
              </w:rPr>
              <w:t xml:space="preserve">820</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0.927</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0.000</w:t>
            </w:r>
          </w:p>
        </w:tc>
        <w:tc>
          <w:tcPr>
            <w:tcW w:type="dxa" w:w="2283"/>
            <w:tcMar>
              <w:top w:type="dxa" w:w="60"/>
              <w:left w:type="dxa" w:w="100"/>
              <w:bottom w:type="dxa" w:w="60"/>
              <w:right w:type="dxa" w:w="100"/>
            </w:tcMar>
          </w:tcPr>
          <w:p>
            <w:pPr>
              <w:jc w:val="left"/>
            </w:pPr>
            <w:r>
              <w:rPr>
                <w:b w:val="false"/>
                <w:bCs w:val="false"/>
                <w:i w:val="false"/>
                <w:iCs w:val="false"/>
                <w:sz w:val="19"/>
                <w:szCs w:val="19"/>
              </w:rPr>
              <w:t xml:space="preserve">0.117</w:t>
            </w:r>
          </w:p>
        </w:tc>
      </w:tr>
      <w:tr>
        <w:tc>
          <w:tcPr>
            <w:tcW w:type="dxa" w:w="2968"/>
            <w:tcMar>
              <w:top w:type="dxa" w:w="60"/>
              <w:left w:type="dxa" w:w="100"/>
              <w:bottom w:type="dxa" w:w="60"/>
              <w:right w:type="dxa" w:w="100"/>
            </w:tcMar>
          </w:tcPr>
          <w:p>
            <w:pPr>
              <w:jc w:val="left"/>
            </w:pPr>
            <w:r>
              <w:rPr>
                <w:b w:val="false"/>
                <w:bCs w:val="false"/>
                <w:i w:val="false"/>
                <w:iCs w:val="false"/>
                <w:sz w:val="19"/>
                <w:szCs w:val="19"/>
              </w:rPr>
              <w:t xml:space="preserve">2 — Entity FE + trend + covariates</w:t>
            </w:r>
          </w:p>
        </w:tc>
        <w:tc>
          <w:tcPr>
            <w:tcW w:type="dxa" w:w="913"/>
            <w:tcMar>
              <w:top w:type="dxa" w:w="60"/>
              <w:left w:type="dxa" w:w="100"/>
              <w:bottom w:type="dxa" w:w="60"/>
              <w:right w:type="dxa" w:w="100"/>
            </w:tcMar>
          </w:tcPr>
          <w:p>
            <w:pPr>
              <w:jc w:val="left"/>
            </w:pPr>
            <w:r>
              <w:rPr>
                <w:b w:val="false"/>
                <w:bCs w:val="false"/>
                <w:i w:val="false"/>
                <w:iCs w:val="false"/>
                <w:sz w:val="19"/>
                <w:szCs w:val="19"/>
              </w:rPr>
              <w:t xml:space="preserve">820</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0.924</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0.723</w:t>
            </w:r>
          </w:p>
        </w:tc>
        <w:tc>
          <w:tcPr>
            <w:tcW w:type="dxa" w:w="2283"/>
            <w:tcMar>
              <w:top w:type="dxa" w:w="60"/>
              <w:left w:type="dxa" w:w="100"/>
              <w:bottom w:type="dxa" w:w="60"/>
              <w:right w:type="dxa" w:w="100"/>
            </w:tcMar>
          </w:tcPr>
          <w:p>
            <w:pPr>
              <w:jc w:val="left"/>
            </w:pPr>
            <w:r>
              <w:rPr>
                <w:b w:val="false"/>
                <w:bCs w:val="false"/>
                <w:i w:val="false"/>
                <w:iCs w:val="false"/>
                <w:sz w:val="19"/>
                <w:szCs w:val="19"/>
              </w:rPr>
              <w:t xml:space="preserve">0.120</w:t>
            </w:r>
          </w:p>
        </w:tc>
      </w:tr>
      <w:tr>
        <w:tc>
          <w:tcPr>
            <w:tcW w:type="dxa" w:w="2968"/>
            <w:tcMar>
              <w:top w:type="dxa" w:w="60"/>
              <w:left w:type="dxa" w:w="100"/>
              <w:bottom w:type="dxa" w:w="60"/>
              <w:right w:type="dxa" w:w="100"/>
            </w:tcMar>
          </w:tcPr>
          <w:p>
            <w:pPr>
              <w:jc w:val="left"/>
            </w:pPr>
            <w:r>
              <w:rPr>
                <w:b w:val="false"/>
                <w:bCs w:val="false"/>
                <w:i w:val="false"/>
                <w:iCs w:val="false"/>
                <w:sz w:val="19"/>
                <w:szCs w:val="19"/>
              </w:rPr>
              <w:t xml:space="preserve">3 — Entity FE + trend + mortgage + covariates</w:t>
            </w:r>
          </w:p>
        </w:tc>
        <w:tc>
          <w:tcPr>
            <w:tcW w:type="dxa" w:w="913"/>
            <w:tcMar>
              <w:top w:type="dxa" w:w="60"/>
              <w:left w:type="dxa" w:w="100"/>
              <w:bottom w:type="dxa" w:w="60"/>
              <w:right w:type="dxa" w:w="100"/>
            </w:tcMar>
          </w:tcPr>
          <w:p>
            <w:pPr>
              <w:jc w:val="left"/>
            </w:pPr>
            <w:r>
              <w:rPr>
                <w:b w:val="false"/>
                <w:bCs w:val="false"/>
                <w:i w:val="false"/>
                <w:iCs w:val="false"/>
                <w:sz w:val="19"/>
                <w:szCs w:val="19"/>
              </w:rPr>
              <w:t xml:space="preserve">520</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0.978</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0.829</w:t>
            </w:r>
          </w:p>
        </w:tc>
        <w:tc>
          <w:tcPr>
            <w:tcW w:type="dxa" w:w="2283"/>
            <w:tcMar>
              <w:top w:type="dxa" w:w="60"/>
              <w:left w:type="dxa" w:w="100"/>
              <w:bottom w:type="dxa" w:w="60"/>
              <w:right w:type="dxa" w:w="100"/>
            </w:tcMar>
          </w:tcPr>
          <w:p>
            <w:pPr>
              <w:jc w:val="left"/>
            </w:pPr>
            <w:r>
              <w:rPr>
                <w:b w:val="false"/>
                <w:bCs w:val="false"/>
                <w:i w:val="false"/>
                <w:iCs w:val="false"/>
                <w:sz w:val="19"/>
                <w:szCs w:val="19"/>
              </w:rPr>
              <w:t xml:space="preserve">0.069</w:t>
            </w:r>
          </w:p>
        </w:tc>
      </w:tr>
      <w:tr>
        <w:tc>
          <w:tcPr>
            <w:tcW w:type="dxa" w:w="2968"/>
            <w:tcMar>
              <w:top w:type="dxa" w:w="60"/>
              <w:left w:type="dxa" w:w="100"/>
              <w:bottom w:type="dxa" w:w="60"/>
              <w:right w:type="dxa" w:w="100"/>
            </w:tcMar>
          </w:tcPr>
          <w:p>
            <w:pPr>
              <w:jc w:val="left"/>
            </w:pPr>
            <w:r>
              <w:rPr>
                <w:b w:val="false"/>
                <w:bCs w:val="false"/>
                <w:i w:val="false"/>
                <w:iCs w:val="false"/>
                <w:sz w:val="19"/>
                <w:szCs w:val="19"/>
              </w:rPr>
              <w:t xml:space="preserve">4 — Full TWFE + covariates</w:t>
            </w:r>
          </w:p>
        </w:tc>
        <w:tc>
          <w:tcPr>
            <w:tcW w:type="dxa" w:w="913"/>
            <w:tcMar>
              <w:top w:type="dxa" w:w="60"/>
              <w:left w:type="dxa" w:w="100"/>
              <w:bottom w:type="dxa" w:w="60"/>
              <w:right w:type="dxa" w:w="100"/>
            </w:tcMar>
          </w:tcPr>
          <w:p>
            <w:pPr>
              <w:jc w:val="left"/>
            </w:pPr>
            <w:r>
              <w:rPr>
                <w:b w:val="false"/>
                <w:bCs w:val="false"/>
                <w:i w:val="false"/>
                <w:iCs w:val="false"/>
                <w:sz w:val="19"/>
                <w:szCs w:val="19"/>
              </w:rPr>
              <w:t xml:space="preserve">520</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w:t>
            </w:r>
          </w:p>
        </w:tc>
        <w:tc>
          <w:tcPr>
            <w:tcW w:type="dxa" w:w="2283"/>
            <w:tcMar>
              <w:top w:type="dxa" w:w="60"/>
              <w:left w:type="dxa" w:w="100"/>
              <w:bottom w:type="dxa" w:w="60"/>
              <w:right w:type="dxa" w:w="100"/>
            </w:tcMar>
          </w:tcPr>
          <w:p>
            <w:pPr>
              <w:jc w:val="left"/>
            </w:pPr>
            <w:r>
              <w:rPr>
                <w:b w:val="false"/>
                <w:bCs w:val="false"/>
                <w:i w:val="false"/>
                <w:iCs w:val="false"/>
                <w:sz w:val="19"/>
                <w:szCs w:val="19"/>
              </w:rPr>
              <w:t xml:space="preserve">does not estimate (absorbed)</w:t>
            </w:r>
          </w:p>
        </w:tc>
      </w:tr>
      <w:tr>
        <w:tc>
          <w:tcPr>
            <w:tcW w:type="dxa" w:w="2968"/>
            <w:tcMar>
              <w:top w:type="dxa" w:w="60"/>
              <w:left w:type="dxa" w:w="100"/>
              <w:bottom w:type="dxa" w:w="60"/>
              <w:right w:type="dxa" w:w="100"/>
            </w:tcMar>
          </w:tcPr>
          <w:p>
            <w:pPr>
              <w:jc w:val="left"/>
            </w:pPr>
            <w:r>
              <w:rPr>
                <w:b w:val="false"/>
                <w:bCs w:val="false"/>
                <w:i w:val="false"/>
                <w:iCs w:val="false"/>
                <w:sz w:val="19"/>
                <w:szCs w:val="19"/>
              </w:rPr>
              <w:t xml:space="preserve">5 — Growth / convergence</w:t>
            </w:r>
          </w:p>
        </w:tc>
        <w:tc>
          <w:tcPr>
            <w:tcW w:type="dxa" w:w="913"/>
            <w:tcMar>
              <w:top w:type="dxa" w:w="60"/>
              <w:left w:type="dxa" w:w="100"/>
              <w:bottom w:type="dxa" w:w="60"/>
              <w:right w:type="dxa" w:w="100"/>
            </w:tcMar>
          </w:tcPr>
          <w:p>
            <w:pPr>
              <w:jc w:val="left"/>
            </w:pPr>
            <w:r>
              <w:rPr>
                <w:b w:val="false"/>
                <w:bCs w:val="false"/>
                <w:i w:val="false"/>
                <w:iCs w:val="false"/>
                <w:sz w:val="19"/>
                <w:szCs w:val="19"/>
              </w:rPr>
              <w:t xml:space="preserve">800</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0.120</w:t>
            </w:r>
          </w:p>
        </w:tc>
        <w:tc>
          <w:tcPr>
            <w:tcW w:type="dxa" w:w="1598"/>
            <w:tcMar>
              <w:top w:type="dxa" w:w="60"/>
              <w:left w:type="dxa" w:w="100"/>
              <w:bottom w:type="dxa" w:w="60"/>
              <w:right w:type="dxa" w:w="100"/>
            </w:tcMar>
          </w:tcPr>
          <w:p>
            <w:pPr>
              <w:jc w:val="left"/>
            </w:pPr>
            <w:r>
              <w:rPr>
                <w:b w:val="false"/>
                <w:bCs w:val="false"/>
                <w:i w:val="false"/>
                <w:iCs w:val="false"/>
                <w:sz w:val="19"/>
                <w:szCs w:val="19"/>
              </w:rPr>
              <w:t xml:space="preserve">0.059</w:t>
            </w:r>
          </w:p>
        </w:tc>
        <w:tc>
          <w:tcPr>
            <w:tcW w:type="dxa" w:w="2283"/>
            <w:tcMar>
              <w:top w:type="dxa" w:w="60"/>
              <w:left w:type="dxa" w:w="100"/>
              <w:bottom w:type="dxa" w:w="60"/>
              <w:right w:type="dxa" w:w="100"/>
            </w:tcMar>
          </w:tcPr>
          <w:p>
            <w:pPr>
              <w:jc w:val="left"/>
            </w:pPr>
            <w:r>
              <w:rPr>
                <w:b w:val="false"/>
                <w:bCs w:val="false"/>
                <w:i w:val="false"/>
                <w:iCs w:val="false"/>
                <w:sz w:val="19"/>
                <w:szCs w:val="19"/>
              </w:rPr>
              <w:t xml:space="preserve">0.027</w:t>
            </w:r>
          </w:p>
        </w:tc>
      </w:tr>
    </w:tbl>
    <w:p>
      <w:pPr>
        <w:spacing w:after="160"/>
      </w:pPr>
      <w:r>
        <w:t xml:space="preserve">The district fixed effect alone (Spec 0b) accounts for 72.5% of total variance in log price — cross-sectional heterogeneity between districts (Lisboa vs. interior districts spans roughly a 5× price range) dominates the variance decomposition. Adding quarter fixed effects (Spec 1, the group baseline) raises total R² to 92.7% and lowers RMSE to 0.117 log points (≈12% typical deviation), confirming that within-district timing also matters, but is second-order relative to level differences across districts. Spec 3, restricted to the 2019Q1–2025Q1 window over which the mortgage-rate series is available, reaches the best fit of any covariate-based specification (R² = 0.978, RMSE = 0.069) precisely because a linear trend plus three national series proxies for the omitted quarter effects reasonably well over a shorter, more homogeneous window.</w:t>
      </w:r>
    </w:p>
    <w:p>
      <w:pPr>
        <w:pStyle w:val="Heading2"/>
        <w:spacing w:after="140" w:before="280"/>
      </w:pPr>
      <w:r>
        <w:t xml:space="preserve">4.2 Coefficient tables</w:t>
      </w:r>
    </w:p>
    <w:p>
      <w:pPr>
        <w:spacing w:after="160"/>
      </w:pPr>
      <w:r>
        <w:rPr>
          <w:b/>
          <w:bCs/>
        </w:rPr>
        <w:t xml:space="preserve">Spec 2 — district FE + linear trend + national covariates (full sample, n=820):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5"/>
        <w:gridCol w:w="1741"/>
        <w:gridCol w:w="1741"/>
        <w:gridCol w:w="1306"/>
        <w:gridCol w:w="1306"/>
      </w:tblGrid>
      <w:tr>
        <w:trPr>
          <w:tblHeader/>
        </w:trPr>
        <w:tc>
          <w:tcPr>
            <w:tcW w:type="dxa" w:w="3265"/>
            <w:shd w:fill="D9D9D9" w:color="auto" w:val="clear"/>
            <w:tcMar>
              <w:top w:type="dxa" w:w="60"/>
              <w:left w:type="dxa" w:w="100"/>
              <w:bottom w:type="dxa" w:w="60"/>
              <w:right w:type="dxa" w:w="100"/>
            </w:tcMar>
          </w:tcPr>
          <w:p>
            <w:pPr>
              <w:jc w:val="left"/>
            </w:pPr>
            <w:r>
              <w:rPr>
                <w:b/>
                <w:bCs/>
                <w:i w:val="false"/>
                <w:iCs w:val="false"/>
                <w:sz w:val="19"/>
                <w:szCs w:val="19"/>
              </w:rPr>
              <w:t xml:space="preserve">Parameter</w:t>
            </w:r>
          </w:p>
        </w:tc>
        <w:tc>
          <w:tcPr>
            <w:tcW w:type="dxa" w:w="1741"/>
            <w:shd w:fill="D9D9D9" w:color="auto" w:val="clear"/>
            <w:tcMar>
              <w:top w:type="dxa" w:w="60"/>
              <w:left w:type="dxa" w:w="100"/>
              <w:bottom w:type="dxa" w:w="60"/>
              <w:right w:type="dxa" w:w="100"/>
            </w:tcMar>
          </w:tcPr>
          <w:p>
            <w:pPr>
              <w:jc w:val="left"/>
            </w:pPr>
            <w:r>
              <w:rPr>
                <w:b/>
                <w:bCs/>
                <w:i w:val="false"/>
                <w:iCs w:val="false"/>
                <w:sz w:val="19"/>
                <w:szCs w:val="19"/>
              </w:rPr>
              <w:t xml:space="preserve">Coef.</w:t>
            </w:r>
          </w:p>
        </w:tc>
        <w:tc>
          <w:tcPr>
            <w:tcW w:type="dxa" w:w="1741"/>
            <w:shd w:fill="D9D9D9" w:color="auto" w:val="clear"/>
            <w:tcMar>
              <w:top w:type="dxa" w:w="60"/>
              <w:left w:type="dxa" w:w="100"/>
              <w:bottom w:type="dxa" w:w="60"/>
              <w:right w:type="dxa" w:w="100"/>
            </w:tcMar>
          </w:tcPr>
          <w:p>
            <w:pPr>
              <w:jc w:val="left"/>
            </w:pPr>
            <w:r>
              <w:rPr>
                <w:b/>
                <w:bCs/>
                <w:i w:val="false"/>
                <w:iCs w:val="false"/>
                <w:sz w:val="19"/>
                <w:szCs w:val="19"/>
              </w:rPr>
              <w:t xml:space="preserve">Std. Err.</w:t>
            </w:r>
          </w:p>
        </w:tc>
        <w:tc>
          <w:tcPr>
            <w:tcW w:type="dxa" w:w="1306"/>
            <w:shd w:fill="D9D9D9" w:color="auto" w:val="clear"/>
            <w:tcMar>
              <w:top w:type="dxa" w:w="60"/>
              <w:left w:type="dxa" w:w="100"/>
              <w:bottom w:type="dxa" w:w="60"/>
              <w:right w:type="dxa" w:w="100"/>
            </w:tcMar>
          </w:tcPr>
          <w:p>
            <w:pPr>
              <w:jc w:val="left"/>
            </w:pPr>
            <w:r>
              <w:rPr>
                <w:b/>
                <w:bCs/>
                <w:i w:val="false"/>
                <w:iCs w:val="false"/>
                <w:sz w:val="19"/>
                <w:szCs w:val="19"/>
              </w:rPr>
              <w:t xml:space="preserve">t</w:t>
            </w:r>
          </w:p>
        </w:tc>
        <w:tc>
          <w:tcPr>
            <w:tcW w:type="dxa" w:w="1306"/>
            <w:shd w:fill="D9D9D9" w:color="auto" w:val="clear"/>
            <w:tcMar>
              <w:top w:type="dxa" w:w="60"/>
              <w:left w:type="dxa" w:w="100"/>
              <w:bottom w:type="dxa" w:w="60"/>
              <w:right w:type="dxa" w:w="100"/>
            </w:tcMar>
          </w:tcPr>
          <w:p>
            <w:pPr>
              <w:jc w:val="left"/>
            </w:pPr>
            <w:r>
              <w:rPr>
                <w:b/>
                <w:bCs/>
                <w:i w:val="false"/>
                <w:iCs w:val="false"/>
                <w:sz w:val="19"/>
                <w:szCs w:val="19"/>
              </w:rPr>
              <w:t xml:space="preserve">p</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Intercept</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6.788</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0.057</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118.83</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&lt;0.001</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t (quarter index)</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0.0156</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0.0020</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7.79</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&lt;0.001</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INE transaction volume index</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−0.0010</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0.0003</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−3.04</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0.002</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FDI real estate (EUR m, quarterly)</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0.00013</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0.00004</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3.02</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0.003</w:t>
            </w:r>
          </w:p>
        </w:tc>
      </w:tr>
    </w:tbl>
    <w:p>
      <w:pPr>
        <w:spacing w:after="160"/>
      </w:pPr>
      <w:r>
        <w:rPr>
          <w:b/>
          <w:bCs/>
        </w:rPr>
        <w:t xml:space="preserve">Spec 3 — district FE + trend + mortgage rate + covariates (restricted sample, n=520):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5"/>
        <w:gridCol w:w="1741"/>
        <w:gridCol w:w="1741"/>
        <w:gridCol w:w="1306"/>
        <w:gridCol w:w="1306"/>
      </w:tblGrid>
      <w:tr>
        <w:trPr>
          <w:tblHeader/>
        </w:trPr>
        <w:tc>
          <w:tcPr>
            <w:tcW w:type="dxa" w:w="3265"/>
            <w:shd w:fill="D9D9D9" w:color="auto" w:val="clear"/>
            <w:tcMar>
              <w:top w:type="dxa" w:w="60"/>
              <w:left w:type="dxa" w:w="100"/>
              <w:bottom w:type="dxa" w:w="60"/>
              <w:right w:type="dxa" w:w="100"/>
            </w:tcMar>
          </w:tcPr>
          <w:p>
            <w:pPr>
              <w:jc w:val="left"/>
            </w:pPr>
            <w:r>
              <w:rPr>
                <w:b/>
                <w:bCs/>
                <w:i w:val="false"/>
                <w:iCs w:val="false"/>
                <w:sz w:val="19"/>
                <w:szCs w:val="19"/>
              </w:rPr>
              <w:t xml:space="preserve">Parameter</w:t>
            </w:r>
          </w:p>
        </w:tc>
        <w:tc>
          <w:tcPr>
            <w:tcW w:type="dxa" w:w="1741"/>
            <w:shd w:fill="D9D9D9" w:color="auto" w:val="clear"/>
            <w:tcMar>
              <w:top w:type="dxa" w:w="60"/>
              <w:left w:type="dxa" w:w="100"/>
              <w:bottom w:type="dxa" w:w="60"/>
              <w:right w:type="dxa" w:w="100"/>
            </w:tcMar>
          </w:tcPr>
          <w:p>
            <w:pPr>
              <w:jc w:val="left"/>
            </w:pPr>
            <w:r>
              <w:rPr>
                <w:b/>
                <w:bCs/>
                <w:i w:val="false"/>
                <w:iCs w:val="false"/>
                <w:sz w:val="19"/>
                <w:szCs w:val="19"/>
              </w:rPr>
              <w:t xml:space="preserve">Coef.</w:t>
            </w:r>
          </w:p>
        </w:tc>
        <w:tc>
          <w:tcPr>
            <w:tcW w:type="dxa" w:w="1741"/>
            <w:shd w:fill="D9D9D9" w:color="auto" w:val="clear"/>
            <w:tcMar>
              <w:top w:type="dxa" w:w="60"/>
              <w:left w:type="dxa" w:w="100"/>
              <w:bottom w:type="dxa" w:w="60"/>
              <w:right w:type="dxa" w:w="100"/>
            </w:tcMar>
          </w:tcPr>
          <w:p>
            <w:pPr>
              <w:jc w:val="left"/>
            </w:pPr>
            <w:r>
              <w:rPr>
                <w:b/>
                <w:bCs/>
                <w:i w:val="false"/>
                <w:iCs w:val="false"/>
                <w:sz w:val="19"/>
                <w:szCs w:val="19"/>
              </w:rPr>
              <w:t xml:space="preserve">Std. Err.</w:t>
            </w:r>
          </w:p>
        </w:tc>
        <w:tc>
          <w:tcPr>
            <w:tcW w:type="dxa" w:w="1306"/>
            <w:shd w:fill="D9D9D9" w:color="auto" w:val="clear"/>
            <w:tcMar>
              <w:top w:type="dxa" w:w="60"/>
              <w:left w:type="dxa" w:w="100"/>
              <w:bottom w:type="dxa" w:w="60"/>
              <w:right w:type="dxa" w:w="100"/>
            </w:tcMar>
          </w:tcPr>
          <w:p>
            <w:pPr>
              <w:jc w:val="left"/>
            </w:pPr>
            <w:r>
              <w:rPr>
                <w:b/>
                <w:bCs/>
                <w:i w:val="false"/>
                <w:iCs w:val="false"/>
                <w:sz w:val="19"/>
                <w:szCs w:val="19"/>
              </w:rPr>
              <w:t xml:space="preserve">t</w:t>
            </w:r>
          </w:p>
        </w:tc>
        <w:tc>
          <w:tcPr>
            <w:tcW w:type="dxa" w:w="1306"/>
            <w:shd w:fill="D9D9D9" w:color="auto" w:val="clear"/>
            <w:tcMar>
              <w:top w:type="dxa" w:w="60"/>
              <w:left w:type="dxa" w:w="100"/>
              <w:bottom w:type="dxa" w:w="60"/>
              <w:right w:type="dxa" w:w="100"/>
            </w:tcMar>
          </w:tcPr>
          <w:p>
            <w:pPr>
              <w:jc w:val="left"/>
            </w:pPr>
            <w:r>
              <w:rPr>
                <w:b/>
                <w:bCs/>
                <w:i w:val="false"/>
                <w:iCs w:val="false"/>
                <w:sz w:val="19"/>
                <w:szCs w:val="19"/>
              </w:rPr>
              <w:t xml:space="preserve">p</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Intercept</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6.530</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0.044</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147.34</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&lt;0.001</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t (quarter index)</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0.0180</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0.0016</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11.49</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&lt;0.001</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Mortgage rate, fixed (%)</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0.0347</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0.0087</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3.98</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&lt;0.001</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INE transaction volume index</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0.00009</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0.00012</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0.76</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0.447</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FDI real estate (EUR m, quarterly)</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−0.000013</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0.000018</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−0.73</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0.467</w:t>
            </w:r>
          </w:p>
        </w:tc>
      </w:tr>
    </w:tbl>
    <w:p>
      <w:pPr>
        <w:spacing w:after="200" w:before="60"/>
      </w:pPr>
      <w:r>
        <w:rPr>
          <w:i/>
          <w:iCs/>
          <w:color w:val="595959"/>
          <w:sz w:val="18"/>
          <w:szCs w:val="18"/>
        </w:rPr>
        <w:t xml:space="preserve">The positive, significant coefficient on the mortgage rate in Spec 3 is counter-intuitive under a causal reading (standard demand theory predicts higher financing cost → lower price) and should not be interpreted causally: 2022–2024 combines a rising-rate environment with continued nominal price growth driven by inflation and constrained supply, so the coefficient is picking up a spurious positive correlation with the common time trend rather than an estimated price elasticity. This is the same identification problem as §3.3 in a milder form — t and mortgage_rate_fixed have VIF 3.41 and 4.27 respectively (Table, §4.3), well below the conventional VIF&gt;10 collinearity threshold but still correlated enough to bias a naive causal reading.</w:t>
      </w:r>
    </w:p>
    <w:p>
      <w:pPr>
        <w:spacing w:after="160"/>
      </w:pPr>
      <w:r>
        <w:rPr>
          <w:b/>
          <w:bCs/>
        </w:rPr>
        <w:t xml:space="preserve">Spec 5 — convergence / robustness, DV = QoQ log price growth, district FE (n=800):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5"/>
        <w:gridCol w:w="1741"/>
        <w:gridCol w:w="1741"/>
        <w:gridCol w:w="1306"/>
        <w:gridCol w:w="1306"/>
      </w:tblGrid>
      <w:tr>
        <w:trPr>
          <w:tblHeader/>
        </w:trPr>
        <w:tc>
          <w:tcPr>
            <w:tcW w:type="dxa" w:w="3265"/>
            <w:shd w:fill="D9D9D9" w:color="auto" w:val="clear"/>
            <w:tcMar>
              <w:top w:type="dxa" w:w="60"/>
              <w:left w:type="dxa" w:w="100"/>
              <w:bottom w:type="dxa" w:w="60"/>
              <w:right w:type="dxa" w:w="100"/>
            </w:tcMar>
          </w:tcPr>
          <w:p>
            <w:pPr>
              <w:jc w:val="left"/>
            </w:pPr>
            <w:r>
              <w:rPr>
                <w:b/>
                <w:bCs/>
                <w:i w:val="false"/>
                <w:iCs w:val="false"/>
                <w:sz w:val="19"/>
                <w:szCs w:val="19"/>
              </w:rPr>
              <w:t xml:space="preserve">Parameter</w:t>
            </w:r>
          </w:p>
        </w:tc>
        <w:tc>
          <w:tcPr>
            <w:tcW w:type="dxa" w:w="1741"/>
            <w:shd w:fill="D9D9D9" w:color="auto" w:val="clear"/>
            <w:tcMar>
              <w:top w:type="dxa" w:w="60"/>
              <w:left w:type="dxa" w:w="100"/>
              <w:bottom w:type="dxa" w:w="60"/>
              <w:right w:type="dxa" w:w="100"/>
            </w:tcMar>
          </w:tcPr>
          <w:p>
            <w:pPr>
              <w:jc w:val="left"/>
            </w:pPr>
            <w:r>
              <w:rPr>
                <w:b/>
                <w:bCs/>
                <w:i w:val="false"/>
                <w:iCs w:val="false"/>
                <w:sz w:val="19"/>
                <w:szCs w:val="19"/>
              </w:rPr>
              <w:t xml:space="preserve">Coef.</w:t>
            </w:r>
          </w:p>
        </w:tc>
        <w:tc>
          <w:tcPr>
            <w:tcW w:type="dxa" w:w="1741"/>
            <w:shd w:fill="D9D9D9" w:color="auto" w:val="clear"/>
            <w:tcMar>
              <w:top w:type="dxa" w:w="60"/>
              <w:left w:type="dxa" w:w="100"/>
              <w:bottom w:type="dxa" w:w="60"/>
              <w:right w:type="dxa" w:w="100"/>
            </w:tcMar>
          </w:tcPr>
          <w:p>
            <w:pPr>
              <w:jc w:val="left"/>
            </w:pPr>
            <w:r>
              <w:rPr>
                <w:b/>
                <w:bCs/>
                <w:i w:val="false"/>
                <w:iCs w:val="false"/>
                <w:sz w:val="19"/>
                <w:szCs w:val="19"/>
              </w:rPr>
              <w:t xml:space="preserve">Std. Err.</w:t>
            </w:r>
          </w:p>
        </w:tc>
        <w:tc>
          <w:tcPr>
            <w:tcW w:type="dxa" w:w="1306"/>
            <w:shd w:fill="D9D9D9" w:color="auto" w:val="clear"/>
            <w:tcMar>
              <w:top w:type="dxa" w:w="60"/>
              <w:left w:type="dxa" w:w="100"/>
              <w:bottom w:type="dxa" w:w="60"/>
              <w:right w:type="dxa" w:w="100"/>
            </w:tcMar>
          </w:tcPr>
          <w:p>
            <w:pPr>
              <w:jc w:val="left"/>
            </w:pPr>
            <w:r>
              <w:rPr>
                <w:b/>
                <w:bCs/>
                <w:i w:val="false"/>
                <w:iCs w:val="false"/>
                <w:sz w:val="19"/>
                <w:szCs w:val="19"/>
              </w:rPr>
              <w:t xml:space="preserve">t</w:t>
            </w:r>
          </w:p>
        </w:tc>
        <w:tc>
          <w:tcPr>
            <w:tcW w:type="dxa" w:w="1306"/>
            <w:shd w:fill="D9D9D9" w:color="auto" w:val="clear"/>
            <w:tcMar>
              <w:top w:type="dxa" w:w="60"/>
              <w:left w:type="dxa" w:w="100"/>
              <w:bottom w:type="dxa" w:w="60"/>
              <w:right w:type="dxa" w:w="100"/>
            </w:tcMar>
          </w:tcPr>
          <w:p>
            <w:pPr>
              <w:jc w:val="left"/>
            </w:pPr>
            <w:r>
              <w:rPr>
                <w:b/>
                <w:bCs/>
                <w:i w:val="false"/>
                <w:iCs w:val="false"/>
                <w:sz w:val="19"/>
                <w:szCs w:val="19"/>
              </w:rPr>
              <w:t xml:space="preserve">p</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Intercept</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0.149</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0.064</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2.33</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0.020</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log(price)ₜ₋₁ (lagged level)</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−0.0245</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0.0093</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−2.63</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0.009</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INE transaction volume index</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0.00014</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0.00004</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3.15</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0.002</w:t>
            </w:r>
          </w:p>
        </w:tc>
      </w:tr>
      <w:tr>
        <w:tc>
          <w:tcPr>
            <w:tcW w:type="dxa" w:w="3265"/>
            <w:tcMar>
              <w:top w:type="dxa" w:w="60"/>
              <w:left w:type="dxa" w:w="100"/>
              <w:bottom w:type="dxa" w:w="60"/>
              <w:right w:type="dxa" w:w="100"/>
            </w:tcMar>
          </w:tcPr>
          <w:p>
            <w:pPr>
              <w:jc w:val="left"/>
            </w:pPr>
            <w:r>
              <w:rPr>
                <w:b w:val="false"/>
                <w:bCs w:val="false"/>
                <w:i w:val="false"/>
                <w:iCs w:val="false"/>
                <w:sz w:val="19"/>
                <w:szCs w:val="19"/>
              </w:rPr>
              <w:t xml:space="preserve">FDI real estate (EUR m, quarterly)</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0.0000288</w:t>
            </w:r>
          </w:p>
        </w:tc>
        <w:tc>
          <w:tcPr>
            <w:tcW w:type="dxa" w:w="1741"/>
            <w:tcMar>
              <w:top w:type="dxa" w:w="60"/>
              <w:left w:type="dxa" w:w="100"/>
              <w:bottom w:type="dxa" w:w="60"/>
              <w:right w:type="dxa" w:w="100"/>
            </w:tcMar>
          </w:tcPr>
          <w:p>
            <w:pPr>
              <w:jc w:val="left"/>
            </w:pPr>
            <w:r>
              <w:rPr>
                <w:b w:val="false"/>
                <w:bCs w:val="false"/>
                <w:i w:val="false"/>
                <w:iCs w:val="false"/>
                <w:sz w:val="19"/>
                <w:szCs w:val="19"/>
              </w:rPr>
              <w:t xml:space="preserve">0.0000075</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3.86</w:t>
            </w:r>
          </w:p>
        </w:tc>
        <w:tc>
          <w:tcPr>
            <w:tcW w:type="dxa" w:w="1306"/>
            <w:tcMar>
              <w:top w:type="dxa" w:w="60"/>
              <w:left w:type="dxa" w:w="100"/>
              <w:bottom w:type="dxa" w:w="60"/>
              <w:right w:type="dxa" w:w="100"/>
            </w:tcMar>
          </w:tcPr>
          <w:p>
            <w:pPr>
              <w:jc w:val="left"/>
            </w:pPr>
            <w:r>
              <w:rPr>
                <w:b w:val="false"/>
                <w:bCs w:val="false"/>
                <w:i w:val="false"/>
                <w:iCs w:val="false"/>
                <w:sz w:val="19"/>
                <w:szCs w:val="19"/>
              </w:rPr>
              <w:t xml:space="preserve">&lt;0.001</w:t>
            </w:r>
          </w:p>
        </w:tc>
      </w:tr>
    </w:tbl>
    <w:p>
      <w:pPr>
        <w:spacing w:after="160"/>
      </w:pPr>
      <w:r>
        <w:t xml:space="preserve">The negative, significant coefficient on the lagged log price level is a standard β-convergence result in housing economics: districts with higher price levels grow more slowly in subsequent quarters (conditional on district FE, i.e. mean reversion around each district's own trend rather than convergence toward a national mean). Both national covariates retain the same sign and remain significant when the DV is expressed in growth terms, for the same reason they were significant in Spec 2 — they are proxying for the common time trend, not for district-specific price dynamics.</w:t>
      </w:r>
    </w:p>
    <w:p>
      <w:pPr>
        <w:pStyle w:val="Heading2"/>
        <w:spacing w:after="140" w:before="280"/>
      </w:pPr>
      <w:r>
        <w:t xml:space="preserve">4.3 Diagnostics</w:t>
      </w:r>
    </w:p>
    <w:p>
      <w:pPr>
        <w:spacing w:after="80" w:before="12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after="240"/>
        <w:jc w:val="center"/>
      </w:pPr>
      <w:r>
        <w:rPr>
          <w:i/>
          <w:iCs/>
          <w:color w:val="595959"/>
          <w:sz w:val="18"/>
          <w:szCs w:val="18"/>
        </w:rPr>
        <w:t xml:space="preserve">Figure 2. Residual histogram and normal Q-Q plot, Spec 1 (two-way FE decomposition).</w:t>
      </w:r>
    </w:p>
    <w:p>
      <w:pPr>
        <w:spacing w:after="160"/>
      </w:pPr>
      <w:r>
        <w:t xml:space="preserve">Residuals from the baseline TWFE decomposition (Spec 1) are approximately centered and roughly symmetric but show a heavier left tail than a normal distribution (Q-Q plot, Figure 2) — a small number of district-quarter cells fall well below what district- and time-average pricing would predict, most plausibly the 2020 COVID-onset quarters and a handful of small, thin-market districts where a few listings can move the quarterly mean sharply. Variance inflation factors for Spec 3's covariates are all below the conventional threshold of 10 (max VIF 6.17, FDI real estate; Table below), so multicollinearity is not a first-order concern for the coefficients reported in §4.2, though the FDI/trend correlation flagged in the note above is a substantive concern distinct from mechanical VIF.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D9D9D9" w:color="auto" w:val="clear"/>
            <w:tcMar>
              <w:top w:type="dxa" w:w="60"/>
              <w:left w:type="dxa" w:w="100"/>
              <w:bottom w:type="dxa" w:w="60"/>
              <w:right w:type="dxa" w:w="100"/>
            </w:tcMar>
          </w:tcPr>
          <w:p>
            <w:pPr>
              <w:jc w:val="left"/>
            </w:pPr>
            <w:r>
              <w:rPr>
                <w:b/>
                <w:bCs/>
                <w:i w:val="false"/>
                <w:iCs w:val="false"/>
                <w:sz w:val="19"/>
                <w:szCs w:val="19"/>
              </w:rPr>
              <w:t xml:space="preserve">Variable</w:t>
            </w:r>
          </w:p>
        </w:tc>
        <w:tc>
          <w:tcPr>
            <w:tcW w:type="dxa" w:w="3744"/>
            <w:shd w:fill="D9D9D9" w:color="auto" w:val="clear"/>
            <w:tcMar>
              <w:top w:type="dxa" w:w="60"/>
              <w:left w:type="dxa" w:w="100"/>
              <w:bottom w:type="dxa" w:w="60"/>
              <w:right w:type="dxa" w:w="100"/>
            </w:tcMar>
          </w:tcPr>
          <w:p>
            <w:pPr>
              <w:jc w:val="left"/>
            </w:pPr>
            <w:r>
              <w:rPr>
                <w:b/>
                <w:bCs/>
                <w:i w:val="false"/>
                <w:iCs w:val="false"/>
                <w:sz w:val="19"/>
                <w:szCs w:val="19"/>
              </w:rPr>
              <w:t xml:space="preserve">VIF</w:t>
            </w:r>
          </w:p>
        </w:tc>
      </w:tr>
      <w:tr>
        <w:tc>
          <w:tcPr>
            <w:tcW w:type="dxa" w:w="5616"/>
            <w:tcMar>
              <w:top w:type="dxa" w:w="60"/>
              <w:left w:type="dxa" w:w="100"/>
              <w:bottom w:type="dxa" w:w="60"/>
              <w:right w:type="dxa" w:w="100"/>
            </w:tcMar>
          </w:tcPr>
          <w:p>
            <w:pPr>
              <w:jc w:val="left"/>
            </w:pPr>
            <w:r>
              <w:rPr>
                <w:b w:val="false"/>
                <w:bCs w:val="false"/>
                <w:i w:val="false"/>
                <w:iCs w:val="false"/>
                <w:sz w:val="19"/>
                <w:szCs w:val="19"/>
              </w:rPr>
              <w:t xml:space="preserve">const</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203.0 (uninformative for intercept)</w:t>
            </w:r>
          </w:p>
        </w:tc>
      </w:tr>
      <w:tr>
        <w:tc>
          <w:tcPr>
            <w:tcW w:type="dxa" w:w="5616"/>
            <w:tcMar>
              <w:top w:type="dxa" w:w="60"/>
              <w:left w:type="dxa" w:w="100"/>
              <w:bottom w:type="dxa" w:w="60"/>
              <w:right w:type="dxa" w:w="100"/>
            </w:tcMar>
          </w:tcPr>
          <w:p>
            <w:pPr>
              <w:jc w:val="left"/>
            </w:pPr>
            <w:r>
              <w:rPr>
                <w:b w:val="false"/>
                <w:bCs w:val="false"/>
                <w:i w:val="false"/>
                <w:iCs w:val="false"/>
                <w:sz w:val="19"/>
                <w:szCs w:val="19"/>
              </w:rPr>
              <w:t xml:space="preserve">t (quarter index)</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3.41</w:t>
            </w:r>
          </w:p>
        </w:tc>
      </w:tr>
      <w:tr>
        <w:tc>
          <w:tcPr>
            <w:tcW w:type="dxa" w:w="5616"/>
            <w:tcMar>
              <w:top w:type="dxa" w:w="60"/>
              <w:left w:type="dxa" w:w="100"/>
              <w:bottom w:type="dxa" w:w="60"/>
              <w:right w:type="dxa" w:w="100"/>
            </w:tcMar>
          </w:tcPr>
          <w:p>
            <w:pPr>
              <w:jc w:val="left"/>
            </w:pPr>
            <w:r>
              <w:rPr>
                <w:b w:val="false"/>
                <w:bCs w:val="false"/>
                <w:i w:val="false"/>
                <w:iCs w:val="false"/>
                <w:sz w:val="19"/>
                <w:szCs w:val="19"/>
              </w:rPr>
              <w:t xml:space="preserve">Mortgage rate, fixed</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4.27</w:t>
            </w:r>
          </w:p>
        </w:tc>
      </w:tr>
      <w:tr>
        <w:tc>
          <w:tcPr>
            <w:tcW w:type="dxa" w:w="5616"/>
            <w:tcMar>
              <w:top w:type="dxa" w:w="60"/>
              <w:left w:type="dxa" w:w="100"/>
              <w:bottom w:type="dxa" w:w="60"/>
              <w:right w:type="dxa" w:w="100"/>
            </w:tcMar>
          </w:tcPr>
          <w:p>
            <w:pPr>
              <w:jc w:val="left"/>
            </w:pPr>
            <w:r>
              <w:rPr>
                <w:b w:val="false"/>
                <w:bCs w:val="false"/>
                <w:i w:val="false"/>
                <w:iCs w:val="false"/>
                <w:sz w:val="19"/>
                <w:szCs w:val="19"/>
              </w:rPr>
              <w:t xml:space="preserve">INE transaction volume index</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1.84</w:t>
            </w:r>
          </w:p>
        </w:tc>
      </w:tr>
      <w:tr>
        <w:tc>
          <w:tcPr>
            <w:tcW w:type="dxa" w:w="5616"/>
            <w:tcMar>
              <w:top w:type="dxa" w:w="60"/>
              <w:left w:type="dxa" w:w="100"/>
              <w:bottom w:type="dxa" w:w="60"/>
              <w:right w:type="dxa" w:w="100"/>
            </w:tcMar>
          </w:tcPr>
          <w:p>
            <w:pPr>
              <w:jc w:val="left"/>
            </w:pPr>
            <w:r>
              <w:rPr>
                <w:b w:val="false"/>
                <w:bCs w:val="false"/>
                <w:i w:val="false"/>
                <w:iCs w:val="false"/>
                <w:sz w:val="19"/>
                <w:szCs w:val="19"/>
              </w:rPr>
              <w:t xml:space="preserve">FDI real estate transactions</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6.17</w:t>
            </w:r>
          </w:p>
        </w:tc>
      </w:tr>
    </w:tbl>
    <w:p>
      <w:pPr>
        <w:pStyle w:val="Heading1"/>
        <w:spacing w:after="140" w:before="280"/>
      </w:pPr>
      <w:r>
        <w:t xml:space="preserve">5. Reproducibility</w:t>
      </w:r>
    </w:p>
    <w:p>
      <w:pPr>
        <w:spacing w:after="160"/>
      </w:pPr>
      <w:r>
        <w:t xml:space="preserve">All results in this document are produced by scripts/baseline_model.py, a single pipeline that (1) rebuilds the district × quarter panel from the three raw sources in data/, (2) fits all seven specifications, and (3) writes the comparison table and per-spec coefficient tables to outputs/. Re-running it end to end reproduces every number in §4 exactly; no manual steps are required between data and results, consistent with the Field Lab's “replicable ML pipeline documentation” deliverable.</w:t>
      </w:r>
    </w:p>
    <w:p>
      <w:pPr>
        <w:pStyle w:val="Heading1"/>
        <w:spacing w:after="140" w:before="280"/>
      </w:pPr>
      <w:r>
        <w:t xml:space="preserve">6. Limitations and next steps for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shd w:fill="D9D9D9" w:color="auto" w:val="clear"/>
            <w:tcMar>
              <w:top w:type="dxa" w:w="60"/>
              <w:left w:type="dxa" w:w="100"/>
              <w:bottom w:type="dxa" w:w="60"/>
              <w:right w:type="dxa" w:w="100"/>
            </w:tcMar>
          </w:tcPr>
          <w:p>
            <w:pPr>
              <w:jc w:val="left"/>
            </w:pPr>
            <w:r>
              <w:rPr>
                <w:b/>
                <w:bCs/>
                <w:i w:val="false"/>
                <w:iCs w:val="false"/>
                <w:sz w:val="19"/>
                <w:szCs w:val="19"/>
              </w:rPr>
              <w:t xml:space="preserve">Gap</w:t>
            </w:r>
          </w:p>
        </w:tc>
        <w:tc>
          <w:tcPr>
            <w:tcW w:type="dxa" w:w="3744"/>
            <w:shd w:fill="D9D9D9" w:color="auto" w:val="clear"/>
            <w:tcMar>
              <w:top w:type="dxa" w:w="60"/>
              <w:left w:type="dxa" w:w="100"/>
              <w:bottom w:type="dxa" w:w="60"/>
              <w:right w:type="dxa" w:w="100"/>
            </w:tcMar>
          </w:tcPr>
          <w:p>
            <w:pPr>
              <w:jc w:val="left"/>
            </w:pPr>
            <w:r>
              <w:rPr>
                <w:b/>
                <w:bCs/>
                <w:i w:val="false"/>
                <w:iCs w:val="false"/>
                <w:sz w:val="19"/>
                <w:szCs w:val="19"/>
              </w:rPr>
              <w:t xml:space="preserve">Why it matters</w:t>
            </w:r>
          </w:p>
        </w:tc>
        <w:tc>
          <w:tcPr>
            <w:tcW w:type="dxa" w:w="3744"/>
            <w:shd w:fill="D9D9D9" w:color="auto" w:val="clear"/>
            <w:tcMar>
              <w:top w:type="dxa" w:w="60"/>
              <w:left w:type="dxa" w:w="100"/>
              <w:bottom w:type="dxa" w:w="60"/>
              <w:right w:type="dxa" w:w="100"/>
            </w:tcMar>
          </w:tcPr>
          <w:p>
            <w:pPr>
              <w:jc w:val="left"/>
            </w:pPr>
            <w:r>
              <w:rPr>
                <w:b/>
                <w:bCs/>
                <w:i w:val="false"/>
                <w:iCs w:val="false"/>
                <w:sz w:val="19"/>
                <w:szCs w:val="19"/>
              </w:rPr>
              <w:t xml:space="preserve">Suggested source / owner</w:t>
            </w:r>
          </w:p>
        </w:tc>
      </w:tr>
      <w:tr>
        <w:tc>
          <w:tcPr>
            <w:tcW w:type="dxa" w:w="1872"/>
            <w:tcMar>
              <w:top w:type="dxa" w:w="60"/>
              <w:left w:type="dxa" w:w="100"/>
              <w:bottom w:type="dxa" w:w="60"/>
              <w:right w:type="dxa" w:w="100"/>
            </w:tcMar>
          </w:tcPr>
          <w:p>
            <w:pPr>
              <w:jc w:val="left"/>
            </w:pPr>
            <w:r>
              <w:rPr>
                <w:b w:val="false"/>
                <w:bCs w:val="false"/>
                <w:i w:val="false"/>
                <w:iCs w:val="false"/>
                <w:sz w:val="19"/>
                <w:szCs w:val="19"/>
              </w:rPr>
              <w:t xml:space="preserve">Freguesia, not district, resolution</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The group's own baseline spec requires freguesia × quarter for entity FE fine enough to support the immigration/infrastructure/supply subtopics, which vary within a district</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INE “Preços da Habitação ao Nível Local” (already in the project's own source table, not yet pulled)</w:t>
            </w:r>
          </w:p>
        </w:tc>
      </w:tr>
      <w:tr>
        <w:tc>
          <w:tcPr>
            <w:tcW w:type="dxa" w:w="1872"/>
            <w:tcMar>
              <w:top w:type="dxa" w:w="60"/>
              <w:left w:type="dxa" w:w="100"/>
              <w:bottom w:type="dxa" w:w="60"/>
              <w:right w:type="dxa" w:w="100"/>
            </w:tcMar>
          </w:tcPr>
          <w:p>
            <w:pPr>
              <w:jc w:val="left"/>
            </w:pPr>
            <w:r>
              <w:rPr>
                <w:b w:val="false"/>
                <w:bCs w:val="false"/>
                <w:i w:val="false"/>
                <w:iCs w:val="false"/>
                <w:sz w:val="19"/>
                <w:szCs w:val="19"/>
              </w:rPr>
              <w:t xml:space="preserve">No district-varying controls or IVs</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Every macro series located so far is national — mechanically unidentifiable inside quarter FE (§3.3); this is the binding constraint on the whole baseline, not a cosmetic gap</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District/concelho population &amp; unemployment (INE), AIMA migration by concelho, construction permits by concelho — aggregate up to district</w:t>
            </w:r>
          </w:p>
        </w:tc>
      </w:tr>
      <w:tr>
        <w:tc>
          <w:tcPr>
            <w:tcW w:type="dxa" w:w="1872"/>
            <w:tcMar>
              <w:top w:type="dxa" w:w="60"/>
              <w:left w:type="dxa" w:w="100"/>
              <w:bottom w:type="dxa" w:w="60"/>
              <w:right w:type="dxa" w:w="100"/>
            </w:tcMar>
          </w:tcPr>
          <w:p>
            <w:pPr>
              <w:jc w:val="left"/>
            </w:pPr>
            <w:r>
              <w:rPr>
                <w:b w:val="false"/>
                <w:bCs w:val="false"/>
                <w:i w:val="false"/>
                <w:iCs w:val="false"/>
                <w:sz w:val="19"/>
                <w:szCs w:val="19"/>
              </w:rPr>
              <w:t xml:space="preserve">Mortgage-rate series truncated to 2018M12–</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37% of the panel (2015Q1–2018Q3) has no mortgage-rate observation; Spec 3 drops to n=520</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BdP domain 21 may have a longer-running average lending-rate series; confirm coverage before the group standardizes on one rate series</w:t>
            </w:r>
          </w:p>
        </w:tc>
      </w:tr>
      <w:tr>
        <w:tc>
          <w:tcPr>
            <w:tcW w:type="dxa" w:w="1872"/>
            <w:tcMar>
              <w:top w:type="dxa" w:w="60"/>
              <w:left w:type="dxa" w:w="100"/>
              <w:bottom w:type="dxa" w:w="60"/>
              <w:right w:type="dxa" w:w="100"/>
            </w:tcMar>
          </w:tcPr>
          <w:p>
            <w:pPr>
              <w:jc w:val="left"/>
            </w:pPr>
            <w:r>
              <w:rPr>
                <w:b w:val="false"/>
                <w:bCs w:val="false"/>
                <w:i w:val="false"/>
                <w:iCs w:val="false"/>
                <w:sz w:val="19"/>
                <w:szCs w:val="19"/>
              </w:rPr>
              <w:t xml:space="preserve">Construction cost index not retrieved</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Listed in the baseline's control set; not sourced in this pass after two search attempts (INE page not resolvable to a stable download link in this session)</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INE Índice de custo de construção de habitação nova (base 2021) — confirm exact table code on ine.pt Base de Dados</w:t>
            </w:r>
          </w:p>
        </w:tc>
      </w:tr>
      <w:tr>
        <w:tc>
          <w:tcPr>
            <w:tcW w:type="dxa" w:w="1872"/>
            <w:tcMar>
              <w:top w:type="dxa" w:w="60"/>
              <w:left w:type="dxa" w:w="100"/>
              <w:bottom w:type="dxa" w:w="60"/>
              <w:right w:type="dxa" w:w="100"/>
            </w:tcMar>
          </w:tcPr>
          <w:p>
            <w:pPr>
              <w:jc w:val="left"/>
            </w:pPr>
            <w:r>
              <w:rPr>
                <w:b w:val="false"/>
                <w:bCs w:val="false"/>
                <w:i w:val="false"/>
                <w:iCs w:val="false"/>
                <w:sz w:val="19"/>
                <w:szCs w:val="19"/>
              </w:rPr>
              <w:t xml:space="preserve">Idealista price is an asking price, not a transacted price</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Standard idealista/data limitation; INE transaction-value data (already merged as a national control) is the transacted-price cross-check but only at national granularity</w:t>
            </w:r>
          </w:p>
        </w:tc>
        <w:tc>
          <w:tcPr>
            <w:tcW w:type="dxa" w:w="3744"/>
            <w:tcMar>
              <w:top w:type="dxa" w:w="60"/>
              <w:left w:type="dxa" w:w="100"/>
              <w:bottom w:type="dxa" w:w="60"/>
              <w:right w:type="dxa" w:w="100"/>
            </w:tcMar>
          </w:tcPr>
          <w:p>
            <w:pPr>
              <w:jc w:val="left"/>
            </w:pPr>
            <w:r>
              <w:rPr>
                <w:b w:val="false"/>
                <w:bCs w:val="false"/>
                <w:i w:val="false"/>
                <w:iCs w:val="false"/>
                <w:sz w:val="19"/>
                <w:szCs w:val="19"/>
              </w:rPr>
              <w:t xml:space="preserve">Land-registry transaction microdata, if the group secures access (see project context “Confidencial Imobiliário” row, unconfirmed)</w:t>
            </w:r>
          </w:p>
        </w:tc>
      </w:tr>
    </w:tbl>
    <w:p>
      <w:pPr>
        <w:spacing w:after="160"/>
      </w:pPr>
      <w:r>
        <w:t xml:space="preserve">None of these gaps invalidate the baseline as a benchmark for model comparison in §6.1 — Spec 1's R²/RMSE are valid, reproducible numbers against which the group's ML and causal models can be judged. They do mean the baseline, as currently estimable, decomposes price into “which district” and “which quarter” rather than testing the substantive IVs (immigration, FDI, infrastructure, supply) the thesis is about — that test requires either freguesia-level data or a subtopic-specific identification strategy (DML/Bartik) that does not rely on cross-sectional variation in a national aggregate, exactly the direction §5/§6.3 already takes for foreign investment.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aeeaafb0c32c1a223b91b6d7f414b011aa912d8.png"/><Relationship Id="rId9" Type="http://schemas.openxmlformats.org/officeDocument/2006/relationships/image" Target="media/8ca3039fe926eaa8ddc8aa442e8f3655538161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2026-08-14T14:34:37.714Z</dcterms:created>
  <dcterms:modified xsi:type="dcterms:W3CDTF">2026-08-14T14:34:37.738Z</dcterms:modified>
</cp:coreProperties>
</file>

<file path=docProps/custom.xml><?xml version="1.0" encoding="utf-8"?>
<Properties xmlns="http://schemas.openxmlformats.org/officeDocument/2006/custom-properties" xmlns:vt="http://schemas.openxmlformats.org/officeDocument/2006/docPropsVTypes"/>
</file>