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Two-Week Action Plan</w:t>
      </w:r>
    </w:p>
    <w:p>
      <w:pPr>
        <w:spacing w:after="300"/>
        <w:jc w:val="center"/>
      </w:pPr>
      <w:r>
        <w:rPr>
          <w:i/>
          <w:iCs/>
          <w:color w:val="595959"/>
          <w:sz w:val="20"/>
          <w:szCs w:val="20"/>
        </w:rPr>
        <w:t xml:space="preserve">Foreign Investment section — Lisbon Housing Field Lab, Nova SBE — Sept 6–20, 2026</w:t>
      </w:r>
    </w:p>
    <w:p>
      <w:pPr>
        <w:spacing w:after="160"/>
      </w:pPr>
      <w:r>
        <w:rPr>
          <w:sz w:val="20"/>
          <w:szCs w:val="20"/>
        </w:rPr>
        <w:t xml:space="preserve">This covers your individual deliverable (§2.3, §3, §4.2.2, §5/6.3 — foreign investment) and what still needs to happen on the shared baseline. Built from the Field Lab brief, thesis_project_context.md, and a past Work Project from your program used as a structural example.</w:t>
      </w:r>
    </w:p>
    <w:p>
      <w:pPr>
        <w:pStyle w:val="Heading1"/>
        <w:spacing w:after="140" w:before="320"/>
      </w:pPr>
      <w:r>
        <w:t xml:space="preserve">1. Where things stand — baseline model (shared)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1123"/>
        <w:gridCol w:w="5803"/>
      </w:tblGrid>
      <w:tr>
        <w:trPr>
          <w:tblHeader/>
        </w:trPr>
        <w:tc>
          <w:tcPr>
            <w:tcW w:type="dxa" w:w="2434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1123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5803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TWFE pipeline (7 specs)</w:t>
            </w:r>
          </w:p>
        </w:tc>
        <w:tc>
          <w:tcPr>
            <w:tcW w:type="dxa" w:w="1123"/>
            <w:shd w:fill="E3F5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F7A4C"/>
                <w:sz w:val="18"/>
                <w:szCs w:val="18"/>
              </w:rPr>
              <w:t xml:space="preserve">HAVE</w:t>
            </w:r>
          </w:p>
        </w:tc>
        <w:tc>
          <w:tcPr>
            <w:tcW w:type="dxa" w:w="58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run_baseline.py, R² = 0.927, fully reproducible via setup.sh + one command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Merged data file</w:t>
            </w:r>
          </w:p>
        </w:tc>
        <w:tc>
          <w:tcPr>
            <w:tcW w:type="dxa" w:w="1123"/>
            <w:shd w:fill="E3F5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F7A4C"/>
                <w:sz w:val="18"/>
                <w:szCs w:val="18"/>
              </w:rPr>
              <w:t xml:space="preserve">HAVE</w:t>
            </w:r>
          </w:p>
        </w:tc>
        <w:tc>
          <w:tcPr>
            <w:tcW w:type="dxa" w:w="58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district_quarter_full_dataset.csv — price, transactions, mortgage rate, FDI, unemployment, construction costs, population all in one table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Pipeline re-run on merged data</w:t>
            </w:r>
          </w:p>
        </w:tc>
        <w:tc>
          <w:tcPr>
            <w:tcW w:type="dxa" w:w="1123"/>
            <w:shd w:fill="FD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B8471C"/>
                <w:sz w:val="18"/>
                <w:szCs w:val="18"/>
              </w:rPr>
              <w:t xml:space="preserve">NEED</w:t>
            </w:r>
          </w:p>
        </w:tc>
        <w:tc>
          <w:tcPr>
            <w:tcW w:type="dxa" w:w="58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Old results still reflect the version without unemployment/construction costs/population. Quick to do — say the word.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Unit of analysis</w:t>
            </w:r>
          </w:p>
        </w:tc>
        <w:tc>
          <w:tcPr>
            <w:tcW w:type="dxa" w:w="1123"/>
            <w:shd w:fill="FDF3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9A7B0A"/>
                <w:sz w:val="18"/>
                <w:szCs w:val="18"/>
              </w:rPr>
              <w:t xml:space="preserve">PARTIAL</w:t>
            </w:r>
          </w:p>
        </w:tc>
        <w:tc>
          <w:tcPr>
            <w:tcW w:type="dxa" w:w="58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Spec calls for freguesia × quarter; what's built is district × quarter (freguesia data isn't available as a time series — see §5 below). Needs to be stated explicitly as a scoping decision in §3.4/§6.1, not left implicit.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Immigration inflow variable</w:t>
            </w:r>
          </w:p>
        </w:tc>
        <w:tc>
          <w:tcPr>
            <w:tcW w:type="dxa" w:w="1123"/>
            <w:shd w:fill="FD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B8471C"/>
                <w:sz w:val="18"/>
                <w:szCs w:val="18"/>
              </w:rPr>
              <w:t xml:space="preserve">NEED</w:t>
            </w:r>
          </w:p>
        </w:tc>
        <w:tc>
          <w:tcPr>
            <w:tcW w:type="dxa" w:w="58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Teammate's subtopic — confirm status with them this week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Infrastructure investment proxy</w:t>
            </w:r>
          </w:p>
        </w:tc>
        <w:tc>
          <w:tcPr>
            <w:tcW w:type="dxa" w:w="1123"/>
            <w:shd w:fill="FD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B8471C"/>
                <w:sz w:val="18"/>
                <w:szCs w:val="18"/>
              </w:rPr>
              <w:t xml:space="preserve">NEED</w:t>
            </w:r>
          </w:p>
        </w:tc>
        <w:tc>
          <w:tcPr>
            <w:tcW w:type="dxa" w:w="58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Teammate's subtopic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Supply-constraint proxy</w:t>
            </w:r>
          </w:p>
        </w:tc>
        <w:tc>
          <w:tcPr>
            <w:tcW w:type="dxa" w:w="1123"/>
            <w:shd w:fill="FD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B8471C"/>
                <w:sz w:val="18"/>
                <w:szCs w:val="18"/>
              </w:rPr>
              <w:t xml:space="preserve">NEED</w:t>
            </w:r>
          </w:p>
        </w:tc>
        <w:tc>
          <w:tcPr>
            <w:tcW w:type="dxa" w:w="58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Teammate's subtopic</w:t>
            </w:r>
          </w:p>
        </w:tc>
      </w:tr>
    </w:tbl>
    <w:p>
      <w:pPr>
        <w:pStyle w:val="Heading1"/>
        <w:spacing w:after="140" w:before="320"/>
      </w:pPr>
      <w:r>
        <w:t xml:space="preserve">2. Where things stand — your part (foreign investment)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1123"/>
        <w:gridCol w:w="5803"/>
      </w:tblGrid>
      <w:tr>
        <w:trPr>
          <w:tblHeader/>
        </w:trPr>
        <w:tc>
          <w:tcPr>
            <w:tcW w:type="dxa" w:w="2434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1123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5803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FDI series (BdP)</w:t>
            </w:r>
          </w:p>
        </w:tc>
        <w:tc>
          <w:tcPr>
            <w:tcW w:type="dxa" w:w="1123"/>
            <w:shd w:fill="E3F5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F7A4C"/>
                <w:sz w:val="18"/>
                <w:szCs w:val="18"/>
              </w:rPr>
              <w:t xml:space="preserve">HAVE</w:t>
            </w:r>
          </w:p>
        </w:tc>
        <w:tc>
          <w:tcPr>
            <w:tcW w:type="dxa" w:w="58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Transactions, stock, total — full history 2008–2026, quarterly, national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Golden Visa historical data</w:t>
            </w:r>
          </w:p>
        </w:tc>
        <w:tc>
          <w:tcPr>
            <w:tcW w:type="dxa" w:w="1123"/>
            <w:shd w:fill="E3F5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F7A4C"/>
                <w:sz w:val="18"/>
                <w:szCs w:val="18"/>
              </w:rPr>
              <w:t xml:space="preserve">HAVE</w:t>
            </w:r>
          </w:p>
        </w:tc>
        <w:tc>
          <w:tcPr>
            <w:tcW w:type="dxa" w:w="58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2012–2024, approvals/routes/investment/nationality, primary vs. secondary years flagged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Lisbon freguesia prices (INE, primary)</w:t>
            </w:r>
          </w:p>
        </w:tc>
        <w:tc>
          <w:tcPr>
            <w:tcW w:type="dxa" w:w="1123"/>
            <w:shd w:fill="FDF3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9A7B0A"/>
                <w:sz w:val="18"/>
                <w:szCs w:val="18"/>
              </w:rPr>
              <w:t xml:space="preserve">PARTIAL</w:t>
            </w:r>
          </w:p>
        </w:tc>
        <w:tc>
          <w:tcPr>
            <w:tcW w:type="dxa" w:w="58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Q1 2025 official INE release — 15 of 24 freguesias with exact €/m² figures, in the PDF already in your folder (16PreçosHabLocal_1T2025). One real snapshot, not a time series.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Lisbon freguesia prices (secondary)</w:t>
            </w:r>
          </w:p>
        </w:tc>
        <w:tc>
          <w:tcPr>
            <w:tcW w:type="dxa" w:w="1123"/>
            <w:shd w:fill="FDF3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9A7B0A"/>
                <w:sz w:val="18"/>
                <w:szCs w:val="18"/>
              </w:rPr>
              <w:t xml:space="preserve">PARTIAL</w:t>
            </w:r>
          </w:p>
        </w:tc>
        <w:tc>
          <w:tcPr>
            <w:tcW w:type="dxa" w:w="58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Q1 2026, all 24 freguesias, third-party compilation of INE data — cite as secondary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Foreign buyer price gap (tax residence)</w:t>
            </w:r>
          </w:p>
        </w:tc>
        <w:tc>
          <w:tcPr>
            <w:tcW w:type="dxa" w:w="1123"/>
            <w:shd w:fill="FDF3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9A7B0A"/>
                <w:sz w:val="18"/>
                <w:szCs w:val="18"/>
              </w:rPr>
              <w:t xml:space="preserve">PARTIAL</w:t>
            </w:r>
          </w:p>
        </w:tc>
        <w:tc>
          <w:tcPr>
            <w:tcW w:type="dxa" w:w="58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Same INE PDF: Grande Lisboa transactions by foreign vs. domestic tax residence buyers, with a real €/m² gap — this is the exact 'buyer by tax residence' variable your context doc flagged as unsourced. Only at Grande Lisboa/sub-region level, not freguesia.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Geographic unit for the causal model</w:t>
            </w:r>
          </w:p>
        </w:tc>
        <w:tc>
          <w:tcPr>
            <w:tcW w:type="dxa" w:w="1123"/>
            <w:shd w:fill="FD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B8471C"/>
                <w:sz w:val="18"/>
                <w:szCs w:val="18"/>
              </w:rPr>
              <w:t xml:space="preserve">NEED</w:t>
            </w:r>
          </w:p>
        </w:tc>
        <w:tc>
          <w:tcPr>
            <w:tcW w:type="dxa" w:w="58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Undecided: freguesia (data too thin for a real panel) vs. city-level comparison (Lisboa vs. Porto vs. 5 others, real quarterly data 2016–2021). Gates everything below — decide first.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Airbnb / tourism density</w:t>
            </w:r>
          </w:p>
        </w:tc>
        <w:tc>
          <w:tcPr>
            <w:tcW w:type="dxa" w:w="1123"/>
            <w:shd w:fill="FD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B8471C"/>
                <w:sz w:val="18"/>
                <w:szCs w:val="18"/>
              </w:rPr>
              <w:t xml:space="preserve">NEED</w:t>
            </w:r>
          </w:p>
        </w:tc>
        <w:tc>
          <w:tcPr>
            <w:tcW w:type="dxa" w:w="58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Source identified (Inside Airbnb, Lisbon) — not downloaded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Local-exposure (Bartik) construction</w:t>
            </w:r>
          </w:p>
        </w:tc>
        <w:tc>
          <w:tcPr>
            <w:tcW w:type="dxa" w:w="1123"/>
            <w:shd w:fill="FD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B8471C"/>
                <w:sz w:val="18"/>
                <w:szCs w:val="18"/>
              </w:rPr>
              <w:t xml:space="preserve">NEED</w:t>
            </w:r>
          </w:p>
        </w:tc>
        <w:tc>
          <w:tcPr>
            <w:tcW w:type="dxa" w:w="58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Converts the national FDI series into something that varies geographically — depends on the unit decision above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Heterogeneity covariates</w:t>
            </w:r>
          </w:p>
        </w:tc>
        <w:tc>
          <w:tcPr>
            <w:tcW w:type="dxa" w:w="1123"/>
            <w:shd w:fill="FD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B8471C"/>
                <w:sz w:val="18"/>
                <w:szCs w:val="18"/>
              </w:rPr>
              <w:t xml:space="preserve">NEED</w:t>
            </w:r>
          </w:p>
        </w:tc>
        <w:tc>
          <w:tcPr>
            <w:tcW w:type="dxa" w:w="58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Distance to center, foreign-population share, housing stock age — none sourced yet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Confidencial Imobiliário access</w:t>
            </w:r>
          </w:p>
        </w:tc>
        <w:tc>
          <w:tcPr>
            <w:tcW w:type="dxa" w:w="1123"/>
            <w:shd w:fill="FD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B8471C"/>
                <w:sz w:val="18"/>
                <w:szCs w:val="18"/>
              </w:rPr>
              <w:t xml:space="preserve">NEED</w:t>
            </w:r>
          </w:p>
        </w:tc>
        <w:tc>
          <w:tcPr>
            <w:tcW w:type="dxa" w:w="58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Richest freguesia-level data — pending advisor/NOVA IMS protocol, don't wait on it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DML + Causal Forest code</w:t>
            </w:r>
          </w:p>
        </w:tc>
        <w:tc>
          <w:tcPr>
            <w:tcW w:type="dxa" w:w="1123"/>
            <w:shd w:fill="FD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B8471C"/>
                <w:sz w:val="18"/>
                <w:szCs w:val="18"/>
              </w:rPr>
              <w:t xml:space="preserve">NEED</w:t>
            </w:r>
          </w:p>
        </w:tc>
        <w:tc>
          <w:tcPr>
            <w:tcW w:type="dxa" w:w="58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started — baseline TWFE is built, the causal model isn't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Literature review (§2.3)</w:t>
            </w:r>
          </w:p>
        </w:tc>
        <w:tc>
          <w:tcPr>
            <w:tcW w:type="dxa" w:w="1123"/>
            <w:shd w:fill="FD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B8471C"/>
                <w:sz w:val="18"/>
                <w:szCs w:val="18"/>
              </w:rPr>
              <w:t xml:space="preserve">NEED</w:t>
            </w:r>
          </w:p>
        </w:tc>
        <w:tc>
          <w:tcPr>
            <w:tcW w:type="dxa" w:w="58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Source list and target journals identified; no reading/writing done yet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25 pages</w:t>
            </w:r>
          </w:p>
        </w:tc>
        <w:tc>
          <w:tcPr>
            <w:tcW w:type="dxa" w:w="1123"/>
            <w:shd w:fill="FD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B8471C"/>
                <w:sz w:val="18"/>
                <w:szCs w:val="18"/>
              </w:rPr>
              <w:t xml:space="preserve">NEED</w:t>
            </w:r>
          </w:p>
        </w:tc>
        <w:tc>
          <w:tcPr>
            <w:tcW w:type="dxa" w:w="58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started</w:t>
            </w:r>
          </w:p>
        </w:tc>
      </w:tr>
    </w:tbl>
    <w:p>
      <w:pPr>
        <w:pStyle w:val="Heading1"/>
        <w:spacing w:after="140" w:before="320"/>
      </w:pPr>
      <w:r>
        <w:t xml:space="preserve">3. What the guidelines actually require</w:t>
      </w:r>
    </w:p>
    <w:p>
      <w:pPr>
        <w:spacing w:after="160"/>
      </w:pPr>
      <w:r>
        <w:rPr>
          <w:sz w:val="20"/>
          <w:szCs w:val="20"/>
        </w:rPr>
        <w:t xml:space="preserve">From the Field Lab brief and the one full example Work Project available (a completed Nova SBE Business Analytics thesis, different topic, used here only for structure/format):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Deliverables: final academic thesis report, replicable ML pipeline documentation, and (optional, worth including) a dashboard tab.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Individual work: “Causal ML implementation (DML / Causal Forests)” is explicitly one of the four individual roles — that's your role, matched to your subtopic.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Collective work: research design, data collection/cleaning, model integration, policy interpretation, final presentation — coordinate these with the group, don't duplicate effort.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Advisor's role: methodological guidance on the causal ML, code review, feedback on drafts — use Prof. Matos for exactly this, not for data-hunting questions.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Structure (from the example thesis): title page → abstract → keywords → contents → shared Introduction/Data/Baseline chapters → one substantial method section per student → shared Results chapter with one subsection per student → shared Discussion/Conclusion → references → appendix. Your §5/6.3 is that “one substantial section.”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Citation style in the example: author–year, references alphabetical by surname (“Lastname, First, ‘Title,’ Journal, Year, vol(issue), pages”) — use this for consistency across the group document.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Not found in your files: </w:t>
      </w:r>
      <w:r>
        <w:rPr>
          <w:sz w:val="20"/>
          <w:szCs w:val="20"/>
        </w:rPr>
        <w:t xml:space="preserve">an exact page count, margin/font spec, or submission deadline. The “25 pages” figure isn't in the Field Lab brief or the example thesis — it's presumably in Nova SBE's general Work Project formatting guidelines, a separate document from the program office. Worth a 2-minute check on the program portal before you format anything, so you're not reformatting later.</w:t>
      </w:r>
    </w:p>
    <w:p>
      <w:pPr>
        <w:pStyle w:val="Heading1"/>
        <w:spacing w:after="140" w:before="320"/>
      </w:pPr>
      <w:r>
        <w:t xml:space="preserve">4. Sources — how to move fast without losing rigor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3744"/>
        <w:gridCol w:w="3931"/>
      </w:tblGrid>
      <w:tr>
        <w:trPr>
          <w:tblHeader/>
        </w:trPr>
        <w:tc>
          <w:tcPr>
            <w:tcW w:type="dxa" w:w="1685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</w:t>
            </w:r>
          </w:p>
        </w:tc>
        <w:tc>
          <w:tcPr>
            <w:tcW w:type="dxa" w:w="3744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Use</w:t>
            </w:r>
          </w:p>
        </w:tc>
        <w:tc>
          <w:tcPr>
            <w:tcW w:type="dxa" w:w="3931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Academic literature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Google Scholar (primary search) → RePEc/IDEAS → BdP Working Papers → RCAAP → Nova SBE library (EBSCO/ScienceDirect/JSTOR)</w:t>
            </w:r>
          </w:p>
        </w:tc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Target journals: Journal of Housing Economics, Journal of Urban Economics, Regional Science and Urban Economics. I can run this search and draft a first-pass literature synthesis for you to edit — faster than reading 20 papers cold.</w:t>
            </w:r>
          </w:p>
        </w:tc>
      </w:tr>
      <w:tr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Reference management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Zotero (free)</w:t>
            </w:r>
          </w:p>
        </w:tc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Matches the author–year style in the example thesis; browser plug-in saves a citation in one click while you search</w:t>
            </w:r>
          </w:p>
        </w:tc>
      </w:tr>
      <w:tr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Data already sourced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See tables above + prior deliverables this session</w:t>
            </w:r>
          </w:p>
        </w:tc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Don't re-search these — Golden Visa CSV, FDI series, freguesia snapshots, district panel are all done</w:t>
            </w:r>
          </w:p>
        </w:tc>
      </w:tr>
      <w:tr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Causal ML method background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econml / DoubleML documentation + the original Chernozhukov et al. (2018) DML paper and Wager &amp; Athey (2018) causal forests paper</w:t>
            </w:r>
          </w:p>
        </w:tc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These two papers are close to mandatory citations for §4.2.2/§5 — read them first, everything else builds on them</w:t>
            </w:r>
          </w:p>
        </w:tc>
      </w:tr>
    </w:tbl>
    <w:p>
      <w:pPr>
        <w:pStyle w:val="Heading1"/>
        <w:spacing w:after="140" w:before="320"/>
      </w:pPr>
      <w:r>
        <w:t xml:space="preserve">5. The one decision that unblocks everything</w:t>
      </w:r>
    </w:p>
    <w:p>
      <w:pPr>
        <w:spacing w:after="160"/>
      </w:pPr>
      <w:r>
        <w:rPr>
          <w:sz w:val="20"/>
          <w:szCs w:val="20"/>
        </w:rPr>
        <w:t xml:space="preserve">Freguesia-level Lisbon prices exist (confirmed — INE tracks all 24) but only as two disconnected snapshots (Q1 2025, Q1 2026), not a quarterly panel. A causal forest needs many time-varying observations to split on; two points can't support that. Two honest paths: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City comparison (recommended given the timeline): </w:t>
      </w:r>
      <w:r>
        <w:rPr>
          <w:sz w:val="20"/>
          <w:szCs w:val="20"/>
        </w:rPr>
        <w:t xml:space="preserve">Lisboa vs. Porto vs. 5 other cities, real quarterly data 2016–2021 already in hand. Use DiD / panel regression rather than a causal forest — more standard, matches the data you actually have, and is defensible to write up in the time left.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Freguesia (higher risk): </w:t>
      </w:r>
      <w:r>
        <w:rPr>
          <w:sz w:val="20"/>
          <w:szCs w:val="20"/>
        </w:rPr>
        <w:t xml:space="preserve">Use the two snapshots as a descriptive/motivating exhibit only (e.g. “prices diverged 12% between high- and low-FDI-exposure freguesias in one year”), not as the panel the causal model runs on. Only worth pursuing further if Confidencial Imobiliário access comes through soon — don't wait on it.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Decide this in the next 1–2 days </w:t>
      </w:r>
      <w:r>
        <w:rPr>
          <w:sz w:val="20"/>
          <w:szCs w:val="20"/>
        </w:rPr>
        <w:t xml:space="preserve">— the Bartik instrument, the heterogeneity covariates, and the DML/Causal Forest code all depend on which unit you pick.</w:t>
      </w:r>
    </w:p>
    <w:p>
      <w:pPr>
        <w:pStyle w:val="Heading1"/>
        <w:spacing w:after="140" w:before="320"/>
      </w:pPr>
      <w:r>
        <w:t xml:space="preserve">6. Day-by-day (Sept 6 – 20)</w:t>
      </w:r>
    </w:p>
    <w:p>
      <w:pPr>
        <w:pStyle w:val="Heading2"/>
        <w:spacing w:after="140" w:before="320"/>
      </w:pPr>
      <w:r>
        <w:t xml:space="preserve">Week 1 — decide, finish data, start literature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"/>
        <w:gridCol w:w="5616"/>
        <w:gridCol w:w="2246"/>
      </w:tblGrid>
      <w:tr>
        <w:trPr>
          <w:tblHeader/>
        </w:trPr>
        <w:tc>
          <w:tcPr>
            <w:tcW w:type="dxa" w:w="1498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Days</w:t>
            </w:r>
          </w:p>
        </w:tc>
        <w:tc>
          <w:tcPr>
            <w:tcW w:type="dxa" w:w="5616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Task</w:t>
            </w:r>
          </w:p>
        </w:tc>
        <w:tc>
          <w:tcPr>
            <w:tcW w:type="dxa" w:w="2246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Who</w:t>
            </w:r>
          </w:p>
        </w:tc>
      </w:tr>
      <w:tr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Sun–Mon (7–8)</w:t>
            </w:r>
          </w:p>
        </w:tc>
        <w:tc>
          <w:tcPr>
            <w:tcW w:type="dxa" w:w="5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Decide geographic unit (§5). Check Nova SBE portal for formal page/format guidelines.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You</w:t>
            </w:r>
          </w:p>
        </w:tc>
      </w:tr>
      <w:tr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Mon (8)</w:t>
            </w:r>
          </w:p>
        </w:tc>
        <w:tc>
          <w:tcPr>
            <w:tcW w:type="dxa" w:w="5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Re-run baseline pipeline on the merged dataset; regenerate tables/figures/write-up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Me, on request</w:t>
            </w:r>
          </w:p>
        </w:tc>
      </w:tr>
      <w:tr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Tue–Wed (9–10)</w:t>
            </w:r>
          </w:p>
        </w:tc>
        <w:tc>
          <w:tcPr>
            <w:tcW w:type="dxa" w:w="5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Literature search + first-draft synthesis for §2.3 (foreign investment lit review)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 first pass, you edit</w:t>
            </w:r>
          </w:p>
        </w:tc>
      </w:tr>
      <w:tr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Tue–Wed (9–10)</w:t>
            </w:r>
          </w:p>
        </w:tc>
        <w:tc>
          <w:tcPr>
            <w:tcW w:type="dxa" w:w="5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Download Airbnb data; extract remaining freguesia figures from the INE PDF you have (Porto too, if useful for city comparison)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You / me</w:t>
            </w:r>
          </w:p>
        </w:tc>
      </w:tr>
      <w:tr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Thu–Fri (11–12)</w:t>
            </w:r>
          </w:p>
        </w:tc>
        <w:tc>
          <w:tcPr>
            <w:tcW w:type="dxa" w:w="5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Build treatment variables: Golden Visa indicator (have it), foreign-buyer-share proxy, local-exposure/Bartik conversion of the FDI series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</w:t>
            </w:r>
          </w:p>
        </w:tc>
      </w:tr>
      <w:tr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Weekend (12–13)</w:t>
            </w:r>
          </w:p>
        </w:tc>
        <w:tc>
          <w:tcPr>
            <w:tcW w:type="dxa" w:w="5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Read Chernozhukov et al. (2018) and Wager &amp; Athey (2018) — needed before writing §4.2.2/§5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You</w:t>
            </w:r>
          </w:p>
        </w:tc>
      </w:tr>
    </w:tbl>
    <w:p>
      <w:pPr>
        <w:pStyle w:val="Heading2"/>
        <w:spacing w:after="140" w:before="320"/>
      </w:pPr>
      <w:r>
        <w:t xml:space="preserve">Week 2 — model, write, polish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"/>
        <w:gridCol w:w="5616"/>
        <w:gridCol w:w="2246"/>
      </w:tblGrid>
      <w:tr>
        <w:trPr>
          <w:tblHeader/>
        </w:trPr>
        <w:tc>
          <w:tcPr>
            <w:tcW w:type="dxa" w:w="1498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Days</w:t>
            </w:r>
          </w:p>
        </w:tc>
        <w:tc>
          <w:tcPr>
            <w:tcW w:type="dxa" w:w="5616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Task</w:t>
            </w:r>
          </w:p>
        </w:tc>
        <w:tc>
          <w:tcPr>
            <w:tcW w:type="dxa" w:w="2246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Who</w:t>
            </w:r>
          </w:p>
        </w:tc>
      </w:tr>
      <w:tr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Mon–Tue (14–15)</w:t>
            </w:r>
          </w:p>
        </w:tc>
        <w:tc>
          <w:tcPr>
            <w:tcW w:type="dxa" w:w="5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Implement DML for the average treatment effect (econml or DoubleML)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 + you reviewing</w:t>
            </w:r>
          </w:p>
        </w:tc>
      </w:tr>
      <w:tr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Wed (16)</w:t>
            </w:r>
          </w:p>
        </w:tc>
        <w:tc>
          <w:tcPr>
            <w:tcW w:type="dxa" w:w="5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Causal Forest for heterogeneous effects; generate figures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 + you reviewing</w:t>
            </w:r>
          </w:p>
        </w:tc>
      </w:tr>
      <w:tr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Thu (17)</w:t>
            </w:r>
          </w:p>
        </w:tc>
        <w:tc>
          <w:tcPr>
            <w:tcW w:type="dxa" w:w="5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No-Golden-Visa counterfactual simulation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</w:t>
            </w:r>
          </w:p>
        </w:tc>
      </w:tr>
      <w:tr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Fri–Sat (18–19)</w:t>
            </w:r>
          </w:p>
        </w:tc>
        <w:tc>
          <w:tcPr>
            <w:tcW w:type="dxa" w:w="5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Write §2.3, §3 (your part), §4.2.2, §5/6.3 — draft from results + lit synthesis, you add interpretation/voice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 draft, you rewrite in your voice</w:t>
            </w:r>
          </w:p>
        </w:tc>
      </w:tr>
      <w:tr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Sun (20)</w:t>
            </w:r>
          </w:p>
        </w:tc>
        <w:tc>
          <w:tcPr>
            <w:tcW w:type="dxa" w:w="5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Merge into shared group document, check formatting/citation consistency against the guidelines, send to Prof. Matos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You</w:t>
            </w:r>
          </w:p>
        </w:tc>
      </w:tr>
    </w:tbl>
    <w:p>
      <w:pPr>
        <w:spacing w:after="160"/>
      </w:pPr>
      <w:r>
        <w:rPr>
          <w:b/>
          <w:bCs/>
          <w:sz w:val="20"/>
          <w:szCs w:val="20"/>
        </w:rPr>
        <w:t xml:space="preserve">This is tight but doable if the unit decision happens now, not week 2. </w:t>
      </w:r>
      <w:r>
        <w:rPr>
          <w:sz w:val="20"/>
          <w:szCs w:val="20"/>
        </w:rPr>
        <w:t xml:space="preserve">The literature review and the write-up are the two steps most likely to run long — hand me the drafting load on both and spend your own time on the parts that need your judgment: the geography decision, reading the two core methodology papers, and rewriting the draft into your own voice.</w:t>
      </w:r>
    </w:p>
    <w:sectPr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2026-09-06T17:18:10.468Z</dcterms:created>
  <dcterms:modified xsi:type="dcterms:W3CDTF">2026-09-06T17:18:10.487Z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