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Multi-hop QA sobre HotpotQA con RAG y Agentes</w:t>
      </w:r>
    </w:p>
    <w:p>
      <w:r>
        <w:rPr>
          <w:i/>
          <w:sz w:val="20"/>
        </w:rPr>
        <w:t>Procesamiento del Lenguaje Natural — Maestría en Ciencia de Datos, Universidad de San Andrés</w:t>
      </w:r>
    </w:p>
    <w:p>
      <w:pPr>
        <w:pStyle w:val="Heading1"/>
      </w:pPr>
      <w:r>
        <w:t>1. Introducción</w:t>
      </w:r>
    </w:p>
    <w:p>
      <w:r>
        <w:t>HotpotQA es un dataset de question answering multi-hop: responder cada pregunta exige razonar y combinar información de más de un documento, y no de un único pasaje aislado. En este trabajo abordamos la tarea sobre el conjunto de validación del dataset y comparamos distintas estrategias de resolución, inspiradas en el enfoque de ReAct: en lugar de entregarle al modelo todos los contextos de soporte, le damos únicamente la pregunta y dejamos que el sistema recupere la evidencia desde una base de datos vectorial construida con todos los pasajes posibles.</w:t>
      </w:r>
    </w:p>
    <w:p>
      <w:r>
        <w:t>Evaluamos tres configuraciones: (i) un modelo de lenguaje respondiendo solo, sin recuperación (baseline de conocimiento paramétrico); (ii) un pipeline de Retrieval-Augmented Generation (RAG) que recupera pasajes relevantes y los inyecta en el prompt; y (iii) un agente. El objetivo es medir cuánto aporta la recuperación de evidencia frente al modelo solo y contrastar los resultados con los del paper original. La calidad de las respuestas se mide con las métricas estándar de la tarea, Exact Match (EM) y F1 a nivel de token.</w:t>
      </w:r>
    </w:p>
    <w:p>
      <w:pPr>
        <w:pStyle w:val="Heading1"/>
      </w:pPr>
      <w:r>
        <w:t>2. Metodología</w:t>
      </w:r>
    </w:p>
    <w:p>
      <w:pPr>
        <w:pStyle w:val="Heading2"/>
      </w:pPr>
      <w:r>
        <w:t>2.1 Datos</w:t>
      </w:r>
    </w:p>
    <w:p>
      <w:r>
        <w:t>Trabajamos con el dataset nlp-udesa/hotpot_qa_3k (HuggingFace), usando su partición de validation, compuesta por 3.000 preguntas. Cada instancia contiene la pregunta, la respuesta de referencia y un conjunto de contextos de soporte, donde cada contexto es un título y una lista de oraciones.</w:t>
      </w:r>
    </w:p>
    <w:p>
      <w:r>
        <w:t>Para construir el corpus a indexar (ingest.py) recorrimos todas las instancias y armamos un diccionario título → texto, concatenando las oraciones de cada documento en un único pasaje. Los documentos se deduplican por título: si un título ya fue agregado, no se vuelve a insertar. De este modo, a partir de los contextos de las 3.000 preguntas se obtiene un corpus de aproximadamente 28.500 pasajes únicos, que constituyen el universo sobre el cual el sistema puede recuperar evidencia.</w:t>
      </w:r>
    </w:p>
    <w:p>
      <w:pPr>
        <w:pStyle w:val="Heading2"/>
      </w:pPr>
      <w:r>
        <w:t>2.2 Modelos</w:t>
      </w:r>
    </w:p>
    <w:p>
      <w:r>
        <w:t>Modelo de embeddings (recuperación): BAAI/bge-small-en-v1.5, cargado con transformers (AutoTokenizer y AutoModel). Para obtener el vector de cada texto se usa pooling de tipo CLS (se toma el embedding del primer token, model_output[0][:, 0]) y luego se normalizan los vectores con norma L2, de forma que la similitud por producto interno equivale a la similitud coseno. La longitud máxima de tokenización es de 512 tokens (con truncado y padding). Siguiendo la recomendación de BGE para tareas short-query to long-passage, se agrega una instrucción solo a las consultas y no a los pasajes (ver 2.3).</w:t>
      </w:r>
    </w:p>
    <w:p>
      <w:r>
        <w:t>Modelo de lenguaje (generación de respuestas): gpt-4o-mini de OpenAI, invocado a través de la librería litellm. En todas las llamadas se fija temperature = 0 para obtener respuestas determinísticas y reproducibles. El mismo modelo y la misma configuración de decoding se usan tanto en RAG como en el baseline de LLM solo, de modo que la única variable que cambia entre ambos es la presencia o ausencia de recuperación.</w:t>
      </w:r>
    </w:p>
    <w:p>
      <w:pPr>
        <w:pStyle w:val="Heading2"/>
      </w:pPr>
      <w:r>
        <w:t>2.3 Técnicas y pipeline</w:t>
      </w:r>
    </w:p>
    <w:p>
      <w:r>
        <w:rPr>
          <w:b/>
        </w:rPr>
        <w:t xml:space="preserve">Ingesta e indexación (ingest.py). </w:t>
      </w:r>
      <w:r>
        <w:t>Se construye el corpus deduplicado, se vectorizan los pasajes por lotes (batch) y se insertan en una base ChromaDB persistente (PersistentClient sobre el directorio ./chroma, colección hotpot_qa). Para cada pasaje se almacena el id, el texto del documento, su embedding y, como metadato, el título. El procesamiento se realiza en GPU (cuda), Apple Silicon (mps) o CPU según disponibilidad.</w:t>
      </w:r>
    </w:p>
    <w:p>
      <w:r>
        <w:rPr>
          <w:b/>
        </w:rPr>
        <w:t xml:space="preserve">RAG (answer_rag.py). </w:t>
      </w:r>
      <w:r>
        <w:t>Para cada pregunta del set de validación: (1) se calcula el embedding de la consulta con el mismo modelo BGE, anteponiendo la instrucción «Represent this sentence for searching relevant passages: »; (2) se recuperan de ChromaDB los n pasajes más similares (n_results = 40); (3) se arma un prompt que incluye esos pasajes numerados y ordenados de más a menos relevante, junto con la pregunta; y (4) se consulta al LLM. El prompt instruye al modelo a responder en inglés, con la respuesta más corta posible (sin oraciones completas ni justificaciones), a copiar el fragmento literal cuando corresponde, a contestar 'yes'/'no' en preguntas binarias, a no abstenerse nunca, y a devolver el tipo de dato pedido (una fecha, un lugar, una persona, una distancia, etc.).</w:t>
      </w:r>
    </w:p>
    <w:p>
      <w:r>
        <w:rPr>
          <w:b/>
        </w:rPr>
        <w:t xml:space="preserve">LLM solo / closed-book (answer_llm.py). </w:t>
      </w:r>
      <w:r>
        <w:t>Baseline que responde únicamente con el conocimiento paramétrico del modelo, sin recuperación. Usa el mismo LLM (gpt-4o-mini, temperature 0) y el mismo formato de respuesta que RAG, pero el prompt contiene solo la pregunta, sin pasajes. Sirve para cuantificar cuánto sabe el modelo por sí mismo y, por contraste, cuánto aporta el componente de recuperación.</w:t>
      </w:r>
    </w:p>
    <w:p>
      <w:r>
        <w:rPr>
          <w:b/>
        </w:rPr>
        <w:t xml:space="preserve">Robustez de las corridas. </w:t>
      </w:r>
      <w:r>
        <w:t>Dado que cada configuración implica 3.000 llamadas a la API, ambos scripts incorporan: reintentos automáticos ante errores transitorios (rate limit, timeout) con espera incremental (hasta 4 intentos); escritura incremental, guardando cada respuesta en disco apenas se obtiene; y reanudación, que permite retomar una corrida interrumpida sin repetir lo ya respondido. Las respuestas se exportan en formato JSONL con los campos id, question, answer_pred y answer_true.</w:t>
      </w:r>
    </w:p>
    <w:p>
      <w:pPr>
        <w:pStyle w:val="Heading2"/>
      </w:pPr>
      <w:r>
        <w:t>2.4 Evaluación</w:t>
      </w:r>
    </w:p>
    <w:p>
      <w:r>
        <w:t>La evaluación (evaluar.py) replica las métricas oficiales de HotpotQA. Antes de comparar, las respuestas se normalizan igual que en SQuAD/HotpotQA: se pasan a minúsculas, se elimina la puntuación, se quitan los artículos (a, an, the) y se colapsan los espacios. Sobre los textos normalizados se calculan: Exact Match (EM), que vale 1 solo si la predicción coincide exactamente con la referencia; y F1 a nivel de token, que mide el solapamiento de palabras entre predicción y referencia (premiando respuestas parcialmente correctas). Se reportan ambos promediados sobre el conjunto de validación, lo que permite comparar de forma homogénea las tres configuraciones entre sí y contra el paper original.</w:t>
      </w:r>
    </w:p>
    <w:p>
      <w:pPr>
        <w:pStyle w:val="Heading2"/>
      </w:pPr>
      <w:r>
        <w:t>2.5 Resumen de parámetros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Componente</w:t>
            </w:r>
          </w:p>
        </w:tc>
        <w:tc>
          <w:tcPr>
            <w:tcW w:type="dxa" w:w="2880"/>
          </w:tcPr>
          <w:p>
            <w:r>
              <w:rPr>
                <w:b/>
              </w:rPr>
              <w:t>Parámetro</w:t>
            </w:r>
          </w:p>
        </w:tc>
        <w:tc>
          <w:tcPr>
            <w:tcW w:type="dxa" w:w="2880"/>
          </w:tcPr>
          <w:p>
            <w:r>
              <w:rPr>
                <w:b/>
              </w:rPr>
              <w:t>Valor</w:t>
            </w:r>
          </w:p>
        </w:tc>
      </w:tr>
      <w:tr>
        <w:tc>
          <w:tcPr>
            <w:tcW w:type="dxa" w:w="2880"/>
          </w:tcPr>
          <w:p>
            <w:r>
              <w:t>Datos</w:t>
            </w:r>
          </w:p>
        </w:tc>
        <w:tc>
          <w:tcPr>
            <w:tcW w:type="dxa" w:w="2880"/>
          </w:tcPr>
          <w:p>
            <w:r>
              <w:t>Dataset / partición</w:t>
            </w:r>
          </w:p>
        </w:tc>
        <w:tc>
          <w:tcPr>
            <w:tcW w:type="dxa" w:w="2880"/>
          </w:tcPr>
          <w:p>
            <w:r>
              <w:t>nlp-udesa/hotpot_qa_3k / validation (3.000)</w:t>
            </w:r>
          </w:p>
        </w:tc>
      </w:tr>
      <w:tr>
        <w:tc>
          <w:tcPr>
            <w:tcW w:type="dxa" w:w="2880"/>
          </w:tcPr>
          <w:p>
            <w:r>
              <w:t>Datos</w:t>
            </w:r>
          </w:p>
        </w:tc>
        <w:tc>
          <w:tcPr>
            <w:tcW w:type="dxa" w:w="2880"/>
          </w:tcPr>
          <w:p>
            <w:r>
              <w:t>Corpus indexado</w:t>
            </w:r>
          </w:p>
        </w:tc>
        <w:tc>
          <w:tcPr>
            <w:tcW w:type="dxa" w:w="2880"/>
          </w:tcPr>
          <w:p>
            <w:r>
              <w:t>~28.500 pasajes únicos (dedup. por título)</w:t>
            </w:r>
          </w:p>
        </w:tc>
      </w:tr>
      <w:tr>
        <w:tc>
          <w:tcPr>
            <w:tcW w:type="dxa" w:w="2880"/>
          </w:tcPr>
          <w:p>
            <w:r>
              <w:t>Embeddings</w:t>
            </w:r>
          </w:p>
        </w:tc>
        <w:tc>
          <w:tcPr>
            <w:tcW w:type="dxa" w:w="2880"/>
          </w:tcPr>
          <w:p>
            <w:r>
              <w:t>Modelo</w:t>
            </w:r>
          </w:p>
        </w:tc>
        <w:tc>
          <w:tcPr>
            <w:tcW w:type="dxa" w:w="2880"/>
          </w:tcPr>
          <w:p>
            <w:r>
              <w:t>BAAI/bge-small-en-v1.5</w:t>
            </w:r>
          </w:p>
        </w:tc>
      </w:tr>
      <w:tr>
        <w:tc>
          <w:tcPr>
            <w:tcW w:type="dxa" w:w="2880"/>
          </w:tcPr>
          <w:p>
            <w:r>
              <w:t>Embeddings</w:t>
            </w:r>
          </w:p>
        </w:tc>
        <w:tc>
          <w:tcPr>
            <w:tcW w:type="dxa" w:w="2880"/>
          </w:tcPr>
          <w:p>
            <w:r>
              <w:t>Pooling / normalización</w:t>
            </w:r>
          </w:p>
        </w:tc>
        <w:tc>
          <w:tcPr>
            <w:tcW w:type="dxa" w:w="2880"/>
          </w:tcPr>
          <w:p>
            <w:r>
              <w:t>CLS / L2</w:t>
            </w:r>
          </w:p>
        </w:tc>
      </w:tr>
      <w:tr>
        <w:tc>
          <w:tcPr>
            <w:tcW w:type="dxa" w:w="2880"/>
          </w:tcPr>
          <w:p>
            <w:r>
              <w:t>Embeddings</w:t>
            </w:r>
          </w:p>
        </w:tc>
        <w:tc>
          <w:tcPr>
            <w:tcW w:type="dxa" w:w="2880"/>
          </w:tcPr>
          <w:p>
            <w:r>
              <w:t>Longitud máx. de tokens</w:t>
            </w:r>
          </w:p>
        </w:tc>
        <w:tc>
          <w:tcPr>
            <w:tcW w:type="dxa" w:w="2880"/>
          </w:tcPr>
          <w:p>
            <w:r>
              <w:t>512</w:t>
            </w:r>
          </w:p>
        </w:tc>
      </w:tr>
      <w:tr>
        <w:tc>
          <w:tcPr>
            <w:tcW w:type="dxa" w:w="2880"/>
          </w:tcPr>
          <w:p>
            <w:r>
              <w:t>Embeddings</w:t>
            </w:r>
          </w:p>
        </w:tc>
        <w:tc>
          <w:tcPr>
            <w:tcW w:type="dxa" w:w="2880"/>
          </w:tcPr>
          <w:p>
            <w:r>
              <w:t>Batch size (ingesta)</w:t>
            </w:r>
          </w:p>
        </w:tc>
        <w:tc>
          <w:tcPr>
            <w:tcW w:type="dxa" w:w="2880"/>
          </w:tcPr>
          <w:p>
            <w:r>
              <w:t>8</w:t>
            </w:r>
          </w:p>
        </w:tc>
      </w:tr>
      <w:tr>
        <w:tc>
          <w:tcPr>
            <w:tcW w:type="dxa" w:w="2880"/>
          </w:tcPr>
          <w:p>
            <w:r>
              <w:t>Recuperación</w:t>
            </w:r>
          </w:p>
        </w:tc>
        <w:tc>
          <w:tcPr>
            <w:tcW w:type="dxa" w:w="2880"/>
          </w:tcPr>
          <w:p>
            <w:r>
              <w:t>Base vectorial</w:t>
            </w:r>
          </w:p>
        </w:tc>
        <w:tc>
          <w:tcPr>
            <w:tcW w:type="dxa" w:w="2880"/>
          </w:tcPr>
          <w:p>
            <w:r>
              <w:t>ChromaDB (persistente, colección hotpot_qa)</w:t>
            </w:r>
          </w:p>
        </w:tc>
      </w:tr>
      <w:tr>
        <w:tc>
          <w:tcPr>
            <w:tcW w:type="dxa" w:w="2880"/>
          </w:tcPr>
          <w:p>
            <w:r>
              <w:t>Recuperación</w:t>
            </w:r>
          </w:p>
        </w:tc>
        <w:tc>
          <w:tcPr>
            <w:tcW w:type="dxa" w:w="2880"/>
          </w:tcPr>
          <w:p>
            <w:r>
              <w:t>Pasajes recuperados (n_results)</w:t>
            </w:r>
          </w:p>
        </w:tc>
        <w:tc>
          <w:tcPr>
            <w:tcW w:type="dxa" w:w="2880"/>
          </w:tcPr>
          <w:p>
            <w:r>
              <w:t>40</w:t>
            </w:r>
          </w:p>
        </w:tc>
      </w:tr>
      <w:tr>
        <w:tc>
          <w:tcPr>
            <w:tcW w:type="dxa" w:w="2880"/>
          </w:tcPr>
          <w:p>
            <w:r>
              <w:t>Recuperación</w:t>
            </w:r>
          </w:p>
        </w:tc>
        <w:tc>
          <w:tcPr>
            <w:tcW w:type="dxa" w:w="2880"/>
          </w:tcPr>
          <w:p>
            <w:r>
              <w:t>Instrucción en la query</w:t>
            </w:r>
          </w:p>
        </w:tc>
        <w:tc>
          <w:tcPr>
            <w:tcW w:type="dxa" w:w="2880"/>
          </w:tcPr>
          <w:p>
            <w:r>
              <w:t>sí (solo en consultas, no en pasajes)</w:t>
            </w:r>
          </w:p>
        </w:tc>
      </w:tr>
      <w:tr>
        <w:tc>
          <w:tcPr>
            <w:tcW w:type="dxa" w:w="2880"/>
          </w:tcPr>
          <w:p>
            <w:r>
              <w:t>Generación</w:t>
            </w:r>
          </w:p>
        </w:tc>
        <w:tc>
          <w:tcPr>
            <w:tcW w:type="dxa" w:w="2880"/>
          </w:tcPr>
          <w:p>
            <w:r>
              <w:t>LLM</w:t>
            </w:r>
          </w:p>
        </w:tc>
        <w:tc>
          <w:tcPr>
            <w:tcW w:type="dxa" w:w="2880"/>
          </w:tcPr>
          <w:p>
            <w:r>
              <w:t>gpt-4o-mini (vía litellm)</w:t>
            </w:r>
          </w:p>
        </w:tc>
      </w:tr>
      <w:tr>
        <w:tc>
          <w:tcPr>
            <w:tcW w:type="dxa" w:w="2880"/>
          </w:tcPr>
          <w:p>
            <w:r>
              <w:t>Generación</w:t>
            </w:r>
          </w:p>
        </w:tc>
        <w:tc>
          <w:tcPr>
            <w:tcW w:type="dxa" w:w="2880"/>
          </w:tcPr>
          <w:p>
            <w:r>
              <w:t>Temperature</w:t>
            </w:r>
          </w:p>
        </w:tc>
        <w:tc>
          <w:tcPr>
            <w:tcW w:type="dxa" w:w="2880"/>
          </w:tcPr>
          <w:p>
            <w:r>
              <w:t>0</w:t>
            </w:r>
          </w:p>
        </w:tc>
      </w:tr>
      <w:tr>
        <w:tc>
          <w:tcPr>
            <w:tcW w:type="dxa" w:w="2880"/>
          </w:tcPr>
          <w:p>
            <w:r>
              <w:t>Evaluación</w:t>
            </w:r>
          </w:p>
        </w:tc>
        <w:tc>
          <w:tcPr>
            <w:tcW w:type="dxa" w:w="2880"/>
          </w:tcPr>
          <w:p>
            <w:r>
              <w:t>Métricas</w:t>
            </w:r>
          </w:p>
        </w:tc>
        <w:tc>
          <w:tcPr>
            <w:tcW w:type="dxa" w:w="2880"/>
          </w:tcPr>
          <w:p>
            <w:r>
              <w:t>Exact Match y F1 a nivel de token</w:t>
            </w:r>
          </w:p>
        </w:tc>
      </w:tr>
      <w:tr>
        <w:tc>
          <w:tcPr>
            <w:tcW w:type="dxa" w:w="2880"/>
          </w:tcPr>
          <w:p>
            <w:r>
              <w:t>Evaluación</w:t>
            </w:r>
          </w:p>
        </w:tc>
        <w:tc>
          <w:tcPr>
            <w:tcW w:type="dxa" w:w="2880"/>
          </w:tcPr>
          <w:p>
            <w:r>
              <w:t>Normalización</w:t>
            </w:r>
          </w:p>
        </w:tc>
        <w:tc>
          <w:tcPr>
            <w:tcW w:type="dxa" w:w="2880"/>
          </w:tcPr>
          <w:p>
            <w:r>
              <w:t>minúsculas, sin puntuación, sin artículos, espacios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