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>Write +1 if your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lastRenderedPageBreak/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t>- everything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>- all data, excel, presentations and paper drafts are in a shared network drive:</w:t>
      </w:r>
    </w:p>
    <w:p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>- your lab manager should know it all:</w:t>
      </w:r>
    </w:p>
    <w:p w:rsidR="00DB3A13" w:rsidRDefault="005B32CF" w:rsidP="00F87451">
      <w:r>
        <w:t>- there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>- you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lists the publication by Yu et al 2019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bookmarkStart w:id="0" w:name="_GoBack"/>
      <w:bookmarkEnd w:id="0"/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D46E5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A2585F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16B4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39</cp:revision>
  <dcterms:created xsi:type="dcterms:W3CDTF">2022-05-25T23:00:00Z</dcterms:created>
  <dcterms:modified xsi:type="dcterms:W3CDTF">2022-08-15T14:39:00Z</dcterms:modified>
</cp:coreProperties>
</file>