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7DC58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1 - Title</w:t>
      </w:r>
    </w:p>
    <w:p w14:paraId="473D02D8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Hi, my name is Thomas. Today I’ll present SentinelAI: an app for faster and more consistent coding of adverse-event reports, meaning incident reports in the medical device field. I’ll cover the problem, the engineered pipeline, and a live reviewer workflow.</w:t>
      </w:r>
    </w:p>
    <w:p w14:paraId="0AA3015F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2 - What is coding?</w:t>
      </w:r>
    </w:p>
    <w:p w14:paraId="2A785861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Imagine there is an incident with a medical device, for example an insulin pump. A company, or sometimes a physician, writes a short free-text incident report.</w:t>
      </w:r>
    </w:p>
    <w:p w14:paraId="65E343EC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Coding means turning this free text into one standardized medical term. Here I use MedDRA, a medical dictionary with about 27,000 Preferred Terms. So the task is: one report, one standard term. Once reports are coded this way, similar cases can be grouped, reviewed together, and used for statistics. Otherwise, they stay isolated text.</w:t>
      </w:r>
    </w:p>
    <w:p w14:paraId="5AB1A7E6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3 - Example</w:t>
      </w:r>
    </w:p>
    <w:p w14:paraId="6C83035C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Here is an example: on the left, a report; on the right, the best matching term: Hypoglycaemia.</w:t>
      </w:r>
    </w:p>
    <w:p w14:paraId="7924D455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4 - Manual process</w:t>
      </w:r>
    </w:p>
    <w:p w14:paraId="14F2C116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Today, coding is mostly manual, especially in small companies: read the report, search MedDRA, compare terms, and save the decision. That is slow, hard to scale, and inconsistent across coders.</w:t>
      </w:r>
    </w:p>
    <w:p w14:paraId="3FE61460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lastRenderedPageBreak/>
        <w:t>Slide 5 - SentinelAI process</w:t>
      </w:r>
    </w:p>
    <w:p w14:paraId="78A8873B" w14:textId="3A007031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 xml:space="preserve">SentinelAI changes the starting point. Instead of searching all terms, the reviewer gets ranked suggestions with a short reason. </w:t>
      </w:r>
      <w:r w:rsidR="00DE63A8" w:rsidRPr="00DE63A8">
        <w:rPr>
          <w:sz w:val="40"/>
          <w:szCs w:val="40"/>
        </w:rPr>
        <w:t>The decision is still controlled by the reviewer: accept, correct, or reject.</w:t>
      </w:r>
    </w:p>
    <w:p w14:paraId="7458D2E6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6 - Constraints</w:t>
      </w:r>
    </w:p>
    <w:p w14:paraId="0E9FB420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What are the constraints when designing such a tool? One short report can mix device problem, outcome, timing, and treatment. The output, however, is strict: exactly one valid MedDRA Preferred Term.</w:t>
      </w:r>
    </w:p>
    <w:p w14:paraId="713BFEF4" w14:textId="77777777" w:rsidR="00DE63A8" w:rsidRDefault="00C039E4">
      <w:pPr>
        <w:pStyle w:val="CueBody"/>
        <w:rPr>
          <w:sz w:val="40"/>
          <w:szCs w:val="40"/>
        </w:rPr>
      </w:pPr>
      <w:r w:rsidRPr="00C039E4">
        <w:rPr>
          <w:sz w:val="40"/>
          <w:szCs w:val="40"/>
        </w:rPr>
        <w:t xml:space="preserve">Because this touches health data and medical-device decisions, legal and regulatory constraints matter. </w:t>
      </w:r>
      <w:r w:rsidR="00DE63A8" w:rsidRPr="00DE63A8">
        <w:rPr>
          <w:sz w:val="40"/>
          <w:szCs w:val="40"/>
        </w:rPr>
        <w:t>For the architecture, that means privacy, traceability, and a reproducible decision path</w:t>
      </w:r>
      <w:r w:rsidR="00DE63A8">
        <w:rPr>
          <w:sz w:val="40"/>
          <w:szCs w:val="40"/>
        </w:rPr>
        <w:t>.</w:t>
      </w:r>
    </w:p>
    <w:p w14:paraId="35C61C2C" w14:textId="77777777" w:rsidR="00DE63A8" w:rsidRDefault="00DE63A8">
      <w:pPr>
        <w:pStyle w:val="CueBody"/>
        <w:rPr>
          <w:sz w:val="40"/>
          <w:szCs w:val="40"/>
        </w:rPr>
      </w:pPr>
      <w:r w:rsidRPr="00DE63A8">
        <w:rPr>
          <w:sz w:val="40"/>
          <w:szCs w:val="40"/>
        </w:rPr>
        <w:t>This is important because the system should not only find a plausible term. It also has to show how that term was produced</w:t>
      </w:r>
      <w:r>
        <w:rPr>
          <w:sz w:val="40"/>
          <w:szCs w:val="40"/>
        </w:rPr>
        <w:t>.</w:t>
      </w:r>
    </w:p>
    <w:p w14:paraId="1FCDD8C3" w14:textId="6279DFE3" w:rsidR="00434576" w:rsidRPr="008346CC" w:rsidRDefault="00621673">
      <w:pPr>
        <w:pStyle w:val="CueBody"/>
        <w:rPr>
          <w:sz w:val="40"/>
          <w:szCs w:val="40"/>
        </w:rPr>
      </w:pPr>
      <w:r w:rsidRPr="00621673">
        <w:rPr>
          <w:sz w:val="40"/>
          <w:szCs w:val="40"/>
        </w:rPr>
        <w:t>In this domain, a black-box answer is not enough.</w:t>
      </w:r>
      <w:r w:rsidRPr="00621673">
        <w:rPr>
          <w:sz w:val="40"/>
          <w:szCs w:val="40"/>
        </w:rPr>
        <w:t xml:space="preserve"> </w:t>
      </w:r>
      <w:r>
        <w:rPr>
          <w:sz w:val="40"/>
          <w:szCs w:val="40"/>
        </w:rPr>
        <w:br/>
      </w:r>
      <w:r w:rsidR="00000000" w:rsidRPr="008346CC">
        <w:rPr>
          <w:sz w:val="40"/>
          <w:szCs w:val="40"/>
        </w:rPr>
        <w:t xml:space="preserve">That is why SentinelAI uses a staged local design: </w:t>
      </w:r>
      <w:r w:rsidR="00DE63A8" w:rsidRPr="00DE63A8">
        <w:rPr>
          <w:sz w:val="40"/>
          <w:szCs w:val="40"/>
        </w:rPr>
        <w:t>report text stays on a European server, the architecture stays hardware-lean, and every decision is stored.</w:t>
      </w:r>
    </w:p>
    <w:p w14:paraId="37017FF7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7 - Coding workflow</w:t>
      </w:r>
    </w:p>
    <w:p w14:paraId="4F96F960" w14:textId="039D6BEF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 xml:space="preserve">This is the basic architecture. SentinelAI works as a funnel: broad retrieval finds about 100 candidates out of 27,000 terms, reranking reduces them to five, and the local language model suggests one term with a reason. </w:t>
      </w:r>
      <w:r w:rsidR="00DE63A8">
        <w:rPr>
          <w:sz w:val="40"/>
          <w:szCs w:val="40"/>
        </w:rPr>
        <w:t>E</w:t>
      </w:r>
      <w:r w:rsidR="00DE63A8" w:rsidRPr="00DE63A8">
        <w:rPr>
          <w:sz w:val="40"/>
          <w:szCs w:val="40"/>
        </w:rPr>
        <w:t>ach stage narrows the search space before the result goes into review.</w:t>
      </w:r>
    </w:p>
    <w:p w14:paraId="6DE9BF20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lastRenderedPageBreak/>
        <w:t>Slide 8 - Engineering stack</w:t>
      </w:r>
    </w:p>
    <w:p w14:paraId="55724717" w14:textId="77777777" w:rsidR="00621673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 xml:space="preserve">This is the engineering part. Local inference gives privacy and traceability, but it also creates hardware constraints. </w:t>
      </w:r>
    </w:p>
    <w:p w14:paraId="06E24013" w14:textId="77777777" w:rsidR="00621673" w:rsidRDefault="00621673">
      <w:pPr>
        <w:pStyle w:val="CueBody"/>
        <w:rPr>
          <w:sz w:val="40"/>
          <w:szCs w:val="40"/>
        </w:rPr>
      </w:pPr>
      <w:r>
        <w:rPr>
          <w:sz w:val="40"/>
          <w:szCs w:val="40"/>
        </w:rPr>
        <w:t xml:space="preserve">An important </w:t>
      </w:r>
      <w:r w:rsidRPr="00621673">
        <w:rPr>
          <w:sz w:val="40"/>
          <w:szCs w:val="40"/>
        </w:rPr>
        <w:t xml:space="preserve">design choice is that PostgreSQL is not only a storage layer. It is also the place where reports, terminology, embeddings, and results come </w:t>
      </w:r>
      <w:r>
        <w:rPr>
          <w:sz w:val="40"/>
          <w:szCs w:val="40"/>
        </w:rPr>
        <w:t xml:space="preserve">all </w:t>
      </w:r>
      <w:r w:rsidRPr="00621673">
        <w:rPr>
          <w:sz w:val="40"/>
          <w:szCs w:val="40"/>
        </w:rPr>
        <w:t>together. That keeps the system lean and easier to operate.</w:t>
      </w:r>
      <w:r w:rsidRPr="00621673">
        <w:rPr>
          <w:sz w:val="40"/>
          <w:szCs w:val="40"/>
        </w:rPr>
        <w:t xml:space="preserve"> </w:t>
      </w:r>
    </w:p>
    <w:p w14:paraId="3B561401" w14:textId="1EE7ACBC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 xml:space="preserve">Docker runs the worker pipeline; and Grafana, MLflow, pytest, and GitHub Actions make the system observable and </w:t>
      </w:r>
      <w:r w:rsidR="005D12A9">
        <w:rPr>
          <w:sz w:val="40"/>
          <w:szCs w:val="40"/>
        </w:rPr>
        <w:t>6</w:t>
      </w:r>
      <w:r w:rsidRPr="008346CC">
        <w:rPr>
          <w:sz w:val="40"/>
          <w:szCs w:val="40"/>
        </w:rPr>
        <w:t>reproducible.</w:t>
      </w:r>
    </w:p>
    <w:p w14:paraId="704A3B0F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So this is the foundation. Next, I needed to measure which pipeline components actually work best.</w:t>
      </w:r>
    </w:p>
    <w:p w14:paraId="6AC8A057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9 - Evaluation</w:t>
      </w:r>
    </w:p>
    <w:p w14:paraId="2DBC070B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For evaluation, I needed a reference set. Since I did not have expert labels, I built a small manually checked set of 24 reports. An LLM proposed a term, and I checked the plausibility manually.</w:t>
      </w:r>
    </w:p>
    <w:p w14:paraId="2166F7F5" w14:textId="2B5ED270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 xml:space="preserve">The metrics follow the funnel: recall at 100 means the </w:t>
      </w:r>
      <w:r w:rsidR="00DE63A8">
        <w:rPr>
          <w:sz w:val="40"/>
          <w:szCs w:val="40"/>
        </w:rPr>
        <w:t xml:space="preserve">expected </w:t>
      </w:r>
      <w:r w:rsidRPr="008346CC">
        <w:rPr>
          <w:sz w:val="40"/>
          <w:szCs w:val="40"/>
        </w:rPr>
        <w:t>term was retrieved somewhere; soft at 5 means a usable term is in the shortlist; and precision at 1 means the exact term is ranked first. That is the hardest metric.</w:t>
      </w:r>
    </w:p>
    <w:p w14:paraId="06432602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10 - Model Selection</w:t>
      </w:r>
    </w:p>
    <w:p w14:paraId="5915D073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With these metrics, I selected each stage separately. Hybrid retrieval won for recall at 100, ELECTRA-base won for soft at 5, and local qwen2.5:7b won for precision at 1.</w:t>
      </w:r>
    </w:p>
    <w:p w14:paraId="34EAAEAF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So the live setup is hybrid retrieval, ELECTRA reranking, and qwen for the final suggestion.</w:t>
      </w:r>
    </w:p>
    <w:p w14:paraId="2A3C406C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lastRenderedPageBreak/>
        <w:t>Slide 11 - Deployment</w:t>
      </w:r>
    </w:p>
    <w:p w14:paraId="48E17D98" w14:textId="381ABD86" w:rsidR="00DE63A8" w:rsidRDefault="00DE63A8">
      <w:pPr>
        <w:pStyle w:val="SlideHeadingCompact"/>
        <w:rPr>
          <w:b w:val="0"/>
          <w:color w:val="1F1612"/>
          <w:sz w:val="40"/>
          <w:szCs w:val="40"/>
        </w:rPr>
      </w:pPr>
      <w:r w:rsidRPr="00DE63A8">
        <w:rPr>
          <w:b w:val="0"/>
          <w:color w:val="1F1612"/>
          <w:sz w:val="40"/>
          <w:szCs w:val="40"/>
        </w:rPr>
        <w:t>The selected pipeline now becomes a live workflow: the worker runs the three stages in batches, results are stored in PostgreSQL, monitoring tracks the run, and the reviewer app exposes the final decisions.</w:t>
      </w:r>
    </w:p>
    <w:p w14:paraId="2871D039" w14:textId="56B7165B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12 - Grafana monitoring</w:t>
      </w:r>
    </w:p>
    <w:p w14:paraId="314DE257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This is the live operational view, for example for an engineer. The traffic-light colors show triage based on system certainty: review, uncertain, or accept. Grafana also shows throughput, worker health, and stored records.</w:t>
      </w:r>
    </w:p>
    <w:p w14:paraId="13F0EFF6" w14:textId="77777777" w:rsidR="00434576" w:rsidRPr="008346CC" w:rsidRDefault="00000000">
      <w:pPr>
        <w:pStyle w:val="CueBody"/>
        <w:rPr>
          <w:sz w:val="40"/>
          <w:szCs w:val="40"/>
        </w:rPr>
      </w:pPr>
      <w:r w:rsidRPr="008346CC">
        <w:rPr>
          <w:sz w:val="40"/>
          <w:szCs w:val="40"/>
        </w:rPr>
        <w:t>The point is observability: I can see whether the system is running and how it behaves.</w:t>
      </w:r>
    </w:p>
    <w:p w14:paraId="1D32675E" w14:textId="77777777" w:rsidR="00434576" w:rsidRPr="008346CC" w:rsidRDefault="00000000">
      <w:pPr>
        <w:pStyle w:val="SlideHeadingCompact"/>
        <w:rPr>
          <w:sz w:val="44"/>
          <w:szCs w:val="40"/>
        </w:rPr>
      </w:pPr>
      <w:r w:rsidRPr="008346CC">
        <w:rPr>
          <w:sz w:val="44"/>
          <w:szCs w:val="40"/>
        </w:rPr>
        <w:t>Slide 13 - Reviewer demo</w:t>
      </w:r>
    </w:p>
    <w:p w14:paraId="58F3B2F1" w14:textId="12F93D69" w:rsidR="00621673" w:rsidRPr="00621673" w:rsidRDefault="00621673" w:rsidP="00621673">
      <w:pPr>
        <w:pStyle w:val="CueBody"/>
        <w:rPr>
          <w:sz w:val="40"/>
          <w:szCs w:val="40"/>
        </w:rPr>
      </w:pPr>
      <w:r w:rsidRPr="00621673">
        <w:rPr>
          <w:sz w:val="40"/>
          <w:szCs w:val="40"/>
        </w:rPr>
        <w:t>Finally, this is the reviewer view, using prepared cases for demo stability. What I want to show here is not just the final suggested term. The important part is the workflow around it: the reviewer sees the report</w:t>
      </w:r>
      <w:r>
        <w:rPr>
          <w:sz w:val="40"/>
          <w:szCs w:val="40"/>
        </w:rPr>
        <w:t xml:space="preserve"> on the left</w:t>
      </w:r>
      <w:r w:rsidRPr="00621673">
        <w:rPr>
          <w:sz w:val="40"/>
          <w:szCs w:val="40"/>
        </w:rPr>
        <w:t>, the suggestion, alternatives, and decision buttons</w:t>
      </w:r>
      <w:r>
        <w:rPr>
          <w:sz w:val="40"/>
          <w:szCs w:val="40"/>
        </w:rPr>
        <w:t xml:space="preserve"> on the right side.</w:t>
      </w:r>
    </w:p>
    <w:p w14:paraId="1824AB48" w14:textId="77777777" w:rsidR="00621673" w:rsidRPr="00621673" w:rsidRDefault="00621673" w:rsidP="00621673">
      <w:pPr>
        <w:pStyle w:val="CueBody"/>
        <w:rPr>
          <w:sz w:val="40"/>
          <w:szCs w:val="40"/>
        </w:rPr>
      </w:pPr>
    </w:p>
    <w:p w14:paraId="46E989B4" w14:textId="77777777" w:rsidR="00621673" w:rsidRDefault="00621673" w:rsidP="00621673">
      <w:pPr>
        <w:pStyle w:val="CueBody"/>
        <w:rPr>
          <w:sz w:val="40"/>
          <w:szCs w:val="40"/>
        </w:rPr>
      </w:pPr>
      <w:r w:rsidRPr="00621673">
        <w:rPr>
          <w:sz w:val="40"/>
          <w:szCs w:val="40"/>
        </w:rPr>
        <w:t xml:space="preserve">The reviewer can accept easy cases quickly, </w:t>
      </w:r>
    </w:p>
    <w:p w14:paraId="51CBB9EE" w14:textId="3F0492EC" w:rsidR="00621673" w:rsidRPr="00621673" w:rsidRDefault="00DE63A8" w:rsidP="00621673">
      <w:pPr>
        <w:pStyle w:val="CueBody"/>
        <w:rPr>
          <w:sz w:val="40"/>
          <w:szCs w:val="40"/>
        </w:rPr>
      </w:pPr>
      <w:r w:rsidRPr="00DE63A8">
        <w:rPr>
          <w:sz w:val="40"/>
          <w:szCs w:val="40"/>
          <w:highlight w:val="green"/>
        </w:rPr>
        <w:t>harder cases can be corrected by choosing an alternative</w:t>
      </w:r>
      <w:r w:rsidR="00621673" w:rsidRPr="00621673">
        <w:rPr>
          <w:sz w:val="40"/>
          <w:szCs w:val="40"/>
        </w:rPr>
        <w:t xml:space="preserve">, </w:t>
      </w:r>
      <w:r w:rsidR="00621673">
        <w:rPr>
          <w:sz w:val="40"/>
          <w:szCs w:val="40"/>
        </w:rPr>
        <w:br/>
      </w:r>
      <w:r w:rsidR="00621673" w:rsidRPr="00621673">
        <w:rPr>
          <w:sz w:val="40"/>
          <w:szCs w:val="40"/>
          <w:highlight w:val="red"/>
        </w:rPr>
        <w:t>or route</w:t>
      </w:r>
      <w:r w:rsidR="00621673" w:rsidRPr="00621673">
        <w:rPr>
          <w:sz w:val="40"/>
          <w:szCs w:val="40"/>
        </w:rPr>
        <w:t xml:space="preserve"> uncertain cases to careful review</w:t>
      </w:r>
      <w:r w:rsidR="00CC1799">
        <w:rPr>
          <w:sz w:val="40"/>
          <w:szCs w:val="40"/>
        </w:rPr>
        <w:t>.</w:t>
      </w:r>
    </w:p>
    <w:p w14:paraId="0FA8B1F6" w14:textId="77777777" w:rsidR="00621673" w:rsidRPr="00621673" w:rsidRDefault="00621673" w:rsidP="00621673">
      <w:pPr>
        <w:pStyle w:val="CueBody"/>
        <w:rPr>
          <w:sz w:val="40"/>
          <w:szCs w:val="40"/>
        </w:rPr>
      </w:pPr>
    </w:p>
    <w:p w14:paraId="55BFDD51" w14:textId="79FD020B" w:rsidR="00621673" w:rsidRPr="00621673" w:rsidRDefault="00621673" w:rsidP="00621673">
      <w:pPr>
        <w:pStyle w:val="CueBody"/>
        <w:rPr>
          <w:sz w:val="40"/>
          <w:szCs w:val="40"/>
        </w:rPr>
      </w:pPr>
      <w:r w:rsidRPr="00621673">
        <w:rPr>
          <w:sz w:val="40"/>
          <w:szCs w:val="40"/>
        </w:rPr>
        <w:t xml:space="preserve">The core loop is: </w:t>
      </w:r>
      <w:r w:rsidR="00DE63A8" w:rsidRPr="00DE63A8">
        <w:rPr>
          <w:sz w:val="40"/>
          <w:szCs w:val="40"/>
        </w:rPr>
        <w:t>automated suggestion, visible uncertainty, reviewer decision, and every decision is logged</w:t>
      </w:r>
    </w:p>
    <w:p w14:paraId="4C34A859" w14:textId="2280D07D" w:rsidR="00434576" w:rsidRPr="008346CC" w:rsidRDefault="00E8658C" w:rsidP="00621673">
      <w:pPr>
        <w:pStyle w:val="CueBody"/>
        <w:rPr>
          <w:sz w:val="40"/>
          <w:szCs w:val="40"/>
        </w:rPr>
      </w:pPr>
      <w:r>
        <w:rPr>
          <w:sz w:val="40"/>
          <w:szCs w:val="40"/>
        </w:rPr>
        <w:softHyphen/>
      </w:r>
      <w:r w:rsidR="00621673" w:rsidRPr="00621673">
        <w:rPr>
          <w:sz w:val="40"/>
          <w:szCs w:val="40"/>
        </w:rPr>
        <w:t>That’s it — thank you for your attention.</w:t>
      </w:r>
    </w:p>
    <w:sectPr w:rsidR="00434576" w:rsidRPr="008346CC" w:rsidSect="008346CC">
      <w:footerReference w:type="default" r:id="rId8"/>
      <w:pgSz w:w="11909" w:h="16834" w:code="9"/>
      <w:pgMar w:top="720" w:right="547" w:bottom="720" w:left="605" w:header="720" w:footer="720" w:gutter="0"/>
      <w:cols w:space="5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2FAC0" w14:textId="77777777" w:rsidR="002F7949" w:rsidRDefault="002F7949">
      <w:pPr>
        <w:spacing w:after="0" w:line="240" w:lineRule="auto"/>
      </w:pPr>
      <w:r>
        <w:separator/>
      </w:r>
    </w:p>
  </w:endnote>
  <w:endnote w:type="continuationSeparator" w:id="0">
    <w:p w14:paraId="1FACAD2A" w14:textId="77777777" w:rsidR="002F7949" w:rsidRDefault="002F7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C4A04" w14:textId="77777777" w:rsidR="00434576" w:rsidRDefault="00000000">
    <w:pPr>
      <w:pStyle w:val="Fuzeile"/>
      <w:jc w:val="center"/>
    </w:pPr>
    <w:r>
      <w:rPr>
        <w:color w:val="786E64"/>
        <w:sz w:val="16"/>
      </w:rPr>
      <w:t>SentinelAI cue notes · compact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D074D" w14:textId="77777777" w:rsidR="002F7949" w:rsidRDefault="002F7949">
      <w:pPr>
        <w:spacing w:after="0" w:line="240" w:lineRule="auto"/>
      </w:pPr>
      <w:r>
        <w:separator/>
      </w:r>
    </w:p>
  </w:footnote>
  <w:footnote w:type="continuationSeparator" w:id="0">
    <w:p w14:paraId="713E0EA6" w14:textId="77777777" w:rsidR="002F7949" w:rsidRDefault="002F7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362241">
    <w:abstractNumId w:val="8"/>
  </w:num>
  <w:num w:numId="2" w16cid:durableId="1326279256">
    <w:abstractNumId w:val="6"/>
  </w:num>
  <w:num w:numId="3" w16cid:durableId="118576996">
    <w:abstractNumId w:val="5"/>
  </w:num>
  <w:num w:numId="4" w16cid:durableId="652761748">
    <w:abstractNumId w:val="4"/>
  </w:num>
  <w:num w:numId="5" w16cid:durableId="50690752">
    <w:abstractNumId w:val="7"/>
  </w:num>
  <w:num w:numId="6" w16cid:durableId="289945163">
    <w:abstractNumId w:val="3"/>
  </w:num>
  <w:num w:numId="7" w16cid:durableId="1835996370">
    <w:abstractNumId w:val="2"/>
  </w:num>
  <w:num w:numId="8" w16cid:durableId="1055590330">
    <w:abstractNumId w:val="1"/>
  </w:num>
  <w:num w:numId="9" w16cid:durableId="58943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949"/>
    <w:rsid w:val="00326F90"/>
    <w:rsid w:val="003E1558"/>
    <w:rsid w:val="00434576"/>
    <w:rsid w:val="00532300"/>
    <w:rsid w:val="005D12A9"/>
    <w:rsid w:val="00621673"/>
    <w:rsid w:val="008346CC"/>
    <w:rsid w:val="008C6330"/>
    <w:rsid w:val="00AA1D8D"/>
    <w:rsid w:val="00B47730"/>
    <w:rsid w:val="00C039E4"/>
    <w:rsid w:val="00C22239"/>
    <w:rsid w:val="00CB0664"/>
    <w:rsid w:val="00CC1799"/>
    <w:rsid w:val="00D42D9E"/>
    <w:rsid w:val="00DE63A8"/>
    <w:rsid w:val="00E865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0411F"/>
  <w14:defaultImageDpi w14:val="300"/>
  <w15:docId w15:val="{11C3A2F8-8A6B-47BD-922C-1845DB7D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 w:line="252" w:lineRule="auto"/>
    </w:pPr>
    <w:rPr>
      <w:rFonts w:ascii="Aptos" w:eastAsia="Aptos" w:hAnsi="Aptos"/>
      <w:sz w:val="23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eTitle">
    <w:name w:val="CueTitle"/>
    <w:rPr>
      <w:rFonts w:ascii="Aptos" w:eastAsia="Aptos" w:hAnsi="Aptos"/>
      <w:b/>
      <w:color w:val="1F1612"/>
      <w:sz w:val="32"/>
    </w:rPr>
  </w:style>
  <w:style w:type="paragraph" w:customStyle="1" w:styleId="CueSubtitle">
    <w:name w:val="CueSubtitle"/>
    <w:rPr>
      <w:rFonts w:ascii="Aptos" w:eastAsia="Aptos" w:hAnsi="Aptos"/>
      <w:color w:val="64584E"/>
      <w:sz w:val="19"/>
    </w:rPr>
  </w:style>
  <w:style w:type="paragraph" w:customStyle="1" w:styleId="SlideHeadingCompact">
    <w:name w:val="SlideHeadingCompact"/>
    <w:pPr>
      <w:keepNext/>
      <w:spacing w:before="160" w:after="40"/>
    </w:pPr>
    <w:rPr>
      <w:rFonts w:ascii="Aptos" w:eastAsia="Aptos" w:hAnsi="Aptos"/>
      <w:b/>
      <w:color w:val="C0562F"/>
      <w:sz w:val="27"/>
    </w:rPr>
  </w:style>
  <w:style w:type="paragraph" w:customStyle="1" w:styleId="CueBody">
    <w:name w:val="CueBody"/>
    <w:pPr>
      <w:spacing w:after="70" w:line="247" w:lineRule="auto"/>
    </w:pPr>
    <w:rPr>
      <w:rFonts w:ascii="Aptos" w:eastAsia="Aptos" w:hAnsi="Aptos"/>
      <w:color w:val="1F1612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679</Words>
  <Characters>4280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 Heger</cp:lastModifiedBy>
  <cp:revision>8</cp:revision>
  <dcterms:created xsi:type="dcterms:W3CDTF">2013-12-23T23:15:00Z</dcterms:created>
  <dcterms:modified xsi:type="dcterms:W3CDTF">2026-06-03T12:59:00Z</dcterms:modified>
  <cp:category/>
</cp:coreProperties>
</file>