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Guide de déploiement Laravel sur Render avec Neon</w:t>
      </w:r>
    </w:p>
    <w:p>
      <w:pPr>
        <w:pStyle w:val="BodyText"/>
        <w:bidi w:val="0"/>
        <w:jc w:val="left"/>
        <w:rPr/>
      </w:pPr>
      <w:r>
        <w:rPr>
          <w:rStyle w:val="Strong"/>
        </w:rPr>
        <w:t>Projet :</w:t>
      </w:r>
      <w:r>
        <w:rPr/>
        <w:t xml:space="preserve"> API Bibliothèque   |   </w:t>
      </w:r>
      <w:r>
        <w:rPr>
          <w:rStyle w:val="Strong"/>
        </w:rPr>
        <w:t>Plateforme :</w:t>
      </w:r>
      <w:r>
        <w:rPr/>
        <w:t xml:space="preserve"> Render   |   </w:t>
      </w:r>
      <w:r>
        <w:rPr>
          <w:rStyle w:val="Strong"/>
        </w:rPr>
        <w:t>Base :</w:t>
      </w:r>
      <w:r>
        <w:rPr/>
        <w:t xml:space="preserve"> Neon PostgreSQL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bdr w:val="single" w:sz="24" w:space="7" w:color="2A9D8F"/>
          <w:shd w:fill="E7F6EF" w:val="clear"/>
        </w:rPr>
        <w:t>Objectif :</w:t>
      </w:r>
      <w:r>
        <w:rPr>
          <w:bdr w:val="single" w:sz="24" w:space="7" w:color="2A9D8F"/>
          <w:shd w:fill="E7F6EF" w:val="clear"/>
        </w:rPr>
        <w:t xml:space="preserve"> déployer une application Laravel Docker sur Render, connecter Neon correctement et éviter les erreurs de démarrage.</w:t>
      </w:r>
    </w:p>
    <w:p>
      <w:pPr>
        <w:pStyle w:val="Heading2"/>
        <w:bidi w:val="0"/>
        <w:jc w:val="left"/>
        <w:rPr/>
      </w:pPr>
      <w:r>
        <w:rPr/>
        <w:t>1. Préparer le projet</w:t>
      </w:r>
    </w:p>
    <w:p>
      <w:pPr>
        <w:pStyle w:val="BodyText"/>
        <w:bidi w:val="0"/>
        <w:jc w:val="left"/>
        <w:rPr/>
      </w:pPr>
      <w:r>
        <w:rPr/>
        <w:t>Le projet doit contenir un script de démarrage à la racine :</w:t>
      </w:r>
    </w:p>
    <w:p>
      <w:pPr>
        <w:pStyle w:val="Texteprformat"/>
        <w:bidi w:val="0"/>
        <w:jc w:val="left"/>
        <w:rPr/>
      </w:pPr>
      <w:r>
        <w:rPr/>
        <w:t>#!/bin/sh</w:t>
      </w:r>
    </w:p>
    <w:p>
      <w:pPr>
        <w:pStyle w:val="Texteprformat"/>
        <w:bidi w:val="0"/>
        <w:jc w:val="left"/>
        <w:rPr/>
      </w:pPr>
      <w:r>
        <w:rPr/>
        <w:t>set -e</w:t>
      </w:r>
    </w:p>
    <w:p>
      <w:pPr>
        <w:pStyle w:val="Texteprformat"/>
        <w:bidi w:val="0"/>
        <w:jc w:val="left"/>
        <w:rPr/>
      </w:pPr>
      <w:r>
        <w:rPr/>
      </w:r>
    </w:p>
    <w:p>
      <w:pPr>
        <w:pStyle w:val="Texteprformat"/>
        <w:bidi w:val="0"/>
        <w:jc w:val="left"/>
        <w:rPr/>
      </w:pPr>
      <w:r>
        <w:rPr/>
        <w:t>php artisan migrate --force</w:t>
      </w:r>
    </w:p>
    <w:p>
      <w:pPr>
        <w:pStyle w:val="Texteprformat"/>
        <w:bidi w:val="0"/>
        <w:spacing w:before="630" w:after="283"/>
        <w:jc w:val="left"/>
        <w:rPr/>
      </w:pPr>
      <w:r>
        <w:rPr/>
        <w:t>php artisan serve --host=0.0.0.0 --port="${PORT:-8000}"</w:t>
      </w:r>
    </w:p>
    <w:p>
      <w:pPr>
        <w:pStyle w:val="BodyText"/>
        <w:bidi w:val="0"/>
        <w:jc w:val="left"/>
        <w:rPr/>
      </w:pPr>
      <w:r>
        <w:rPr/>
        <w:t>Le Dockerfile doit utiliser ce script :</w:t>
      </w:r>
    </w:p>
    <w:p>
      <w:pPr>
        <w:pStyle w:val="Texteprformat"/>
        <w:bidi w:val="0"/>
        <w:jc w:val="left"/>
        <w:rPr/>
      </w:pPr>
      <w:r>
        <w:rPr/>
        <w:t>COPY start.sh /var/www/html/start.sh</w:t>
      </w:r>
    </w:p>
    <w:p>
      <w:pPr>
        <w:pStyle w:val="Texteprformat"/>
        <w:bidi w:val="0"/>
        <w:jc w:val="left"/>
        <w:rPr/>
      </w:pPr>
      <w:r>
        <w:rPr/>
        <w:t>RUN chmod +x /var/www/html/start.sh</w:t>
      </w:r>
    </w:p>
    <w:p>
      <w:pPr>
        <w:pStyle w:val="Texteprformat"/>
        <w:bidi w:val="0"/>
        <w:jc w:val="left"/>
        <w:rPr/>
      </w:pPr>
      <w:r>
        <w:rPr/>
      </w:r>
    </w:p>
    <w:p>
      <w:pPr>
        <w:pStyle w:val="Texteprformat"/>
        <w:bidi w:val="0"/>
        <w:jc w:val="left"/>
        <w:rPr/>
      </w:pPr>
      <w:r>
        <w:rPr/>
        <w:t>EXPOSE 8000</w:t>
      </w:r>
    </w:p>
    <w:p>
      <w:pPr>
        <w:pStyle w:val="Texteprformat"/>
        <w:bidi w:val="0"/>
        <w:spacing w:before="630" w:after="283"/>
        <w:jc w:val="left"/>
        <w:rPr/>
      </w:pPr>
      <w:r>
        <w:rPr/>
        <w:t>CMD ["sh", "start.sh"]</w:t>
      </w:r>
    </w:p>
    <w:p>
      <w:pPr>
        <w:pStyle w:val="BodyText"/>
        <w:bidi w:val="0"/>
        <w:jc w:val="left"/>
        <w:rPr/>
      </w:pPr>
      <w:r>
        <w:rPr/>
        <w:t xml:space="preserve">Le script utilise </w:t>
      </w:r>
      <w:r>
        <w:rPr>
          <w:rStyle w:val="Textesource"/>
        </w:rPr>
        <w:t>migrate</w:t>
      </w:r>
      <w:r>
        <w:rPr/>
        <w:t xml:space="preserve">, pas </w:t>
      </w:r>
      <w:r>
        <w:rPr>
          <w:rStyle w:val="Textesource"/>
        </w:rPr>
        <w:t>migrate:fresh</w:t>
      </w:r>
      <w:r>
        <w:rPr/>
        <w:t xml:space="preserve">. </w:t>
      </w:r>
      <w:r>
        <w:rPr>
          <w:rStyle w:val="Textesource"/>
        </w:rPr>
        <w:t>migrate:fresh</w:t>
      </w:r>
      <w:r>
        <w:rPr/>
        <w:t xml:space="preserve"> supprime toutes les tables et ne doit jamais être utilisé au démarrage en production.</w:t>
      </w:r>
    </w:p>
    <w:p>
      <w:pPr>
        <w:pStyle w:val="Heading2"/>
        <w:bidi w:val="0"/>
        <w:jc w:val="left"/>
        <w:rPr/>
      </w:pPr>
      <w:r>
        <w:rPr/>
        <w:t>2. Créer le service Render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Créer un service </w:t>
      </w:r>
      <w:r>
        <w:rPr>
          <w:rStyle w:val="Strong"/>
        </w:rPr>
        <w:t>Web Service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Choisir le dépôt GitHub et la branche </w:t>
      </w:r>
      <w:r>
        <w:rPr>
          <w:rStyle w:val="Textesource"/>
        </w:rPr>
        <w:t>main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Choisir l’environnement </w:t>
      </w:r>
      <w:r>
        <w:rPr>
          <w:rStyle w:val="Strong"/>
        </w:rPr>
        <w:t>Docker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Utiliser le Dockerfile du projet.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Dans </w:t>
      </w:r>
      <w:r>
        <w:rPr>
          <w:rStyle w:val="Strong"/>
        </w:rPr>
        <w:t>Docker Command</w:t>
      </w:r>
      <w:r>
        <w:rPr/>
        <w:t xml:space="preserve">, mettre </w:t>
      </w:r>
      <w:r>
        <w:rPr>
          <w:rStyle w:val="Textesource"/>
        </w:rPr>
        <w:t>sh start.sh</w:t>
      </w:r>
      <w:r>
        <w:rPr/>
        <w:t xml:space="preserve">, ou laisser le champ vide pour utiliser le </w:t>
      </w:r>
      <w:r>
        <w:rPr>
          <w:rStyle w:val="Textesource"/>
        </w:rPr>
        <w:t>CMD</w:t>
      </w:r>
      <w:r>
        <w:rPr/>
        <w:t xml:space="preserve"> du Dockerfile.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39" w:leader="none"/>
        </w:tabs>
        <w:bidi w:val="0"/>
        <w:ind w:hanging="283" w:left="1339"/>
        <w:jc w:val="left"/>
        <w:rPr/>
      </w:pPr>
      <w:r>
        <w:rPr/>
        <w:t xml:space="preserve">Ne pas mettre directement </w:t>
      </w:r>
      <w:r>
        <w:rPr>
          <w:rStyle w:val="Textesource"/>
        </w:rPr>
        <w:t>php artisan migrate --force &amp;&amp; php artisan serve ...</w:t>
      </w:r>
      <w:r>
        <w:rPr/>
        <w:t xml:space="preserve"> dans un champ exécuté sans shell. </w:t>
      </w:r>
    </w:p>
    <w:p>
      <w:pPr>
        <w:pStyle w:val="BodyText"/>
        <w:bidi w:val="0"/>
        <w:jc w:val="left"/>
        <w:rPr/>
      </w:pPr>
      <w:r>
        <w:rPr/>
        <w:t xml:space="preserve">Render fournit automatiquement la variable </w:t>
      </w:r>
      <w:r>
        <w:rPr>
          <w:rStyle w:val="Textesource"/>
        </w:rPr>
        <w:t>PORT</w:t>
      </w:r>
      <w:r>
        <w:rPr/>
        <w:t xml:space="preserve">. Laravel doit écouter sur </w:t>
      </w:r>
      <w:r>
        <w:rPr>
          <w:rStyle w:val="Textesource"/>
        </w:rPr>
        <w:t>0.0.0.0</w:t>
      </w:r>
      <w:r>
        <w:rPr/>
        <w:t xml:space="preserve"> et utiliser cette variable.</w:t>
      </w:r>
    </w:p>
    <w:p>
      <w:pPr>
        <w:pStyle w:val="Heading2"/>
        <w:bidi w:val="0"/>
        <w:jc w:val="left"/>
        <w:rPr/>
      </w:pPr>
      <w:r>
        <w:rPr/>
        <w:t>3. Récupérer les informations Neon</w:t>
      </w:r>
    </w:p>
    <w:p>
      <w:pPr>
        <w:pStyle w:val="BodyText"/>
        <w:bidi w:val="0"/>
        <w:jc w:val="left"/>
        <w:rPr/>
      </w:pPr>
      <w:r>
        <w:rPr/>
        <w:t xml:space="preserve">Dans Neon, ouvrir </w:t>
      </w:r>
      <w:r>
        <w:rPr>
          <w:rStyle w:val="Strong"/>
        </w:rPr>
        <w:t>Connect</w:t>
      </w:r>
      <w:r>
        <w:rPr/>
        <w:t xml:space="preserve">, sélectionner la branche de production, la base </w:t>
      </w:r>
      <w:r>
        <w:rPr>
          <w:rStyle w:val="Textesource"/>
        </w:rPr>
        <w:t>neondb</w:t>
      </w:r>
      <w:r>
        <w:rPr/>
        <w:t xml:space="preserve"> et le rôle propriétaire. Désactiver </w:t>
      </w:r>
      <w:r>
        <w:rPr>
          <w:rStyle w:val="Strong"/>
        </w:rPr>
        <w:t>Mise en commun des connexions</w:t>
      </w:r>
      <w:r>
        <w:rPr/>
        <w:t xml:space="preserve"> si l'on veut une connexion directe. La chaîne directe ne contient pas </w:t>
      </w:r>
      <w:r>
        <w:rPr>
          <w:rStyle w:val="Textesource"/>
        </w:rPr>
        <w:t>-pooler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Une chaîne ressemble à ceci, sans utiliser cet exemple comme vrai mot de passe :</w:t>
      </w:r>
    </w:p>
    <w:p>
      <w:pPr>
        <w:pStyle w:val="Texteprformat"/>
        <w:bidi w:val="0"/>
        <w:spacing w:before="630" w:after="283"/>
        <w:jc w:val="left"/>
        <w:rPr/>
      </w:pPr>
      <w:r>
        <w:rPr/>
        <w:t>postgresql://neondb_owner:MOT_DE_PASSE@ep-exemple.c-5.us-east-2.aws.neon.tech/neondb?sslmode=require</w:t>
      </w:r>
    </w:p>
    <w:p>
      <w:pPr>
        <w:pStyle w:val="BodyText"/>
        <w:bidi w:val="0"/>
        <w:jc w:val="left"/>
        <w:rPr/>
      </w:pPr>
      <w:r>
        <w:rPr/>
        <w:t xml:space="preserve">Si le mot de passe n'est plus connu, cliquer sur </w:t>
      </w:r>
      <w:r>
        <w:rPr>
          <w:rStyle w:val="Strong"/>
        </w:rPr>
        <w:t>Réinitialiser le mot de passe</w:t>
      </w:r>
      <w:r>
        <w:rPr/>
        <w:t xml:space="preserve"> dans Neon, puis utiliser le nouveau mot de passe dans Render.</w:t>
      </w:r>
    </w:p>
    <w:p>
      <w:pPr>
        <w:pStyle w:val="Heading2"/>
        <w:bidi w:val="0"/>
        <w:jc w:val="left"/>
        <w:rPr/>
      </w:pPr>
      <w:r>
        <w:rPr/>
        <w:t>4. Variables Render à configurer</w:t>
      </w:r>
    </w:p>
    <w:p>
      <w:pPr>
        <w:pStyle w:val="BodyText"/>
        <w:bidi w:val="0"/>
        <w:jc w:val="left"/>
        <w:rPr/>
      </w:pPr>
      <w:r>
        <w:rPr/>
        <w:t>Dans Render &gt; Environment, ajouter ou remplacer les variables suivantes :</w:t>
      </w:r>
    </w:p>
    <w:tbl>
      <w:tblPr>
        <w:tblW w:w="91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1"/>
        <w:gridCol w:w="2146"/>
        <w:gridCol w:w="4846"/>
      </w:tblGrid>
      <w:tr>
        <w:trPr/>
        <w:tc>
          <w:tcPr>
            <w:tcW w:w="2161" w:type="dxa"/>
            <w:tcBorders/>
            <w:vAlign w:val="center"/>
          </w:tcPr>
          <w:p>
            <w:pPr>
              <w:pStyle w:val="Titredetableau"/>
              <w:suppressLineNumbers/>
              <w:shd w:fill="173F5F" w:val="clear"/>
              <w:bidi w:val="0"/>
              <w:spacing w:before="0" w:after="283"/>
              <w:jc w:val="left"/>
              <w:rPr/>
            </w:pPr>
            <w:r>
              <w:rPr/>
              <w:t>Variable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itredetableau"/>
              <w:suppressLineNumbers/>
              <w:shd w:fill="173F5F" w:val="clear"/>
              <w:bidi w:val="0"/>
              <w:spacing w:before="0" w:after="283"/>
              <w:jc w:val="left"/>
              <w:rPr/>
            </w:pPr>
            <w:r>
              <w:rPr/>
              <w:t>Valeur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Titredetableau"/>
              <w:suppressLineNumbers/>
              <w:shd w:fill="173F5F" w:val="clear"/>
              <w:bidi w:val="0"/>
              <w:spacing w:before="0" w:after="283"/>
              <w:jc w:val="left"/>
              <w:rPr/>
            </w:pPr>
            <w:r>
              <w:rPr/>
              <w:t>Remarque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APP_ENV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production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Environnement Laravel.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APP_DEBUG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false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Ne jamais laisser true en production.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APP_KEY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base64:...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Générer avec </w:t>
            </w:r>
            <w:r>
              <w:rPr>
                <w:rStyle w:val="Textesource"/>
              </w:rPr>
              <w:t>php artisan key:generate --show</w:t>
            </w:r>
            <w:r>
              <w:rPr/>
              <w:t>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DB_CONNECTION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pgsql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Connexion PostgreSQL.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DB_HOST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hôte Neon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Utiliser l'hôte exact fourni par Neon.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DB_PORT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5432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Port PostgreSQL.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DB_DATABASE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neondb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Nom de la base.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DB_USERNAME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neondb_owner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Nom du rôle Neon.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DB_PASSWORD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mot de passe Neon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Secret à ne jamais publier.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DB_SSLMODE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require</w:t>
            </w:r>
          </w:p>
        </w:tc>
        <w:tc>
          <w:tcPr>
            <w:tcW w:w="484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Connexion chiffrée Neon.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Pour éviter les mélanges, utiliser soit les variables séparées ci-dessus, soit une variable </w:t>
      </w:r>
      <w:r>
        <w:rPr>
          <w:rStyle w:val="Textesource"/>
        </w:rPr>
        <w:t>DB_URL</w:t>
      </w:r>
      <w:r>
        <w:rPr/>
        <w:t xml:space="preserve"> complète. Ne pas conserver une ancienne </w:t>
      </w:r>
      <w:r>
        <w:rPr>
          <w:rStyle w:val="Textesource"/>
        </w:rPr>
        <w:t>DB_URL</w:t>
      </w:r>
      <w:r>
        <w:rPr/>
        <w:t xml:space="preserve"> qui contredirait les autres variables.</w:t>
      </w:r>
    </w:p>
    <w:p>
      <w:pPr>
        <w:pStyle w:val="Heading2"/>
        <w:bidi w:val="0"/>
        <w:jc w:val="left"/>
        <w:rPr/>
      </w:pPr>
      <w:r>
        <w:rPr/>
        <w:t>5. Générer APP_KEY</w:t>
      </w:r>
    </w:p>
    <w:p>
      <w:pPr>
        <w:pStyle w:val="BodyText"/>
        <w:bidi w:val="0"/>
        <w:jc w:val="left"/>
        <w:rPr/>
      </w:pPr>
      <w:r>
        <w:rPr/>
        <w:t>Depuis le dossier Laravel :</w:t>
      </w:r>
    </w:p>
    <w:p>
      <w:pPr>
        <w:pStyle w:val="Texteprformat"/>
        <w:bidi w:val="0"/>
        <w:spacing w:before="630" w:after="283"/>
        <w:jc w:val="left"/>
        <w:rPr/>
      </w:pPr>
      <w:r>
        <w:rPr/>
        <w:t>php artisan key:generate --show</w:t>
      </w:r>
    </w:p>
    <w:p>
      <w:pPr>
        <w:pStyle w:val="BodyText"/>
        <w:bidi w:val="0"/>
        <w:jc w:val="left"/>
        <w:rPr/>
      </w:pPr>
      <w:r>
        <w:rPr/>
        <w:t xml:space="preserve">Copier toute la valeur retournée dans Render. Elle doit commencer par un seul </w:t>
      </w:r>
      <w:r>
        <w:rPr>
          <w:rStyle w:val="Textesource"/>
        </w:rPr>
        <w:t>base64:</w:t>
      </w:r>
      <w:r>
        <w:rPr/>
        <w:t xml:space="preserve">. Dans Render, le champ Key contient </w:t>
      </w:r>
      <w:r>
        <w:rPr>
          <w:rStyle w:val="Textesource"/>
        </w:rPr>
        <w:t>APP_KEY</w:t>
      </w:r>
      <w:r>
        <w:rPr/>
        <w:t xml:space="preserve"> et le champ Value contient uniquement la valeur.</w:t>
      </w:r>
    </w:p>
    <w:p>
      <w:pPr>
        <w:pStyle w:val="Heading2"/>
        <w:bidi w:val="0"/>
        <w:jc w:val="left"/>
        <w:rPr/>
      </w:pPr>
      <w:r>
        <w:rPr/>
        <w:t>6. Première migration de la base</w:t>
      </w:r>
    </w:p>
    <w:p>
      <w:pPr>
        <w:pStyle w:val="BodyText"/>
        <w:bidi w:val="0"/>
        <w:jc w:val="left"/>
        <w:rPr/>
      </w:pPr>
      <w:r>
        <w:rPr/>
        <w:t>Si la base Neon est vide, le démarrage exécute automatiquement :</w:t>
      </w:r>
    </w:p>
    <w:p>
      <w:pPr>
        <w:pStyle w:val="Texteprformat"/>
        <w:bidi w:val="0"/>
        <w:spacing w:before="630" w:after="283"/>
        <w:jc w:val="left"/>
        <w:rPr/>
      </w:pPr>
      <w:r>
        <w:rPr/>
        <w:t>php artisan migrate --force</w:t>
      </w:r>
    </w:p>
    <w:p>
      <w:pPr>
        <w:pStyle w:val="BodyText"/>
        <w:bidi w:val="0"/>
        <w:jc w:val="left"/>
        <w:rPr/>
      </w:pPr>
      <w:r>
        <w:rPr/>
        <w:t>Si la base de test contient un ancien schéma incohérent, sauvegarder les données puis exécuter dans Neon SQL Editor :</w:t>
      </w:r>
    </w:p>
    <w:p>
      <w:pPr>
        <w:pStyle w:val="Texteprformat"/>
        <w:bidi w:val="0"/>
        <w:jc w:val="left"/>
        <w:rPr/>
      </w:pPr>
      <w:r>
        <w:rPr/>
        <w:t>DROP SCHEMA public CASCADE;</w:t>
      </w:r>
    </w:p>
    <w:p>
      <w:pPr>
        <w:pStyle w:val="Texteprformat"/>
        <w:bidi w:val="0"/>
        <w:spacing w:before="630" w:after="283"/>
        <w:jc w:val="left"/>
        <w:rPr/>
      </w:pPr>
      <w:r>
        <w:rPr/>
        <w:t>CREATE SCHEMA public;</w:t>
      </w:r>
    </w:p>
    <w:p>
      <w:pPr>
        <w:pStyle w:val="BodyText"/>
        <w:bidi w:val="0"/>
        <w:jc w:val="left"/>
        <w:rPr/>
      </w:pPr>
      <w:r>
        <w:rPr/>
        <w:t>Cette commande supprime toutes les tables. Ne pas l'utiliser sur une base contenant des données importantes.</w:t>
      </w:r>
    </w:p>
    <w:p>
      <w:pPr>
        <w:pStyle w:val="Heading2"/>
        <w:bidi w:val="0"/>
        <w:jc w:val="left"/>
        <w:rPr/>
      </w:pPr>
      <w:r>
        <w:rPr/>
        <w:t>7. Déployer</w:t>
      </w:r>
    </w:p>
    <w:p>
      <w:pPr>
        <w:pStyle w:val="Texteprformat"/>
        <w:bidi w:val="0"/>
        <w:jc w:val="left"/>
        <w:rPr/>
      </w:pPr>
      <w:r>
        <w:rPr/>
        <w:t>git add Dockerfile start.sh</w:t>
      </w:r>
    </w:p>
    <w:p>
      <w:pPr>
        <w:pStyle w:val="Texteprformat"/>
        <w:bidi w:val="0"/>
        <w:jc w:val="left"/>
        <w:rPr/>
      </w:pPr>
      <w:r>
        <w:rPr/>
        <w:t>git commit -m "fix: deploy Laravel on Render"</w:t>
      </w:r>
    </w:p>
    <w:p>
      <w:pPr>
        <w:pStyle w:val="Texteprformat"/>
        <w:bidi w:val="0"/>
        <w:spacing w:before="630" w:after="283"/>
        <w:jc w:val="left"/>
        <w:rPr/>
      </w:pPr>
      <w:r>
        <w:rPr/>
        <w:t>git push origin main</w:t>
      </w:r>
    </w:p>
    <w:p>
      <w:pPr>
        <w:pStyle w:val="BodyText"/>
        <w:bidi w:val="0"/>
        <w:jc w:val="left"/>
        <w:rPr/>
      </w:pPr>
      <w:r>
        <w:rPr/>
        <w:t>Dans Render, attendre la fin du build puis consulter les logs.</w:t>
      </w:r>
    </w:p>
    <w:p>
      <w:pPr>
        <w:pStyle w:val="Heading2"/>
        <w:bidi w:val="0"/>
        <w:jc w:val="left"/>
        <w:rPr/>
      </w:pPr>
      <w:r>
        <w:rPr/>
        <w:t>8. Lire les erreurs fréquentes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1"/>
        <w:gridCol w:w="3365"/>
        <w:gridCol w:w="4413"/>
      </w:tblGrid>
      <w:tr>
        <w:trPr/>
        <w:tc>
          <w:tcPr>
            <w:tcW w:w="3561" w:type="dxa"/>
            <w:tcBorders/>
            <w:vAlign w:val="center"/>
          </w:tcPr>
          <w:p>
            <w:pPr>
              <w:pStyle w:val="Titredetableau"/>
              <w:suppressLineNumbers/>
              <w:shd w:fill="173F5F" w:val="clear"/>
              <w:bidi w:val="0"/>
              <w:spacing w:before="0" w:after="283"/>
              <w:jc w:val="left"/>
              <w:rPr/>
            </w:pPr>
            <w:r>
              <w:rPr/>
              <w:t>Erreur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Titredetableau"/>
              <w:suppressLineNumbers/>
              <w:shd w:fill="173F5F" w:val="clear"/>
              <w:bidi w:val="0"/>
              <w:spacing w:before="0" w:after="283"/>
              <w:jc w:val="left"/>
              <w:rPr/>
            </w:pPr>
            <w:r>
              <w:rPr/>
              <w:t>Cause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Titredetableau"/>
              <w:suppressLineNumbers/>
              <w:shd w:fill="173F5F" w:val="clear"/>
              <w:bidi w:val="0"/>
              <w:spacing w:before="0" w:after="283"/>
              <w:jc w:val="left"/>
              <w:rPr/>
            </w:pPr>
            <w:r>
              <w:rPr/>
              <w:t>Correction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No arguments expected for migrate, got &amp;&amp;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Render n'interprète pas </w:t>
            </w:r>
            <w:r>
              <w:rPr>
                <w:rStyle w:val="Textesource"/>
              </w:rPr>
              <w:t>&amp;&amp;</w:t>
            </w:r>
            <w:r>
              <w:rPr/>
              <w:t xml:space="preserve"> comme un shell.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Utiliser </w:t>
            </w:r>
            <w:r>
              <w:rPr>
                <w:rStyle w:val="Textesource"/>
              </w:rPr>
              <w:t>sh start.sh</w:t>
            </w:r>
            <w:r>
              <w:rPr/>
              <w:t>.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fe_sendauth: no password supplied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DB_PASSWORD</w:t>
            </w:r>
            <w:r>
              <w:rPr/>
              <w:t xml:space="preserve"> absent ou </w:t>
            </w:r>
            <w:r>
              <w:rPr>
                <w:rStyle w:val="Textesource"/>
              </w:rPr>
              <w:t>DB_URL</w:t>
            </w:r>
            <w:r>
              <w:rPr/>
              <w:t xml:space="preserve"> prioritaire.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Ajouter le mot de passe Neon et supprimer l'ancienne variable contradictoire.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password authentication failed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Mot de passe incorrect, rôle incorrect ou chaîne ancienne.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Réinitialiser le mot de passe Neon et recopier les valeurs.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Unsupported cipher or incorrect key length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APP_KEY</w:t>
            </w:r>
            <w:r>
              <w:rPr/>
              <w:t xml:space="preserve"> invalide.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Régénérer avec </w:t>
            </w:r>
            <w:r>
              <w:rPr>
                <w:rStyle w:val="Textesource"/>
              </w:rPr>
              <w:t>php artisan key:generate --show</w:t>
            </w:r>
            <w:r>
              <w:rPr/>
              <w:t>.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SQLSTATE[25P02]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Une requête précédente a déjà fait échouer la transaction.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Lire la première erreur du log; souvent connexion ou schéma Neon.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Port scan timeout</w:t>
            </w:r>
          </w:p>
        </w:tc>
        <w:tc>
          <w:tcPr>
            <w:tcW w:w="336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Le serveur ne démarre pas ou n'écoute pas sur </w:t>
            </w:r>
            <w:r>
              <w:rPr>
                <w:rStyle w:val="Textesource"/>
              </w:rPr>
              <w:t>PORT</w:t>
            </w:r>
            <w:r>
              <w:rPr/>
              <w:t>.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 xml:space="preserve">Utiliser </w:t>
            </w:r>
            <w:r>
              <w:rPr>
                <w:rStyle w:val="Textesource"/>
              </w:rPr>
              <w:t>php artisan serve --host=0.0.0.0 --port="${PORT:-8000}"</w:t>
            </w:r>
            <w:r>
              <w:rPr/>
              <w:t>.</w:t>
            </w:r>
          </w:p>
        </w:tc>
      </w:tr>
    </w:tbl>
    <w:p>
      <w:pPr>
        <w:pStyle w:val="Heading2"/>
        <w:bidi w:val="0"/>
        <w:jc w:val="left"/>
        <w:rPr/>
      </w:pPr>
      <w:r>
        <w:rPr/>
        <w:t>9. Vérification finale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Le build Docker se termine sans erreur.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Les logs affichent </w:t>
      </w:r>
      <w:r>
        <w:rPr>
          <w:rStyle w:val="Textesource"/>
        </w:rPr>
        <w:t>Running migrations</w:t>
      </w:r>
      <w:r>
        <w:rPr/>
        <w:t xml:space="preserve">, puis le serveur reste actif.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Render affiche </w:t>
      </w:r>
      <w:r>
        <w:rPr>
          <w:rStyle w:val="Strong"/>
        </w:rPr>
        <w:t>Your service is live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39" w:leader="none"/>
        </w:tabs>
        <w:bidi w:val="0"/>
        <w:spacing w:before="0" w:after="0"/>
        <w:ind w:hanging="283" w:left="1339"/>
        <w:jc w:val="left"/>
        <w:rPr/>
      </w:pPr>
      <w:r>
        <w:rPr/>
        <w:t xml:space="preserve">L'URL publique répond en HTTP.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39" w:leader="none"/>
        </w:tabs>
        <w:bidi w:val="0"/>
        <w:ind w:hanging="283" w:left="1339"/>
        <w:jc w:val="left"/>
        <w:rPr/>
      </w:pPr>
      <w:r>
        <w:rPr/>
        <w:t xml:space="preserve">Aucun mot de passe, token ou chaîne Neon complète n'est commité dans GitHub.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bdr w:val="single" w:sz="24" w:space="7" w:color="F4A261"/>
          <w:shd w:fill="FFF4DF" w:val="clear"/>
        </w:rPr>
        <w:t>Important :</w:t>
      </w:r>
      <w:r>
        <w:rPr>
          <w:bdr w:val="single" w:sz="24" w:space="7" w:color="F4A261"/>
          <w:shd w:fill="FFF4DF" w:val="clear"/>
        </w:rPr>
        <w:t xml:space="preserve"> ne partage jamais </w:t>
      </w:r>
      <w:r>
        <w:rPr>
          <w:rStyle w:val="Textesource"/>
          <w:bdr w:val="single" w:sz="24" w:space="7" w:color="F4A261"/>
          <w:shd w:fill="FFF4DF" w:val="clear"/>
        </w:rPr>
        <w:t>DB_PASSWORD</w:t>
      </w:r>
      <w:r>
        <w:rPr>
          <w:bdr w:val="single" w:sz="24" w:space="7" w:color="F4A261"/>
          <w:shd w:fill="FFF4DF" w:val="clear"/>
        </w:rPr>
        <w:t xml:space="preserve">, </w:t>
      </w:r>
      <w:r>
        <w:rPr>
          <w:rStyle w:val="Textesource"/>
          <w:bdr w:val="single" w:sz="24" w:space="7" w:color="F4A261"/>
          <w:shd w:fill="FFF4DF" w:val="clear"/>
        </w:rPr>
        <w:t>APP_KEY</w:t>
      </w:r>
      <w:r>
        <w:rPr>
          <w:bdr w:val="single" w:sz="24" w:space="7" w:color="F4A261"/>
          <w:shd w:fill="FFF4DF" w:val="clear"/>
        </w:rPr>
        <w:t xml:space="preserve"> ou une URL Neon complète dans une capture, un commit ou un message public. Après une fuite, réinitialiser immédiatement le secret concerné.</w:t>
      </w:r>
    </w:p>
    <w:p>
      <w:pPr>
        <w:pStyle w:val="Corpsdetextesmall"/>
        <w:bidi w:val="0"/>
        <w:spacing w:before="0" w:after="283"/>
        <w:jc w:val="left"/>
        <w:rPr/>
      </w:pPr>
      <w:r>
        <w:rPr/>
        <w:t>Document de travail - septembre 2026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630" w:after="630"/>
      <w:ind w:left="630" w:right="630"/>
    </w:pPr>
    <w:rPr>
      <w:rFonts w:ascii="Arial;sans-serif" w:hAnsi="Arial;sans-serif" w:eastAsia="Arial;sans-serif" w:cs="Arial;sans-serif"/>
      <w:color w:val="202124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pBdr>
        <w:bottom w:val="single" w:sz="12" w:space="6" w:color="3CAEA3"/>
      </w:pBdr>
    </w:pPr>
    <w:rPr>
      <w:rFonts w:ascii="Noto Sans" w:hAnsi="Noto Sans"/>
      <w:b/>
      <w:bCs/>
      <w:color w:val="173F5F"/>
      <w:sz w:val="38"/>
      <w:szCs w:val="38"/>
    </w:rPr>
  </w:style>
  <w:style w:type="paragraph" w:styleId="Heading2">
    <w:name w:val="Heading 2"/>
    <w:basedOn w:val="Titre"/>
    <w:next w:val="BodyText"/>
    <w:qFormat/>
    <w:pPr>
      <w:spacing w:before="375" w:after="120"/>
      <w:outlineLvl w:val="1"/>
    </w:pPr>
    <w:rPr>
      <w:rFonts w:ascii="Liberation Serif" w:hAnsi="Liberation Serif" w:eastAsia="Noto Serif CJK SC" w:cs="Noto Sans Devanagari"/>
      <w:b/>
      <w:bCs/>
      <w:color w:val="20639B"/>
      <w:sz w:val="27"/>
      <w:szCs w:val="27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173F5F"/>
      <w:sz w:val="21"/>
      <w:szCs w:val="21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00080"/>
      <w:u w:val="single"/>
    </w:rPr>
  </w:style>
  <w:style w:type="character" w:styleId="Textesource">
    <w:name w:val="Texte source"/>
    <w:qFormat/>
    <w:rPr>
      <w:rFonts w:ascii="Consolas;monospace" w:hAnsi="Consolas;monospace" w:eastAsia="Consolas;monospace" w:cs="Consolas;monospace"/>
    </w:rPr>
  </w:style>
  <w:style w:type="character" w:styleId="Strong">
    <w:name w:val="Strong"/>
    <w:qFormat/>
    <w:rPr>
      <w:b/>
      <w:bCs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48" w:leader="none"/>
        <w:tab w:val="right" w:pos="1026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48" w:leader="none"/>
        <w:tab w:val="right" w:pos="10267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1134"/>
        <w:tab w:val="center" w:pos="5449" w:leader="none"/>
        <w:tab w:val="right" w:pos="1026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>
      <w:sz w:val="17"/>
      <w:szCs w:val="17"/>
    </w:rPr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eprformat">
    <w:name w:val="Texte préformaté"/>
    <w:basedOn w:val="Normal"/>
    <w:qFormat/>
    <w:pPr>
      <w:pBdr>
        <w:left w:val="single" w:sz="24" w:space="8" w:color="3CAEA3"/>
      </w:pBdr>
      <w:shd w:fill="F1F5F5" w:val="clear"/>
      <w:spacing w:before="630" w:after="0"/>
    </w:pPr>
    <w:rPr>
      <w:rFonts w:ascii="Consolas;monospace" w:hAnsi="Consolas;monospace" w:eastAsia="Consolas;monospace" w:cs="Consolas;monospace"/>
      <w:sz w:val="15"/>
      <w:szCs w:val="15"/>
    </w:rPr>
  </w:style>
  <w:style w:type="paragraph" w:styleId="Titredetableau">
    <w:name w:val="Titre de tableau"/>
    <w:basedOn w:val="Contenudetableau"/>
    <w:qFormat/>
    <w:pPr>
      <w:suppressLineNumbers/>
      <w:shd w:fill="173F5F" w:val="clear"/>
      <w:jc w:val="left"/>
    </w:pPr>
    <w:rPr>
      <w:b/>
      <w:bCs/>
      <w:color w:val="FFFFFF"/>
    </w:rPr>
  </w:style>
  <w:style w:type="paragraph" w:styleId="Corpsdetextesmall">
    <w:name w:val="Corps de texte.small"/>
    <w:basedOn w:val="BodyText"/>
    <w:qFormat/>
    <w:pPr/>
    <w:rPr>
      <w:color w:val="5F6368"/>
      <w:sz w:val="14"/>
      <w:szCs w:val="1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Guide de déploiement Laravel sur Render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