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4484" w14:textId="44713A0E" w:rsidR="00032A3F" w:rsidRPr="00032A3F" w:rsidRDefault="00032A3F" w:rsidP="00032A3F">
      <w:pPr>
        <w:jc w:val="center"/>
        <w:rPr>
          <w:rFonts w:ascii="Times New Roman" w:hAnsi="Times New Roman" w:cs="Times New Roman"/>
          <w:b/>
          <w:bCs/>
          <w:sz w:val="24"/>
          <w:szCs w:val="24"/>
          <w:lang w:val="es-ES"/>
        </w:rPr>
      </w:pPr>
      <w:r w:rsidRPr="00032A3F">
        <w:rPr>
          <w:rFonts w:ascii="Times New Roman" w:hAnsi="Times New Roman" w:cs="Times New Roman"/>
          <w:b/>
          <w:bCs/>
          <w:sz w:val="24"/>
          <w:szCs w:val="24"/>
          <w:lang w:val="es-ES"/>
        </w:rPr>
        <w:t>Deber de bioinformática</w:t>
      </w:r>
    </w:p>
    <w:p w14:paraId="174363F5" w14:textId="1D1526D6" w:rsidR="00032A3F" w:rsidRPr="00032A3F" w:rsidRDefault="00032A3F">
      <w:pPr>
        <w:rPr>
          <w:rFonts w:ascii="Times New Roman" w:hAnsi="Times New Roman" w:cs="Times New Roman"/>
          <w:sz w:val="24"/>
          <w:szCs w:val="24"/>
          <w:lang w:val="es-ES"/>
        </w:rPr>
      </w:pPr>
      <w:r w:rsidRPr="00032A3F">
        <w:rPr>
          <w:rFonts w:ascii="Times New Roman" w:hAnsi="Times New Roman" w:cs="Times New Roman"/>
          <w:b/>
          <w:bCs/>
          <w:sz w:val="24"/>
          <w:szCs w:val="24"/>
          <w:lang w:val="es-ES"/>
        </w:rPr>
        <w:t>Nombre:</w:t>
      </w:r>
      <w:r w:rsidRPr="00032A3F">
        <w:rPr>
          <w:rFonts w:ascii="Times New Roman" w:hAnsi="Times New Roman" w:cs="Times New Roman"/>
          <w:sz w:val="24"/>
          <w:szCs w:val="24"/>
          <w:lang w:val="es-ES"/>
        </w:rPr>
        <w:t xml:space="preserve"> Christhoper Carrasco.</w:t>
      </w:r>
    </w:p>
    <w:p w14:paraId="4F7FA02E" w14:textId="6C66A15F" w:rsidR="00032A3F" w:rsidRDefault="00032A3F" w:rsidP="00032A3F">
      <w:pPr>
        <w:pStyle w:val="Prrafodelista"/>
        <w:numPr>
          <w:ilvl w:val="0"/>
          <w:numId w:val="1"/>
        </w:numPr>
        <w:rPr>
          <w:rFonts w:ascii="Times New Roman" w:hAnsi="Times New Roman" w:cs="Times New Roman"/>
          <w:b/>
          <w:bCs/>
          <w:sz w:val="24"/>
          <w:szCs w:val="24"/>
          <w:lang w:val="es-ES"/>
        </w:rPr>
      </w:pPr>
      <w:r w:rsidRPr="00032A3F">
        <w:rPr>
          <w:rFonts w:ascii="Times New Roman" w:hAnsi="Times New Roman" w:cs="Times New Roman"/>
          <w:b/>
          <w:bCs/>
          <w:sz w:val="24"/>
          <w:szCs w:val="24"/>
          <w:lang w:val="es-ES"/>
        </w:rPr>
        <w:t>Ejercicio 1.10.1 Marra2014</w:t>
      </w:r>
    </w:p>
    <w:p w14:paraId="38499A3F" w14:textId="15D8818E" w:rsidR="00E36EA1" w:rsidRPr="00E36EA1" w:rsidRDefault="00E36EA1" w:rsidP="00E36EA1">
      <w:pPr>
        <w:rPr>
          <w:rFonts w:ascii="Times New Roman" w:hAnsi="Times New Roman" w:cs="Times New Roman"/>
          <w:b/>
          <w:bCs/>
          <w:sz w:val="24"/>
          <w:szCs w:val="24"/>
          <w:lang w:val="es-ES"/>
        </w:rPr>
      </w:pPr>
      <w:r w:rsidRPr="00E36EA1">
        <w:rPr>
          <w:rFonts w:ascii="Times New Roman" w:hAnsi="Times New Roman" w:cs="Times New Roman"/>
          <w:b/>
          <w:bCs/>
          <w:noProof/>
          <w:sz w:val="24"/>
          <w:szCs w:val="24"/>
          <w:lang w:val="es-ES"/>
        </w:rPr>
        <w:drawing>
          <wp:inline distT="0" distB="0" distL="0" distR="0" wp14:anchorId="2DEEE76C" wp14:editId="120D9A68">
            <wp:extent cx="5612130" cy="56311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631180"/>
                    </a:xfrm>
                    <a:prstGeom prst="rect">
                      <a:avLst/>
                    </a:prstGeom>
                  </pic:spPr>
                </pic:pic>
              </a:graphicData>
            </a:graphic>
          </wp:inline>
        </w:drawing>
      </w:r>
    </w:p>
    <w:p w14:paraId="336D3893" w14:textId="7CD69F8D" w:rsidR="00032A3F" w:rsidRPr="00032A3F" w:rsidRDefault="00032A3F" w:rsidP="00032A3F">
      <w:pPr>
        <w:rPr>
          <w:rFonts w:ascii="Times New Roman" w:hAnsi="Times New Roman" w:cs="Times New Roman"/>
          <w:sz w:val="24"/>
          <w:szCs w:val="24"/>
          <w:lang w:val="es-ES"/>
        </w:rPr>
      </w:pPr>
      <w:r w:rsidRPr="00032A3F">
        <w:rPr>
          <w:rFonts w:ascii="Times New Roman" w:hAnsi="Times New Roman" w:cs="Times New Roman"/>
          <w:noProof/>
          <w:sz w:val="24"/>
          <w:szCs w:val="24"/>
          <w:lang w:val="es-ES"/>
        </w:rPr>
        <w:drawing>
          <wp:inline distT="0" distB="0" distL="0" distR="0" wp14:anchorId="50B3EDCA" wp14:editId="1CC2CFD0">
            <wp:extent cx="5612130" cy="5886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88645"/>
                    </a:xfrm>
                    <a:prstGeom prst="rect">
                      <a:avLst/>
                    </a:prstGeom>
                  </pic:spPr>
                </pic:pic>
              </a:graphicData>
            </a:graphic>
          </wp:inline>
        </w:drawing>
      </w:r>
    </w:p>
    <w:p w14:paraId="23A99845" w14:textId="16CD4AEF" w:rsidR="00032A3F" w:rsidRPr="00E36EA1" w:rsidRDefault="00E36EA1" w:rsidP="00E36EA1">
      <w:pPr>
        <w:pStyle w:val="Prrafodelista"/>
        <w:numPr>
          <w:ilvl w:val="0"/>
          <w:numId w:val="1"/>
        </w:numPr>
        <w:rPr>
          <w:lang w:val="es-ES"/>
        </w:rPr>
      </w:pPr>
      <w:r>
        <w:rPr>
          <w:b/>
          <w:bCs/>
          <w:lang w:val="es-ES"/>
        </w:rPr>
        <w:t>Ejercicio 1.10.2</w:t>
      </w:r>
    </w:p>
    <w:p w14:paraId="5CC06BD8" w14:textId="206EC0BF" w:rsidR="00E36EA1" w:rsidRDefault="00375383" w:rsidP="00E36EA1">
      <w:r w:rsidRPr="00375383">
        <w:rPr>
          <w:noProof/>
        </w:rPr>
        <w:lastRenderedPageBreak/>
        <w:drawing>
          <wp:inline distT="0" distB="0" distL="0" distR="0" wp14:anchorId="0541E4AE" wp14:editId="14C27A92">
            <wp:extent cx="5612130" cy="23901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90140"/>
                    </a:xfrm>
                    <a:prstGeom prst="rect">
                      <a:avLst/>
                    </a:prstGeom>
                  </pic:spPr>
                </pic:pic>
              </a:graphicData>
            </a:graphic>
          </wp:inline>
        </w:drawing>
      </w:r>
      <w:r w:rsidR="000906C7" w:rsidRPr="000906C7">
        <w:rPr>
          <w:noProof/>
        </w:rPr>
        <w:t xml:space="preserve"> </w:t>
      </w:r>
      <w:r w:rsidR="000906C7" w:rsidRPr="000906C7">
        <w:drawing>
          <wp:inline distT="0" distB="0" distL="0" distR="0" wp14:anchorId="3C1386E5" wp14:editId="22B924A7">
            <wp:extent cx="5612130" cy="47840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784090"/>
                    </a:xfrm>
                    <a:prstGeom prst="rect">
                      <a:avLst/>
                    </a:prstGeom>
                  </pic:spPr>
                </pic:pic>
              </a:graphicData>
            </a:graphic>
          </wp:inline>
        </w:drawing>
      </w:r>
      <w:r w:rsidR="000906C7" w:rsidRPr="000906C7">
        <w:rPr>
          <w:noProof/>
        </w:rPr>
        <w:t xml:space="preserve"> </w:t>
      </w:r>
      <w:r w:rsidR="000906C7" w:rsidRPr="000906C7">
        <w:rPr>
          <w:noProof/>
        </w:rPr>
        <w:drawing>
          <wp:inline distT="0" distB="0" distL="0" distR="0" wp14:anchorId="449341E9" wp14:editId="5E64226B">
            <wp:extent cx="5612130" cy="94996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49960"/>
                    </a:xfrm>
                    <a:prstGeom prst="rect">
                      <a:avLst/>
                    </a:prstGeom>
                  </pic:spPr>
                </pic:pic>
              </a:graphicData>
            </a:graphic>
          </wp:inline>
        </w:drawing>
      </w:r>
    </w:p>
    <w:p w14:paraId="477FD9BD" w14:textId="0ED105EC" w:rsidR="00375383" w:rsidRDefault="00375383" w:rsidP="00E36EA1"/>
    <w:p w14:paraId="03DCF58C" w14:textId="505BD927" w:rsidR="00375383" w:rsidRDefault="00375383" w:rsidP="00375383">
      <w:pPr>
        <w:pStyle w:val="Prrafodelista"/>
        <w:numPr>
          <w:ilvl w:val="0"/>
          <w:numId w:val="1"/>
        </w:numPr>
        <w:rPr>
          <w:b/>
          <w:bCs/>
        </w:rPr>
      </w:pPr>
      <w:r w:rsidRPr="00375383">
        <w:rPr>
          <w:b/>
          <w:bCs/>
        </w:rPr>
        <w:t>Ejercicio 1.10.3</w:t>
      </w:r>
    </w:p>
    <w:p w14:paraId="6EA67C37" w14:textId="662AAF33" w:rsidR="00743FD3" w:rsidRPr="00743FD3" w:rsidRDefault="00743FD3" w:rsidP="00743FD3">
      <w:pPr>
        <w:rPr>
          <w:b/>
          <w:bCs/>
        </w:rPr>
      </w:pPr>
      <w:r w:rsidRPr="00743FD3">
        <w:rPr>
          <w:b/>
          <w:bCs/>
          <w:noProof/>
        </w:rPr>
        <w:drawing>
          <wp:inline distT="0" distB="0" distL="0" distR="0" wp14:anchorId="0E901D49" wp14:editId="4395121C">
            <wp:extent cx="5612130" cy="16789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78940"/>
                    </a:xfrm>
                    <a:prstGeom prst="rect">
                      <a:avLst/>
                    </a:prstGeom>
                  </pic:spPr>
                </pic:pic>
              </a:graphicData>
            </a:graphic>
          </wp:inline>
        </w:drawing>
      </w:r>
    </w:p>
    <w:p w14:paraId="11F26811" w14:textId="416E7F2C" w:rsidR="00375383" w:rsidRPr="00375383" w:rsidRDefault="00743FD3" w:rsidP="00375383">
      <w:pPr>
        <w:rPr>
          <w:b/>
          <w:bCs/>
        </w:rPr>
      </w:pPr>
      <w:r w:rsidRPr="00743FD3">
        <w:rPr>
          <w:b/>
          <w:bCs/>
          <w:noProof/>
        </w:rPr>
        <w:drawing>
          <wp:inline distT="0" distB="0" distL="0" distR="0" wp14:anchorId="47119293" wp14:editId="3D9676E4">
            <wp:extent cx="5612130" cy="53130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313045"/>
                    </a:xfrm>
                    <a:prstGeom prst="rect">
                      <a:avLst/>
                    </a:prstGeom>
                  </pic:spPr>
                </pic:pic>
              </a:graphicData>
            </a:graphic>
          </wp:inline>
        </w:drawing>
      </w:r>
    </w:p>
    <w:p w14:paraId="114AC94A" w14:textId="7C1340D9" w:rsidR="001F0A13" w:rsidRPr="001F0A13" w:rsidRDefault="0096499E" w:rsidP="001F0A13">
      <w:r>
        <w:tab/>
      </w:r>
    </w:p>
    <w:sectPr w:rsidR="001F0A13" w:rsidRPr="001F0A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A00E4"/>
    <w:multiLevelType w:val="hybridMultilevel"/>
    <w:tmpl w:val="10260058"/>
    <w:lvl w:ilvl="0" w:tplc="53A07A9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73172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3F"/>
    <w:rsid w:val="00032A3F"/>
    <w:rsid w:val="000906C7"/>
    <w:rsid w:val="001501B7"/>
    <w:rsid w:val="001F0A13"/>
    <w:rsid w:val="00375383"/>
    <w:rsid w:val="00743FD3"/>
    <w:rsid w:val="0096499E"/>
    <w:rsid w:val="00E36EA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0DCF"/>
  <w15:chartTrackingRefBased/>
  <w15:docId w15:val="{571B2350-8234-45BF-9B5E-61755E12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2A3F"/>
    <w:pPr>
      <w:ind w:left="720"/>
      <w:contextualSpacing/>
    </w:pPr>
  </w:style>
  <w:style w:type="character" w:styleId="Textodelmarcadordeposicin">
    <w:name w:val="Placeholder Text"/>
    <w:basedOn w:val="Fuentedeprrafopredeter"/>
    <w:uiPriority w:val="99"/>
    <w:semiHidden/>
    <w:rsid w:val="001F0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89628">
      <w:bodyDiv w:val="1"/>
      <w:marLeft w:val="0"/>
      <w:marRight w:val="0"/>
      <w:marTop w:val="0"/>
      <w:marBottom w:val="0"/>
      <w:divBdr>
        <w:top w:val="none" w:sz="0" w:space="0" w:color="auto"/>
        <w:left w:val="none" w:sz="0" w:space="0" w:color="auto"/>
        <w:bottom w:val="none" w:sz="0" w:space="0" w:color="auto"/>
        <w:right w:val="none" w:sz="0" w:space="0" w:color="auto"/>
      </w:divBdr>
    </w:div>
    <w:div w:id="915868700">
      <w:bodyDiv w:val="1"/>
      <w:marLeft w:val="0"/>
      <w:marRight w:val="0"/>
      <w:marTop w:val="0"/>
      <w:marBottom w:val="0"/>
      <w:divBdr>
        <w:top w:val="none" w:sz="0" w:space="0" w:color="auto"/>
        <w:left w:val="none" w:sz="0" w:space="0" w:color="auto"/>
        <w:bottom w:val="none" w:sz="0" w:space="0" w:color="auto"/>
        <w:right w:val="none" w:sz="0" w:space="0" w:color="auto"/>
      </w:divBdr>
      <w:divsChild>
        <w:div w:id="737363765">
          <w:marLeft w:val="480"/>
          <w:marRight w:val="0"/>
          <w:marTop w:val="0"/>
          <w:marBottom w:val="0"/>
          <w:divBdr>
            <w:top w:val="none" w:sz="0" w:space="0" w:color="auto"/>
            <w:left w:val="none" w:sz="0" w:space="0" w:color="auto"/>
            <w:bottom w:val="none" w:sz="0" w:space="0" w:color="auto"/>
            <w:right w:val="none" w:sz="0" w:space="0" w:color="auto"/>
          </w:divBdr>
        </w:div>
        <w:div w:id="1720545586">
          <w:marLeft w:val="480"/>
          <w:marRight w:val="0"/>
          <w:marTop w:val="0"/>
          <w:marBottom w:val="0"/>
          <w:divBdr>
            <w:top w:val="none" w:sz="0" w:space="0" w:color="auto"/>
            <w:left w:val="none" w:sz="0" w:space="0" w:color="auto"/>
            <w:bottom w:val="none" w:sz="0" w:space="0" w:color="auto"/>
            <w:right w:val="none" w:sz="0" w:space="0" w:color="auto"/>
          </w:divBdr>
        </w:div>
      </w:divsChild>
    </w:div>
    <w:div w:id="938099278">
      <w:bodyDiv w:val="1"/>
      <w:marLeft w:val="0"/>
      <w:marRight w:val="0"/>
      <w:marTop w:val="0"/>
      <w:marBottom w:val="0"/>
      <w:divBdr>
        <w:top w:val="none" w:sz="0" w:space="0" w:color="auto"/>
        <w:left w:val="none" w:sz="0" w:space="0" w:color="auto"/>
        <w:bottom w:val="none" w:sz="0" w:space="0" w:color="auto"/>
        <w:right w:val="none" w:sz="0" w:space="0" w:color="auto"/>
      </w:divBdr>
      <w:divsChild>
        <w:div w:id="1534029721">
          <w:marLeft w:val="480"/>
          <w:marRight w:val="0"/>
          <w:marTop w:val="0"/>
          <w:marBottom w:val="0"/>
          <w:divBdr>
            <w:top w:val="none" w:sz="0" w:space="0" w:color="auto"/>
            <w:left w:val="none" w:sz="0" w:space="0" w:color="auto"/>
            <w:bottom w:val="none" w:sz="0" w:space="0" w:color="auto"/>
            <w:right w:val="none" w:sz="0" w:space="0" w:color="auto"/>
          </w:divBdr>
        </w:div>
        <w:div w:id="1614365538">
          <w:marLeft w:val="480"/>
          <w:marRight w:val="0"/>
          <w:marTop w:val="0"/>
          <w:marBottom w:val="0"/>
          <w:divBdr>
            <w:top w:val="none" w:sz="0" w:space="0" w:color="auto"/>
            <w:left w:val="none" w:sz="0" w:space="0" w:color="auto"/>
            <w:bottom w:val="none" w:sz="0" w:space="0" w:color="auto"/>
            <w:right w:val="none" w:sz="0" w:space="0" w:color="auto"/>
          </w:divBdr>
        </w:div>
        <w:div w:id="514031459">
          <w:marLeft w:val="480"/>
          <w:marRight w:val="0"/>
          <w:marTop w:val="0"/>
          <w:marBottom w:val="0"/>
          <w:divBdr>
            <w:top w:val="none" w:sz="0" w:space="0" w:color="auto"/>
            <w:left w:val="none" w:sz="0" w:space="0" w:color="auto"/>
            <w:bottom w:val="none" w:sz="0" w:space="0" w:color="auto"/>
            <w:right w:val="none" w:sz="0" w:space="0" w:color="auto"/>
          </w:divBdr>
        </w:div>
      </w:divsChild>
    </w:div>
    <w:div w:id="1570573567">
      <w:bodyDiv w:val="1"/>
      <w:marLeft w:val="0"/>
      <w:marRight w:val="0"/>
      <w:marTop w:val="0"/>
      <w:marBottom w:val="0"/>
      <w:divBdr>
        <w:top w:val="none" w:sz="0" w:space="0" w:color="auto"/>
        <w:left w:val="none" w:sz="0" w:space="0" w:color="auto"/>
        <w:bottom w:val="none" w:sz="0" w:space="0" w:color="auto"/>
        <w:right w:val="none" w:sz="0" w:space="0" w:color="auto"/>
      </w:divBdr>
      <w:divsChild>
        <w:div w:id="2003464552">
          <w:marLeft w:val="480"/>
          <w:marRight w:val="0"/>
          <w:marTop w:val="0"/>
          <w:marBottom w:val="0"/>
          <w:divBdr>
            <w:top w:val="none" w:sz="0" w:space="0" w:color="auto"/>
            <w:left w:val="none" w:sz="0" w:space="0" w:color="auto"/>
            <w:bottom w:val="none" w:sz="0" w:space="0" w:color="auto"/>
            <w:right w:val="none" w:sz="0" w:space="0" w:color="auto"/>
          </w:divBdr>
        </w:div>
        <w:div w:id="1591085855">
          <w:marLeft w:val="480"/>
          <w:marRight w:val="0"/>
          <w:marTop w:val="0"/>
          <w:marBottom w:val="0"/>
          <w:divBdr>
            <w:top w:val="none" w:sz="0" w:space="0" w:color="auto"/>
            <w:left w:val="none" w:sz="0" w:space="0" w:color="auto"/>
            <w:bottom w:val="none" w:sz="0" w:space="0" w:color="auto"/>
            <w:right w:val="none" w:sz="0" w:space="0" w:color="auto"/>
          </w:divBdr>
        </w:div>
        <w:div w:id="672531545">
          <w:marLeft w:val="480"/>
          <w:marRight w:val="0"/>
          <w:marTop w:val="0"/>
          <w:marBottom w:val="0"/>
          <w:divBdr>
            <w:top w:val="none" w:sz="0" w:space="0" w:color="auto"/>
            <w:left w:val="none" w:sz="0" w:space="0" w:color="auto"/>
            <w:bottom w:val="none" w:sz="0" w:space="0" w:color="auto"/>
            <w:right w:val="none" w:sz="0" w:space="0" w:color="auto"/>
          </w:divBdr>
        </w:div>
      </w:divsChild>
    </w:div>
    <w:div w:id="162807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55360C-762A-423F-9250-B237273D8578}">
  <we:reference id="wa104382081" version="1.46.0.0" store="es-ES" storeType="OMEX"/>
  <we:alternateReferences>
    <we:reference id="wa104382081" version="1.46.0.0" store="es-ES" storeType="OMEX"/>
  </we:alternateReferences>
  <we:properties>
    <we:property name="MENDELEY_CITATIONS" value="[{&quot;citationID&quot;:&quot;MENDELEY_CITATION_2033eaf1-2225-4d35-a8af-8639170cbdf0&quot;,&quot;properties&quot;:{&quot;noteIndex&quot;:0},&quot;isEdited&quot;:false,&quot;manualOverride&quot;:{&quot;isManuallyOverridden&quot;:false,&quot;citeprocText&quot;:&quot;(Gantait &amp;#38; Kundu, 2017)&quot;,&quot;manualOverrideText&quot;:&quot;&quot;},&quot;citationTag&quot;:&quot;MENDELEY_CITATION_v3_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&quot;,&quot;citationItems&quot;:[{&quot;id&quot;:&quot;2b4fb2ba-1c45-37a5-98d6-f7fd9ea9f53c&quot;,&quot;itemData&quot;:{&quot;type&quot;:&quot;article&quot;,&quot;id&quot;:&quot;2b4fb2ba-1c45-37a5-98d6-f7fd9ea9f53c&quot;,&quot;title&quot;:&quot;In vitro biotechnological approaches on Vanilla planifolia Andrews: advancements and opportunities&quot;,&quot;author&quot;:[{&quot;family&quot;:&quot;Gantait&quot;,&quot;given&quot;:&quot;Saikat&quot;,&quot;parse-names&quot;:false,&quot;dropping-particle&quot;:&quot;&quot;,&quot;non-dropping-particle&quot;:&quot;&quot;},{&quot;family&quot;:&quot;Kundu&quot;,&quot;given&quot;:&quot;Suprabuddha&quot;,&quot;parse-names&quot;:false,&quot;dropping-particle&quot;:&quot;&quot;,&quot;non-dropping-particle&quot;:&quot;&quot;}],&quot;container-title&quot;:&quot;Acta Physiologiae Plantarum&quot;,&quot;container-title-short&quot;:&quot;Acta Physiol Plant&quot;,&quot;DOI&quot;:&quot;10.1007/s11738-017-2462-1&quot;,&quot;ISSN&quot;:&quot;01375881&quot;,&quot;issued&quot;:{&quot;date-parts&quot;:[[2017,9,1]]},&quot;abstract&quot;:&quot;In vitro biotechnological advancement of Vanilla plays a major role in germplasm conservation, genetic engineering, accelerated clonal multiplication and production of disease-free plants with enviable aromatic properties. Several attempts have been taken place for the establishment of efficient in vitro protocol for Vanilla in the past few decades. Optimization of various conditions during different phases of micropropagation, for instance development of in vitro aseptic cultures, multiple shoot regeneration, rooting and acclimatization of the plantlets are discussed in this review. In addition to basic micropropagation techniques, various other in vitro biotechnological applications such as clonal fidelity assessment, genetic transformation, synthetic seed technology and cryopreservation are also highlighted. Apart from the existing data, applied aspects like embryo rescue, mutation breeding, genetic engineering, protoplast fusion, somaclonal variation, in vitro enhancement of vanillin production through cell suspension culture, hairy root culture or bioreactors and cryopreservation need to be investigated further. Overall, the current review gives a synopsis on progress and prospect of in vitro culture of Vanilla.&quot;,&quot;publisher&quot;:&quot;Polish Academy of Sciences&quot;,&quot;issue&quot;:&quot;9&quot;,&quot;volume&quot;:&quot;39&quot;},&quot;isTemporary&quot;:false}]},{&quot;citationID&quot;:&quot;MENDELEY_CITATION_c4fe5362-9972-4dfe-b0d0-228981cb4e62&quot;,&quot;properties&quot;:{&quot;noteIndex&quot;:0},&quot;isEdited&quot;:false,&quot;manualOverride&quot;:{&quot;isManuallyOverridden&quot;:false,&quot;citeprocText&quot;:&quot;(Hasing et al., 2020)&quot;,&quot;manualOverrideText&quot;:&quot;&quot;},&quot;citationTag&quot;:&quot;MENDELEY_CITATION_v3_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&quot;,&quot;citationItems&quot;:[{&quot;id&quot;:&quot;7c69ded5-3b49-33f6-b3ab-27a0cae97c9a&quot;,&quot;itemData&quot;:{&quot;type&quot;:&quot;article-journal&quot;,&quot;id&quot;:&quot;7c69ded5-3b49-33f6-b3ab-27a0cae97c9a&quot;,&quot;title&quot;:&quot;A phased Vanilla planifolia genome enables genetic improvement of flavour and production&quot;,&quot;author&quot;:[{&quot;family&quot;:&quot;Hasing&quot;,&quot;given&quot;:&quot;Tomas&quot;,&quot;parse-names&quot;:false,&quot;dropping-particle&quot;:&quot;&quot;,&quot;non-dropping-particle&quot;:&quot;&quot;},{&quot;family&quot;:&quot;Tang&quot;,&quot;given&quot;:&quot;Haibao&quot;,&quot;parse-names&quot;:false,&quot;dropping-particle&quot;:&quot;&quot;,&quot;non-dropping-particle&quot;:&quot;&quot;},{&quot;family&quot;:&quot;Brym&quot;,&quot;given&quot;:&quot;Maria&quot;,&quot;parse-names&quot;:false,&quot;dropping-particle&quot;:&quot;&quot;,&quot;non-dropping-particle&quot;:&quot;&quot;},{&quot;family&quot;:&quot;Khazi&quot;,&quot;given&quot;:&quot;Fayaz&quot;,&quot;parse-names&quot;:false,&quot;dropping-particle&quot;:&quot;&quot;,&quot;non-dropping-particle&quot;:&quot;&quot;},{&quot;family&quot;:&quot;Huang&quot;,&quot;given&quot;:&quot;Tengfang&quot;,&quot;parse-names&quot;:false,&quot;dropping-particle&quot;:&quot;&quot;,&quot;non-dropping-particle&quot;:&quot;&quot;},{&quot;family&quot;:&quot;Chambers&quot;,&quot;given&quot;:&quot;Alan H.&quot;,&quot;parse-names&quot;:false,&quot;dropping-particle&quot;:&quot;&quot;,&quot;non-dropping-particle&quot;:&quot;&quot;}],&quot;container-title&quot;:&quot;Nature Food&quot;,&quot;container-title-short&quot;:&quot;Nat Food&quot;,&quot;DOI&quot;:&quot;10.1038/s43016-020-00197-2&quot;,&quot;ISSN&quot;:&quot;26621355&quot;,&quot;issued&quot;:{&quot;date-parts&quot;:[[2020,12,1]]},&quot;page&quot;:&quot;811-819&quot;,&quot;abstract&quot;:&quot;The global supply of vanilla extract is primarily sourced from the cured beans of the tropical orchid species Vanilla planifolia. Vanilla plants were collected from Mesoamerica, clonally propagated and globally distributed as part of the early spice trade. Today, the global food and beverage industry depends on descendants of these original plants that have not generally benefited from genetic improvement. As a result, vanilla growers and processors struggle to meet global demand for vanilla extract and are challenged by inefficient and unsustainable production practices. Here, we report a chromosome-scale, phased V. planifolia genome, which reveals sequence variants for genes that may impact the vanillin pathway and therefore influence bean quality. Resequencing of related vanilla species, including the minor commercial species Vanilla × tahitensis, identified genes that could impact productivity and post-harvest losses through pod dehiscence, flower anatomy and disease resistance. The vanilla genome reported in this study may enable accelerated breeding of vanilla to improve high-value traits.&quot;,&quot;publisher&quot;:&quot;Springer Nature&quot;,&quot;issue&quot;:&quot;12&quot;,&quot;volume&quot;:&quot;1&quot;},&quot;isTemporary&quot;:false}]},{&quot;citationID&quot;:&quot;MENDELEY_CITATION_0caf9966-7683-4cdf-ae63-d9ed9e6ade67&quot;,&quot;properties&quot;:{&quot;noteIndex&quot;:0},&quot;isEdited&quot;:false,&quot;manualOverride&quot;:{&quot;isManuallyOverridden&quot;:false,&quot;citeprocText&quot;:&quot;(Guo et al., 2020)&quot;,&quot;manualOverrideText&quot;:&quot;&quot;},&quot;citationTag&quot;:&quot;MENDELEY_CITATION_v3_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&quot;,&quot;citationItems&quot;:[{&quot;id&quot;:&quot;258d86f8-467d-3359-aae6-97d0ccf320af&quot;,&quot;itemData&quot;:{&quot;type&quot;:&quot;article-journal&quot;,&quot;id&quot;:&quot;258d86f8-467d-3359-aae6-97d0ccf320af&quot;,&quot;title&quot;:&quot;Axonal transport defects and neurodegeneration: Molecular mechanisms and therapeutic implications&quot;,&quot;author&quot;:[{&quot;family&quot;:&quot;Guo&quot;,&quot;given&quot;:&quot;Wenting&quot;,&quot;parse-names&quot;:false,&quot;dropping-particle&quot;:&quot;&quot;,&quot;non-dropping-particle&quot;:&quot;&quot;},{&quot;family&quot;:&quot;Stoklund Dittlau&quot;,&quot;given&quot;:&quot;Katarina&quot;,&quot;parse-names&quot;:false,&quot;dropping-particle&quot;:&quot;&quot;,&quot;non-dropping-particle&quot;:&quot;&quot;},{&quot;family&quot;:&quot;Bosch&quot;,&quot;given&quot;:&quot;Ludo&quot;,&quot;parse-names&quot;:false,&quot;dropping-particle&quot;:&quot;&quot;,&quot;non-dropping-particle&quot;:&quot;van den&quot;}],&quot;container-title&quot;:&quot;Seminars in Cell &amp; Developmental Biology&quot;,&quot;container-title-short&quot;:&quot;Semin Cell Dev Biol&quot;,&quot;accessed&quot;:{&quot;date-parts&quot;:[[2022,11,12]]},&quot;DOI&quot;:&quot;10.1016/J.SEMCDB.2019.07.010&quot;,&quot;ISSN&quot;:&quot;1084-9521&quot;,&quot;PMID&quot;:&quot;31542222&quot;,&quot;issued&quot;:{&quot;date-parts&quot;:[[2020,3,1]]},&quot;page&quot;:&quot;133-150&quot;,&quot;abstract&quot;:&quot;Because of the extremely polarized morphology, the proper functioning of neurons largely relies on the efficient cargo transport along the axon. Axonal transport defects have been reported in multiple neurodegenerative diseases as an early pathological feature. The discovery of mutations in human genes involved in the transport machinery provide a direct causative relationship between axonal transport defects and neurodegeneration. Here, we summarize the current genetic findings related to axonal transport in neurodegenerative diseases, and we discuss the relationship between axonal transport defects and other pathological changes observed in neurodegeneration. In addition, we summarize the therapeutic approaches targeting the axonal transport machinery in studies of neurodegenerative diseases. Finally, we review the technical advances in tracking axonal transport both in vivo and in vitro.&quot;,&quot;publisher&quot;:&quot;Academic Press&quot;,&quot;volume&quot;:&quot;9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E7BAE-EC9F-4B58-923E-D7F7CD66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Pages>
  <Words>20</Words>
  <Characters>112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2022-11-14T17:05:00Z</dcterms:created>
  <dcterms:modified xsi:type="dcterms:W3CDTF">2022-11-14T22:38:00Z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6687a44a-8c8f-4eae-9e6c-802403830aa7</vt:lpwstr>
  </property>
</Properties>
</file>