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sparse</w:t>
      </w:r>
      <w:r>
        <w:t xml:space="preserve"> </w:t>
      </w:r>
      <w:r>
        <w:t xml:space="preserve">Bayesian</w:t>
      </w:r>
      <w:r>
        <w:t xml:space="preserve"> </w:t>
      </w:r>
      <w:r>
        <w:t xml:space="preserve">independent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  <w:r>
        <w:t xml:space="preserve"> </w:t>
      </w:r>
      <w:r>
        <w:t xml:space="preserve">describe</w:t>
      </w:r>
      <w:r>
        <w:t xml:space="preserve"> </w:t>
      </w:r>
      <w:r>
        <w:t xml:space="preserve">gene</w:t>
      </w:r>
      <w:r>
        <w:t xml:space="preserve"> </w:t>
      </w:r>
      <w:r>
        <w:t xml:space="preserve">regulation?</w:t>
      </w:r>
    </w:p>
    <w:p>
      <w:pPr>
        <w:pStyle w:val="FirstParagraph"/>
      </w:pPr>
      <w:r>
        <w:t xml:space="preserve">We think we could use a sparse Bayesian independent component analysis model to</w:t>
      </w:r>
      <w:r>
        <w:t xml:space="preserve"> </w:t>
      </w:r>
      <w:r>
        <w:t xml:space="preserve">describe gene regulation in</w:t>
      </w:r>
      <w:r>
        <w:t xml:space="preserve"> </w:t>
      </w:r>
      <w:r>
        <w:rPr>
          <w:iCs/>
          <w:i/>
        </w:rPr>
        <w:t xml:space="preserve">E. coli</w:t>
      </w:r>
      <w:r>
        <w:t xml:space="preserve"> </w:t>
      </w:r>
      <w:r>
        <w:t xml:space="preserve">and other organisms for which there is</w:t>
      </w:r>
      <w:r>
        <w:t xml:space="preserve"> </w:t>
      </w:r>
      <w:r>
        <w:t xml:space="preserve">RNA sequencing data. This document explains why we think this, how we would</w:t>
      </w:r>
      <w:r>
        <w:t xml:space="preserve"> </w:t>
      </w:r>
      <w:r>
        <w:t xml:space="preserve">like do it and where we need help.</w:t>
      </w:r>
    </w:p>
    <w:bookmarkStart w:id="32" w:name="background"/>
    <w:p>
      <w:pPr>
        <w:pStyle w:val="Heading1"/>
      </w:pPr>
      <w:r>
        <w:t xml:space="preserve">Background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Living cells respond to environmental changes by up- or down-regulating their</w:t>
      </w:r>
      <w:r>
        <w:t xml:space="preserve"> </w:t>
      </w:r>
      <w:r>
        <w:t xml:space="preserve">genes, thereby changing the proportion in which the cell produces proteins,</w:t>
      </w:r>
      <w:r>
        <w:t xml:space="preserve"> </w:t>
      </w:r>
      <w:r>
        <w:t xml:space="preserve">which in turn alters the cell’s behaviour. For example, a cell that moves into</w:t>
      </w:r>
      <w:r>
        <w:t xml:space="preserve"> </w:t>
      </w:r>
      <w:r>
        <w:t xml:space="preserve">a toxic environment might alter its gene expression so as to increase</w:t>
      </w:r>
      <w:r>
        <w:t xml:space="preserve"> </w:t>
      </w:r>
      <w:r>
        <w:t xml:space="preserve">production of a protein that exports the toxin or to decrease toxin-importing</w:t>
      </w:r>
      <w:r>
        <w:t xml:space="preserve"> </w:t>
      </w:r>
      <w:r>
        <w:t xml:space="preserve">proteins.</w:t>
      </w:r>
    </w:p>
    <w:p>
      <w:pPr>
        <w:pStyle w:val="BodyText"/>
      </w:pPr>
      <w:r>
        <w:t xml:space="preserve">By analysing RNA transcripts it is possible to measure gene expression and see</w:t>
      </w:r>
      <w:r>
        <w:t xml:space="preserve"> </w:t>
      </w:r>
      <w:r>
        <w:t xml:space="preserve">how it varies across conditions. There is now so much transcriptomics data</w:t>
      </w:r>
      <w:r>
        <w:t xml:space="preserve"> </w:t>
      </w:r>
      <w:r>
        <w:t xml:space="preserve">available that it plauibly contains sufficient information to learn how some</w:t>
      </w:r>
      <w:r>
        <w:t xml:space="preserve"> </w:t>
      </w:r>
      <w:r>
        <w:t xml:space="preserve">organisms orchestrate their gene regulation.</w:t>
      </w:r>
      <w:r>
        <w:t xml:space="preserve"> </w:t>
      </w:r>
      <w:r>
        <w:t xml:space="preserve">Tan et al. (2020)</w:t>
      </w:r>
      <w:r>
        <w:t xml:space="preserve"> </w:t>
      </w:r>
      <w:r>
        <w:t xml:space="preserve">achieved this goal using a method based on</w:t>
      </w:r>
      <w:r>
        <w:t xml:space="preserve"> </w:t>
      </w:r>
      <w:r>
        <w:t xml:space="preserve">independent component analysis or ICA, leading to the development of the</w:t>
      </w:r>
      <w:r>
        <w:t xml:space="preserve"> </w:t>
      </w:r>
      <w:r>
        <w:t xml:space="preserve">concept of an Imodulon.</w:t>
      </w:r>
    </w:p>
    <w:bookmarkEnd w:id="20"/>
    <w:bookmarkStart w:id="23" w:name="imodulons"/>
    <w:p>
      <w:pPr>
        <w:pStyle w:val="Heading2"/>
      </w:pPr>
      <w:r>
        <w:t xml:space="preserve">Imodulons</w:t>
      </w:r>
    </w:p>
    <w:p>
      <w:pPr>
        <w:pStyle w:val="FirstParagraph"/>
      </w:pPr>
      <w:r>
        <w:t xml:space="preserve">An Imodulon is a hypothetical latent allocation of weights to a subset of genes</w:t>
      </w:r>
      <w:r>
        <w:t xml:space="preserve"> </w:t>
      </w:r>
      <w:r>
        <w:t xml:space="preserve">derived from the results of an analysis involving ICA, that is taken to</w:t>
      </w:r>
      <w:r>
        <w:t xml:space="preserve"> </w:t>
      </w:r>
      <w:r>
        <w:t xml:space="preserve">represent a way that a cell can regulate its genes in response to changing</w:t>
      </w:r>
      <w:r>
        <w:t xml:space="preserve"> </w:t>
      </w:r>
      <w:r>
        <w:t xml:space="preserve">conditions. For example, suppose a certain Imodulon I1 regulates just two genes</w:t>
      </w:r>
      <w:r>
        <w:t xml:space="preserve"> </w:t>
      </w:r>
      <w:r>
        <w:t xml:space="preserve">G1 and G2 with respective weights 0.5 and -0.5. When I1 is activated, G1 will</w:t>
      </w:r>
      <w:r>
        <w:t xml:space="preserve"> </w:t>
      </w:r>
      <w:r>
        <w:t xml:space="preserve">be up-regulated and G2 will be down-regulated by the same amount. In contrast,</w:t>
      </w:r>
      <w:r>
        <w:t xml:space="preserve"> </w:t>
      </w:r>
      <w:r>
        <w:t xml:space="preserve">when I1 is deactivated, the opposite regulation will occur. It is typically</w:t>
      </w:r>
      <w:r>
        <w:t xml:space="preserve"> </w:t>
      </w:r>
      <w:r>
        <w:t xml:space="preserve">presumed that there are far fewer Imodulons than genes, that an Imodulon will</w:t>
      </w:r>
      <w:r>
        <w:t xml:space="preserve"> </w:t>
      </w:r>
      <w:r>
        <w:t xml:space="preserve">substantially up- or down-regulate the genes that it affects, and that most</w:t>
      </w:r>
      <w:r>
        <w:t xml:space="preserve"> </w:t>
      </w:r>
      <w:r>
        <w:t xml:space="preserve">Imodulons will affect a relatively small number of genes.</w:t>
      </w:r>
    </w:p>
    <w:p>
      <w:pPr>
        <w:pStyle w:val="BodyText"/>
      </w:pPr>
      <w:r>
        <w:t xml:space="preserve">It is plausible that Imodulons roughly describe how gene regulation works</w:t>
      </w:r>
      <w:r>
        <w:t xml:space="preserve"> </w:t>
      </w:r>
      <w:r>
        <w:t xml:space="preserve">because of the known existence of transcription units, transcription factors</w:t>
      </w:r>
      <w:r>
        <w:t xml:space="preserve"> </w:t>
      </w:r>
      <w:r>
        <w:t xml:space="preserve">and regulons. Transcription units are sets of genes that share an RNA binding</w:t>
      </w:r>
      <w:r>
        <w:t xml:space="preserve"> </w:t>
      </w:r>
      <w:r>
        <w:t xml:space="preserve">site and can therefore only be regulated together. Transcription factors are</w:t>
      </w:r>
      <w:r>
        <w:t xml:space="preserve"> </w:t>
      </w:r>
      <w:r>
        <w:t xml:space="preserve">proteins that activate or deactivate particular transcription units. Regulons</w:t>
      </w:r>
      <w:r>
        <w:t xml:space="preserve"> </w:t>
      </w:r>
      <w:r>
        <w:t xml:space="preserve">are sets of genes that are regulated by exactl the same transcription factors.</w:t>
      </w:r>
      <w:r>
        <w:t xml:space="preserve"> </w:t>
      </w:r>
      <w:r>
        <w:t xml:space="preserve">Since there are known to be many of all these things, it is likely that a</w:t>
      </w:r>
      <w:r>
        <w:t xml:space="preserve"> </w:t>
      </w:r>
      <w:r>
        <w:t xml:space="preserve">latent representation like Imodulons is roughly correct. In particular, based</w:t>
      </w:r>
      <w:r>
        <w:t xml:space="preserve"> </w:t>
      </w:r>
      <w:r>
        <w:t xml:space="preserve">on the</w:t>
      </w:r>
      <w:r>
        <w:t xml:space="preserve"> </w:t>
      </w:r>
      <w:hyperlink r:id="rId21">
        <w:r>
          <w:rPr>
            <w:rStyle w:val="Hyperlink"/>
          </w:rPr>
          <w:t xml:space="preserve">regulonDB</w:t>
        </w:r>
      </w:hyperlink>
      <w:r>
        <w:t xml:space="preserve"> </w:t>
      </w:r>
      <w:r>
        <w:t xml:space="preserve">it is clear that</w:t>
      </w:r>
      <w:r>
        <w:t xml:space="preserve"> </w:t>
      </w:r>
      <w:r>
        <w:t xml:space="preserve">most transcription factors affect a small number of genes and that there are</w:t>
      </w:r>
      <w:r>
        <w:t xml:space="preserve"> </w:t>
      </w:r>
      <w:r>
        <w:t xml:space="preserve">fewer transcription factors than genes.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Whereas previous analyses have attempted to fit ICA models using an approach</w:t>
      </w:r>
      <w:r>
        <w:t xml:space="preserve"> </w:t>
      </w:r>
      <w:r>
        <w:t xml:space="preserve">based on optimisation, we would like to fit a Bayesian statistical model that</w:t>
      </w:r>
      <w:r>
        <w:t xml:space="preserve"> </w:t>
      </w:r>
      <w:r>
        <w:t xml:space="preserve">implements ICA. We would like our statistical model to include an explicit</w:t>
      </w:r>
      <w:r>
        <w:t xml:space="preserve"> </w:t>
      </w:r>
      <w:r>
        <w:t xml:space="preserve">representation of the assumptions about Imodulon sparsity outlined above.</w:t>
      </w:r>
    </w:p>
    <w:bookmarkEnd w:id="23"/>
    <w:bookmarkStart w:id="28" w:name="independent-component-analysis"/>
    <w:p>
      <w:pPr>
        <w:pStyle w:val="Heading2"/>
      </w:pPr>
      <w:r>
        <w:t xml:space="preserve">Independent Component Analysis</w:t>
      </w:r>
    </w:p>
    <w:p>
      <w:pPr>
        <w:pStyle w:val="FirstParagraph"/>
      </w:pPr>
      <w:r>
        <w:t xml:space="preserve">Independent component analysis assumes that the numbers comprising an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J</m:t>
        </m:r>
      </m:oMath>
      <w:r>
        <w:t xml:space="preserve"> </w:t>
      </w:r>
      <w:r>
        <w:t xml:space="preserve">matrix of observations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generated by taking weighted sums of a known</w:t>
      </w:r>
      <w:r>
        <w:t xml:space="preserve"> </w:t>
      </w:r>
      <w:r>
        <w:t xml:space="preserve">number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J</m:t>
        </m:r>
      </m:oMath>
      <w:r>
        <w:t xml:space="preserve"> </w:t>
      </w:r>
      <w:r>
        <w:t xml:space="preserve">independent component vectors, as shown below:</w:t>
      </w:r>
      <w:r>
        <w:t xml:space="preserve"> </w:t>
      </w:r>
      <w:r>
        <w:rPr>
          <w:rStyle w:val="FootnoteReference"/>
        </w:rPr>
        <w:footnoteReference w:id="24"/>
      </w:r>
    </w:p>
    <w:p>
      <w:pPr>
        <w:pStyle w:val="BodyText"/>
      </w:pPr>
      <w:bookmarkStart w:id="25" w:name="eq-ica-long"/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  <m:r>
                    <m:t>k</m:t>
                  </m:r>
                </m:sub>
              </m:sSub>
            </m:e>
          </m:nary>
          <m:sSub>
            <m:e>
              <m:r>
                <m:t>a</m:t>
              </m:r>
            </m:e>
            <m:sub>
              <m:r>
                <m:t>k</m:t>
              </m:r>
              <m:r>
                <m:t>j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or in matrix notation</w:t>
      </w:r>
    </w:p>
    <w:p>
      <w:pPr>
        <w:pStyle w:val="BodyText"/>
      </w:pPr>
      <w:bookmarkStart w:id="26" w:name="eq-ica"/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M</m:t>
          </m:r>
          <m:r>
            <m:t>A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6"/>
    </w:p>
    <w:p>
      <w:pPr>
        <w:pStyle w:val="FirstParagraph"/>
      </w:pPr>
      <w:r>
        <w:t xml:space="preserve">It is assumed that the columns of 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 column-wise</w:t>
      </w:r>
      <w:r>
        <w:t xml:space="preserve"> </w:t>
      </w:r>
      <w:r>
        <w:t xml:space="preserve">probabilistically independent, so that the probability of the</w:t>
      </w:r>
      <w:r>
        <w:t xml:space="preserve"> </w:t>
      </w:r>
      <m:oMath>
        <m:r>
          <m:t>j</m:t>
        </m:r>
      </m:oMath>
      <w:r>
        <w:t xml:space="preserve">th column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product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marginal probabilities, i.e. 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rPr>
                    <m:sty m:val="p"/>
                  </m:rPr>
                  <m:t>: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I</m:t>
            </m:r>
          </m:sup>
          <m:e>
            <m:r>
              <m:t>p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t>j</m:t>
                </m:r>
              </m:sub>
            </m:sSub>
          </m:e>
        </m:d>
      </m:oMath>
      <w:r>
        <w:t xml:space="preserve">. Secondly, it is also assumed that the rows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have non-Gaussian marginal distributions. See</w:t>
      </w:r>
      <w:r>
        <w:t xml:space="preserve"> </w:t>
      </w:r>
      <w:r>
        <w:t xml:space="preserve">Hyvärinen and Oja (2000)</w:t>
      </w:r>
      <w:r>
        <w:t xml:space="preserve"> </w:t>
      </w:r>
      <w:r>
        <w:t xml:space="preserve">for a discussion of an optimisation</w:t>
      </w:r>
      <w:r>
        <w:t xml:space="preserve"> </w:t>
      </w:r>
      <w:r>
        <w:t xml:space="preserve">based approach to Independent component analysis and</w:t>
      </w:r>
      <w:r>
        <w:t xml:space="preserve"> </w:t>
      </w:r>
      <w:r>
        <w:t xml:space="preserve">Roberts and Choudrey (2005)</w:t>
      </w:r>
      <w:r>
        <w:t xml:space="preserve"> </w:t>
      </w:r>
      <w:r>
        <w:t xml:space="preserve">for a discussion of Bayesian</w:t>
      </w:r>
      <w:r>
        <w:t xml:space="preserve"> </w:t>
      </w:r>
      <w:r>
        <w:t xml:space="preserve">independent component analysis.</w:t>
      </w:r>
    </w:p>
    <w:p>
      <w:pPr>
        <w:pStyle w:val="BodyText"/>
      </w:pPr>
      <w:r>
        <w:t xml:space="preserve">In the canonical application of ICA each row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 time course of</w:t>
      </w:r>
      <w:r>
        <w:t xml:space="preserve"> </w:t>
      </w:r>
      <w:r>
        <w:t xml:space="preserve">signals from a receiver detecting input from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sources; each row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represents the time course of signals from a source; each column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represents how a source mixes between receivers. In the context of a</w:t>
      </w:r>
      <w:r>
        <w:t xml:space="preserve"> </w:t>
      </w:r>
      <w:r>
        <w:t xml:space="preserve">transcriptomics data analysis the observation units are genes rather than</w:t>
      </w:r>
      <w:r>
        <w:t xml:space="preserve"> </w:t>
      </w:r>
      <w:r>
        <w:t xml:space="preserve">receivers, the observation rows represent separate experiments rather than time</w:t>
      </w:r>
      <w:r>
        <w:t xml:space="preserve"> </w:t>
      </w:r>
      <w:r>
        <w:t xml:space="preserve">courses and the columns of the matrix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represents proto-Imodulons, i.e.</w:t>
      </w:r>
      <w:r>
        <w:t xml:space="preserve"> </w:t>
      </w:r>
      <w:r>
        <w:t xml:space="preserve">mixing weights for each gene for each proto-Imodulon. A separate downstream</w:t>
      </w:r>
      <w:r>
        <w:t xml:space="preserve"> </w:t>
      </w:r>
      <w:r>
        <w:t xml:space="preserve">analysis is required in order to sparsify the results by removing genes from</w:t>
      </w:r>
      <w:r>
        <w:t xml:space="preserve"> </w:t>
      </w:r>
      <w:r>
        <w:t xml:space="preserve">Imodulons and discarding some candidate Imodulons.</w:t>
      </w:r>
    </w:p>
    <w:p>
      <w:pPr>
        <w:pStyle w:val="BodyText"/>
      </w:pPr>
      <w:r>
        <w:t xml:space="preserve">The Python library Scikit learn provides access to</w:t>
      </w:r>
      <w:r>
        <w:t xml:space="preserve"> </w:t>
      </w:r>
      <w:hyperlink r:id="rId27">
        <w:r>
          <w:rPr>
            <w:rStyle w:val="Hyperlink"/>
          </w:rPr>
          <w:t xml:space="preserve">an implementation of ICA</w:t>
        </w:r>
      </w:hyperlink>
      <w:r>
        <w:t xml:space="preserve"> </w:t>
      </w:r>
      <w:r>
        <w:t xml:space="preserve">based on minimsation of mutual information, as outlined in</w:t>
      </w:r>
      <w:r>
        <w:t xml:space="preserve"> </w:t>
      </w:r>
      <w:r>
        <w:t xml:space="preserve">Hyvärinen and Oja (2000)</w:t>
      </w:r>
      <w:r>
        <w:t xml:space="preserve">.</w:t>
      </w:r>
    </w:p>
    <w:bookmarkEnd w:id="28"/>
    <w:bookmarkStart w:id="31" w:name="transcriptomics-data"/>
    <w:p>
      <w:pPr>
        <w:pStyle w:val="Heading2"/>
      </w:pPr>
      <w:r>
        <w:t xml:space="preserve">Transcriptomics data</w:t>
      </w:r>
    </w:p>
    <w:p>
      <w:pPr>
        <w:pStyle w:val="FirstParagraph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precise-db</w:t>
        </w:r>
      </w:hyperlink>
      <w:r>
        <w:t xml:space="preserve"> </w:t>
      </w:r>
      <w:r>
        <w:t xml:space="preserve">provides a large</w:t>
      </w:r>
      <w:r>
        <w:t xml:space="preserve"> </w:t>
      </w:r>
      <w:r>
        <w:t xml:space="preserve">collection of RNA sequencing data that can be used to create suitable input for independent</w:t>
      </w:r>
      <w:r>
        <w:t xml:space="preserve"> </w:t>
      </w:r>
      <w:r>
        <w:t xml:space="preserve">component analysis.</w:t>
      </w:r>
    </w:p>
    <w:p>
      <w:pPr>
        <w:pStyle w:val="BodyText"/>
      </w:pPr>
      <w:r>
        <w:t xml:space="preserve">Like with other RNA sequencing data, each gene expression measurement in</w:t>
      </w:r>
      <w:r>
        <w:t xml:space="preserve"> </w:t>
      </w:r>
      <w:r>
        <w:t xml:space="preserve">precise-db starts as a count of the number of times an mRNA fragment that maps</w:t>
      </w:r>
      <w:r>
        <w:t xml:space="preserve"> </w:t>
      </w:r>
      <w:r>
        <w:t xml:space="preserve">to the gene was detected in the experiment fragments per transcript.</w:t>
      </w:r>
      <w:r>
        <w:t xml:space="preserve"> </w:t>
      </w:r>
      <w:r>
        <w:t xml:space="preserve">Unfortunately such counts are not comparable between genes within a sample</w:t>
      </w:r>
      <w:r>
        <w:t xml:space="preserve"> </w:t>
      </w:r>
      <w:r>
        <w:t xml:space="preserve">because they are sensitive to the size of the mRNA fragment that encodes the</w:t>
      </w:r>
      <w:r>
        <w:t xml:space="preserve"> </w:t>
      </w:r>
      <w:r>
        <w:t xml:space="preserve">gene (a big gene will tend to be counted more often than an equally expressed</w:t>
      </w:r>
      <w:r>
        <w:t xml:space="preserve"> </w:t>
      </w:r>
      <w:r>
        <w:t xml:space="preserve">small gene). Raw counts are also not comparable between samples because of</w:t>
      </w:r>
      <w:r>
        <w:t xml:space="preserve"> </w:t>
      </w:r>
      <w:r>
        <w:t xml:space="preserve">potential variations in sequence depth (i.e. the total number of measurements</w:t>
      </w:r>
      <w:r>
        <w:t xml:space="preserve"> </w:t>
      </w:r>
      <w:r>
        <w:t xml:space="preserve">from the sample) and the mRNA-fragment-to-gene map used. Consequently the usual</w:t>
      </w:r>
      <w:r>
        <w:t xml:space="preserve"> </w:t>
      </w:r>
      <w:r>
        <w:t xml:space="preserve">practice is to transform raw counts by first normalising based on the gene size</w:t>
      </w:r>
      <w:r>
        <w:t xml:space="preserve"> </w:t>
      </w:r>
      <w:r>
        <w:t xml:space="preserve">and then</w:t>
      </w:r>
      <w:r>
        <w:t xml:space="preserve"> </w:t>
      </w:r>
      <w:r>
        <w:t xml:space="preserve">‘</w:t>
      </w:r>
      <w:r>
        <w:t xml:space="preserve">proportionising</w:t>
      </w:r>
      <w:r>
        <w:t xml:space="preserve">’</w:t>
      </w:r>
      <w:r>
        <w:t xml:space="preserve">, ending with a relative unit called transcripts per</w:t>
      </w:r>
      <w:r>
        <w:t xml:space="preserve"> </w:t>
      </w:r>
      <w:r>
        <w:t xml:space="preserve">million or TPM:</w:t>
      </w:r>
    </w:p>
    <w:p>
      <w:pPr>
        <w:pStyle w:val="BodyText"/>
      </w:pPr>
      <w:bookmarkStart w:id="30" w:name="eq-tpm"/>
      <m:oMathPara>
        <m:oMathParaPr>
          <m:jc m:val="center"/>
        </m:oMathParaPr>
        <m:oMath>
          <m:r>
            <m:t>T</m:t>
          </m:r>
          <m:r>
            <m:t>P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</m:e>
              </m:d>
              <m:r>
                <m:rPr>
                  <m:sty m:val="p"/>
                </m:rPr>
                <m:t>/</m:t>
              </m:r>
              <m:r>
                <m:t>s</m:t>
              </m:r>
              <m:r>
                <m:t>i</m:t>
              </m:r>
              <m:r>
                <m:t>z</m:t>
              </m:r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s</m:t>
                  </m:r>
                  <m:r>
                    <m:t>a</m:t>
                  </m:r>
                  <m:r>
                    <m:t>m</m:t>
                  </m:r>
                  <m:r>
                    <m:t>p</m:t>
                  </m:r>
                  <m:r>
                    <m:t>l</m:t>
                  </m:r>
                  <m:r>
                    <m:t>e</m:t>
                  </m:r>
                </m:sub>
                <m:sup>
                  <m:r>
                    <m:t>​</m:t>
                  </m:r>
                </m:sup>
                <m:e>
                  <m:r>
                    <m:t>c</m:t>
                  </m:r>
                </m:e>
              </m:nary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r>
                <m:rPr>
                  <m:sty m:val="p"/>
                </m:rPr>
                <m:t>/</m:t>
              </m:r>
              <m:r>
                <m:t>s</m:t>
              </m:r>
              <m:r>
                <m:t>i</m:t>
              </m:r>
              <m:r>
                <m:t>z</m:t>
              </m:r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0"/>
    </w:p>
    <w:p>
      <w:pPr>
        <w:pStyle w:val="FirstParagraph"/>
      </w:pPr>
      <w:r>
        <w:t xml:space="preserve">See</w:t>
      </w:r>
      <w:r>
        <w:t xml:space="preserve"> </w:t>
      </w:r>
      <w:r>
        <w:t xml:space="preserve">Zhao, Ye, and Stanton (2020)</w:t>
      </w:r>
      <w:r>
        <w:t xml:space="preserve"> </w:t>
      </w:r>
      <w:r>
        <w:t xml:space="preserve">for discussion of the transcripts per million</w:t>
      </w:r>
      <w:r>
        <w:t xml:space="preserve"> </w:t>
      </w:r>
      <w:r>
        <w:t xml:space="preserve">normalisation and for references to more papers about RNA sequencing</w:t>
      </w:r>
      <w:r>
        <w:t xml:space="preserve"> </w:t>
      </w:r>
      <w:r>
        <w:t xml:space="preserve">experiments.</w:t>
      </w:r>
    </w:p>
    <w:p>
      <w:pPr>
        <w:pStyle w:val="BodyText"/>
      </w:pPr>
      <w:r>
        <w:t xml:space="preserve">For use in imodulon analysis further transformations are performed. First the</w:t>
      </w:r>
      <w:r>
        <w:t xml:space="preserve"> </w:t>
      </w:r>
      <w:r>
        <w:t xml:space="preserve">transcripts per million are put on log scale, then the log-transcripts per</w:t>
      </w:r>
      <w:r>
        <w:t xml:space="preserve"> </w:t>
      </w:r>
      <w:r>
        <w:t xml:space="preserve">million of a reference condition are subtracted. Finally the data are whitened</w:t>
      </w:r>
      <w:r>
        <w:t xml:space="preserve"> </w:t>
      </w:r>
      <w:r>
        <w:t xml:space="preserve">using scikit-learn’s</w:t>
      </w:r>
      <w:r>
        <w:t xml:space="preserve"> </w:t>
      </w:r>
      <w:r>
        <w:rPr>
          <w:rStyle w:val="VerbatimChar"/>
        </w:rPr>
        <w:t xml:space="preserve">arbitrary-variance</w:t>
      </w:r>
      <w:r>
        <w:t xml:space="preserve"> </w:t>
      </w:r>
      <w:r>
        <w:t xml:space="preserve">option.</w:t>
      </w:r>
    </w:p>
    <w:bookmarkEnd w:id="31"/>
    <w:bookmarkEnd w:id="32"/>
    <w:bookmarkStart w:id="39" w:name="our-project"/>
    <w:p>
      <w:pPr>
        <w:pStyle w:val="Heading1"/>
      </w:pPr>
      <w:r>
        <w:t xml:space="preserve">Our project</w:t>
      </w:r>
    </w:p>
    <w:bookmarkStart w:id="33" w:name="Xb198514fb404766e0c04fa5c66516542d360271"/>
    <w:p>
      <w:pPr>
        <w:pStyle w:val="Heading2"/>
      </w:pPr>
      <w:r>
        <w:t xml:space="preserve">Why we want to attempt a Bayesian Imodulon analysis</w:t>
      </w:r>
    </w:p>
    <w:p>
      <w:pPr>
        <w:pStyle w:val="FirstParagraph"/>
      </w:pPr>
      <w:r>
        <w:t xml:space="preserve">There are several general reasons to prefer Bayesian ICA models to models that</w:t>
      </w:r>
      <w:r>
        <w:t xml:space="preserve"> </w:t>
      </w:r>
      <w:r>
        <w:t xml:space="preserve">use a maximum likelihood approach, including automatic relevance detection, the</w:t>
      </w:r>
      <w:r>
        <w:t xml:space="preserve"> </w:t>
      </w:r>
      <w:r>
        <w:t xml:space="preserve">potential to take into account quantitative non-measurement information through</w:t>
      </w:r>
      <w:r>
        <w:t xml:space="preserve"> </w:t>
      </w:r>
      <w:r>
        <w:t xml:space="preserve">a prior model, and the avoidance of pathological model behaviour due to bad or</w:t>
      </w:r>
      <w:r>
        <w:t xml:space="preserve"> </w:t>
      </w:r>
      <w:r>
        <w:t xml:space="preserve">incomplete observations. These general reasons are discussed in</w:t>
      </w:r>
      <w:r>
        <w:t xml:space="preserve"> </w:t>
      </w:r>
      <w:r>
        <w:t xml:space="preserve">Roberts and Choudrey (2005)</w:t>
      </w:r>
      <w:r>
        <w:t xml:space="preserve">.</w:t>
      </w:r>
    </w:p>
    <w:p>
      <w:pPr>
        <w:pStyle w:val="BodyText"/>
      </w:pPr>
      <w:r>
        <w:t xml:space="preserve">These advantages are particularly pertinent for the application of ICA to</w:t>
      </w:r>
      <w:r>
        <w:t xml:space="preserve"> </w:t>
      </w:r>
      <w:r>
        <w:t xml:space="preserve">attempting to infer Imodulons from RNA sequencing data.</w:t>
      </w:r>
    </w:p>
    <w:p>
      <w:pPr>
        <w:pStyle w:val="BodyText"/>
      </w:pPr>
      <w:r>
        <w:t xml:space="preserve">First, as described in</w:t>
      </w:r>
      <w:r>
        <w:t xml:space="preserve"> </w:t>
      </w:r>
      <w:r>
        <w:t xml:space="preserve">Roberts and Choudrey (2005)</w:t>
      </w:r>
      <w:r>
        <w:t xml:space="preserve">, a Bayesian ICA</w:t>
      </w:r>
      <w:r>
        <w:t xml:space="preserve"> </w:t>
      </w:r>
      <w:r>
        <w:t xml:space="preserve">model can potentially use automatic relevance detection to find an appropriate</w:t>
      </w:r>
      <w:r>
        <w:t xml:space="preserve"> </w:t>
      </w:r>
      <w:r>
        <w:t xml:space="preserve">number of Imodulons to postulate. Whereas in the current framework the</w:t>
      </w:r>
      <w:r>
        <w:t xml:space="preserve"> </w:t>
      </w:r>
      <w:r>
        <w:t xml:space="preserve">appropriate number of Imodulons is determined using a procedure that is</w:t>
      </w:r>
      <w:r>
        <w:t xml:space="preserve"> </w:t>
      </w:r>
      <w:r>
        <w:t xml:space="preserve">separate from the main inference and motivated by computational and algorithmic</w:t>
      </w:r>
      <w:r>
        <w:t xml:space="preserve"> </w:t>
      </w:r>
      <w:r>
        <w:t xml:space="preserve">considerations—primarily whether the algorithm successfully</w:t>
      </w:r>
      <w:r>
        <w:t xml:space="preserve"> </w:t>
      </w:r>
      <w:r>
        <w:t xml:space="preserve">converges—rather than substantive statistical ones, relevance detection based</w:t>
      </w:r>
      <w:r>
        <w:t xml:space="preserve"> </w:t>
      </w:r>
      <w:r>
        <w:t xml:space="preserve">on hyperparameters in the context of a Bayesian model is well-motivated and</w:t>
      </w:r>
      <w:r>
        <w:t xml:space="preserve"> </w:t>
      </w:r>
      <w:r>
        <w:t xml:space="preserve">does not require downstream processing.</w:t>
      </w:r>
    </w:p>
    <w:p>
      <w:pPr>
        <w:pStyle w:val="BodyText"/>
      </w:pPr>
      <w:r>
        <w:t xml:space="preserve">Second, there is substantial non-experimental information about Imodulons that</w:t>
      </w:r>
      <w:r>
        <w:t xml:space="preserve"> </w:t>
      </w:r>
      <w:r>
        <w:t xml:space="preserve">should provide important context to RNA sequencing measurements. In particular,</w:t>
      </w:r>
      <w:r>
        <w:t xml:space="preserve"> </w:t>
      </w:r>
      <w:r>
        <w:t xml:space="preserve">as discussed above investigation of regulons and transcription factors suggests</w:t>
      </w:r>
      <w:r>
        <w:t xml:space="preserve"> </w:t>
      </w:r>
      <w:r>
        <w:t xml:space="preserve">that an Imodulon should typically affect a relatively small number of genes.</w:t>
      </w:r>
      <w:r>
        <w:t xml:space="preserve"> </w:t>
      </w:r>
      <w:r>
        <w:t xml:space="preserve">Maximum-likelihood based Imodulon analysis uses another</w:t>
      </w:r>
      <w:r>
        <w:t xml:space="preserve"> </w:t>
      </w:r>
      <w:r>
        <w:t xml:space="preserve">non-statistically-motivated downstream procedure to impose this sparsity after</w:t>
      </w:r>
      <w:r>
        <w:t xml:space="preserve"> </w:t>
      </w:r>
      <w:r>
        <w:t xml:space="preserve">fitting an ICA model. We would like to represent this information in a Bayesian</w:t>
      </w:r>
      <w:r>
        <w:t xml:space="preserve"> </w:t>
      </w:r>
      <w:r>
        <w:t xml:space="preserve">ICA model by using a sparsity-inducing prior for the columns of the mixing</w:t>
      </w:r>
      <w:r>
        <w:t xml:space="preserve"> </w:t>
      </w:r>
      <w:r>
        <w:t xml:space="preserve">matrix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Another potential source of non-experimental information is the research into</w:t>
      </w:r>
      <w:r>
        <w:t xml:space="preserve"> </w:t>
      </w:r>
      <w:r>
        <w:t xml:space="preserve">regulons and transcription factors itself. Many genes, particularly those in a</w:t>
      </w:r>
      <w:r>
        <w:t xml:space="preserve"> </w:t>
      </w:r>
      <w:r>
        <w:t xml:space="preserve">species’s</w:t>
      </w:r>
      <w:r>
        <w:t xml:space="preserve"> </w:t>
      </w:r>
      <w:r>
        <w:t xml:space="preserve">‘</w:t>
      </w:r>
      <w:r>
        <w:t xml:space="preserve">core</w:t>
      </w:r>
      <w:r>
        <w:t xml:space="preserve">’</w:t>
      </w:r>
      <w:r>
        <w:t xml:space="preserve"> </w:t>
      </w:r>
      <w:r>
        <w:t xml:space="preserve">genome that are common to almost all strains, are known in</w:t>
      </w:r>
      <w:r>
        <w:t xml:space="preserve"> </w:t>
      </w:r>
      <w:r>
        <w:t xml:space="preserve">advance to share specific regulators, and this information can be taken into</w:t>
      </w:r>
      <w:r>
        <w:t xml:space="preserve"> </w:t>
      </w:r>
      <w:r>
        <w:t xml:space="preserve">account in a Bayesian framework through informative priors on specific elements</w:t>
      </w:r>
      <w:r>
        <w:t xml:space="preserve"> </w:t>
      </w:r>
      <w:r>
        <w:t xml:space="preserve">of the mixing matrix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Finally, the robustness gained by using a Bayesian statistical analysis is</w:t>
      </w:r>
      <w:r>
        <w:t xml:space="preserve"> </w:t>
      </w:r>
      <w:r>
        <w:t xml:space="preserve">likely to be helpful when attempting to infer Imodulons for species with fewer</w:t>
      </w:r>
      <w:r>
        <w:t xml:space="preserve"> </w:t>
      </w:r>
      <w:r>
        <w:t xml:space="preserve">RNA sequencing experiments.</w:t>
      </w:r>
    </w:p>
    <w:bookmarkEnd w:id="33"/>
    <w:bookmarkStart w:id="34" w:name="what-we-would-like-to-achieve"/>
    <w:p>
      <w:pPr>
        <w:pStyle w:val="Heading2"/>
      </w:pPr>
      <w:r>
        <w:t xml:space="preserve">What we would like to achieve</w:t>
      </w:r>
    </w:p>
    <w:p>
      <w:pPr>
        <w:pStyle w:val="FirstParagraph"/>
      </w:pPr>
      <w:r>
        <w:t xml:space="preserve">Ultimately we would like to create a sparse Bayesian ICA model that can</w:t>
      </w:r>
      <w:r>
        <w:t xml:space="preserve"> </w:t>
      </w:r>
      <w:r>
        <w:t xml:space="preserve">reproduce the analysis in</w:t>
      </w:r>
      <w:r>
        <w:t xml:space="preserve"> </w:t>
      </w:r>
      <w:r>
        <w:t xml:space="preserve">Tan et al. (2020)</w:t>
      </w:r>
      <w:r>
        <w:t xml:space="preserve"> </w:t>
      </w:r>
      <w:r>
        <w:t xml:space="preserve">of the</w:t>
      </w:r>
      <w:r>
        <w:t xml:space="preserve"> </w:t>
      </w:r>
      <w:r>
        <w:t xml:space="preserve">precise-db dataset. This analysis inferred 92 Imodulons from RNA sequencing</w:t>
      </w:r>
      <w:r>
        <w:t xml:space="preserve"> </w:t>
      </w:r>
      <w:r>
        <w:t xml:space="preserve">measurements of 4386 genes in 278 conditions. We would then like to use the</w:t>
      </w:r>
      <w:r>
        <w:t xml:space="preserve"> </w:t>
      </w:r>
      <w:r>
        <w:t xml:space="preserve">same approach to analyse RNA sequencing data from organisms with fewer</w:t>
      </w:r>
      <w:r>
        <w:t xml:space="preserve"> </w:t>
      </w:r>
      <w:r>
        <w:t xml:space="preserve">measurements and to augment our model with informative priors based on</w:t>
      </w:r>
      <w:r>
        <w:t xml:space="preserve"> </w:t>
      </w:r>
      <w:r>
        <w:t xml:space="preserve">information about regulons.</w:t>
      </w:r>
    </w:p>
    <w:p>
      <w:pPr>
        <w:pStyle w:val="BodyText"/>
      </w:pPr>
      <w:r>
        <w:t xml:space="preserve">As a proof of concept we would like to generate and then fit a smaller</w:t>
      </w:r>
      <w:r>
        <w:t xml:space="preserve"> </w:t>
      </w:r>
      <w:r>
        <w:t xml:space="preserve">artificial dataset with uninformative but still sparsity-inducing priors, then</w:t>
      </w:r>
      <w:r>
        <w:t xml:space="preserve"> </w:t>
      </w:r>
      <w:r>
        <w:t xml:space="preserve">fit the same model to a subset of the precise-db dataset.</w:t>
      </w:r>
    </w:p>
    <w:bookmarkEnd w:id="34"/>
    <w:bookmarkStart w:id="38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In contrast to the model in</w:t>
      </w:r>
      <w:r>
        <w:t xml:space="preserve"> </w:t>
      </w:r>
      <w:r>
        <w:t xml:space="preserve">Hyvärinen and Oja (2000)</w:t>
      </w:r>
      <w:r>
        <w:t xml:space="preserve"> </w:t>
      </w:r>
      <w:r>
        <w:t xml:space="preserve">and</w:t>
      </w:r>
      <w:r>
        <w:t xml:space="preserve"> </w:t>
      </w:r>
      <w:r>
        <w:t xml:space="preserve">previous Imodulon analyses we propose to include measurement noise in our</w:t>
      </w:r>
      <w:r>
        <w:t xml:space="preserve"> </w:t>
      </w:r>
      <w:r>
        <w:t xml:space="preserve">statistical model. Although it would perhaps be preferable to model the whole</w:t>
      </w:r>
      <w:r>
        <w:t xml:space="preserve"> </w:t>
      </w:r>
      <w:r>
        <w:t xml:space="preserve">data generation process up to the production of untransformed raw counts, for</w:t>
      </w:r>
      <w:r>
        <w:t xml:space="preserve"> </w:t>
      </w:r>
      <w:r>
        <w:t xml:space="preserve">the sake of simplicity and easier comparison with previous approaches we will</w:t>
      </w:r>
      <w:r>
        <w:t xml:space="preserve"> </w:t>
      </w:r>
      <w:r>
        <w:t xml:space="preserve">use the following simple linear regression model for transformed RNA sequencing</w:t>
      </w:r>
      <w:r>
        <w:t xml:space="preserve"> </w:t>
      </w:r>
      <w:r>
        <w:t xml:space="preserve">data, assuming known measurement error</w:t>
      </w:r>
      <w:r>
        <w:t xml:space="preserve"> </w:t>
      </w:r>
      <m:oMath>
        <m:r>
          <m:t>σ</m:t>
        </m:r>
      </m:oMath>
      <w:r>
        <w:t xml:space="preserve">:</w:t>
      </w:r>
    </w:p>
    <w:p>
      <w:pPr>
        <w:pStyle w:val="BodyText"/>
      </w:pPr>
      <w:bookmarkStart w:id="35" w:name="eq-noise-likelihood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35"/>
    </w:p>
    <w:p>
      <w:pPr>
        <w:pStyle w:val="FirstParagraph"/>
      </w:pPr>
      <w:r>
        <w:t xml:space="preserve">In order to ensure that our model implements ICA we will use a column-wise</w:t>
      </w:r>
      <w:r>
        <w:t xml:space="preserve"> </w:t>
      </w:r>
      <w:r>
        <w:t xml:space="preserve">independent and row-wise non-Gaussian prior distribution for the source</w:t>
      </w:r>
      <w:r>
        <w:t xml:space="preserve"> </w:t>
      </w:r>
      <w:r>
        <w:t xml:space="preserve">strength matrix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BodyText"/>
      </w:pPr>
      <w:bookmarkStart w:id="36" w:name="eq-source-model"/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k</m:t>
              </m:r>
            </m:sub>
          </m:sSub>
          <m:r>
            <m:t>j</m:t>
          </m:r>
          <m:r>
            <m:rPr>
              <m:sty m:val="p"/>
            </m:rPr>
            <m:t>∼</m:t>
          </m:r>
          <m:r>
            <m:t>T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36"/>
    </w:p>
    <w:p>
      <w:pPr>
        <w:pStyle w:val="FirstParagraph"/>
      </w:pPr>
      <w:r>
        <w:t xml:space="preserve">In</w:t>
      </w:r>
      <w:r>
        <w:t xml:space="preserve"> </w:t>
      </w:r>
      <w:hyperlink w:anchor="eq-source-model">
        <w:r>
          <w:rPr>
            <w:rStyle w:val="Hyperlink"/>
          </w:rPr>
          <w:t xml:space="preserve">Equation 5</w:t>
        </w:r>
      </w:hyperlink>
      <w:r>
        <w:t xml:space="preserve"> </w:t>
      </w:r>
      <m:oMath>
        <m:r>
          <m:t>T</m:t>
        </m:r>
        <m:r>
          <m:t>4</m:t>
        </m:r>
      </m:oMath>
      <w:r>
        <w:t xml:space="preserve"> </w:t>
      </w:r>
      <w:r>
        <w:t xml:space="preserve">refers to the student-t distribution with 4</w:t>
      </w:r>
      <w:r>
        <w:t xml:space="preserve"> </w:t>
      </w:r>
      <w:r>
        <w:t xml:space="preserve">degrees of freedom. The use of a unit scale for each row is beause ICA models</w:t>
      </w:r>
      <w:r>
        <w:t xml:space="preserve"> </w:t>
      </w:r>
      <w:r>
        <w:t xml:space="preserve">are identified only up to a change of scale</w:t>
      </w:r>
    </w:p>
    <w:p>
      <w:pPr>
        <w:pStyle w:val="BodyText"/>
      </w:pPr>
      <w:r>
        <w:t xml:space="preserve">We will use independent regularised horseshoe priors for the columns of the</w:t>
      </w:r>
      <w:r>
        <w:t xml:space="preserve"> </w:t>
      </w:r>
      <w:r>
        <w:t xml:space="preserve">mixing matrix</w:t>
      </w:r>
      <w:r>
        <w:t xml:space="preserve"> </w:t>
      </w:r>
      <m:oMath>
        <m:r>
          <m:t>M</m:t>
        </m:r>
      </m:oMath>
      <w:r>
        <w:t xml:space="preserve">:</w:t>
      </w:r>
    </w:p>
    <w:p>
      <w:pPr>
        <w:pStyle w:val="BodyText"/>
      </w:pPr>
      <w:bookmarkStart w:id="37" w:name="eq-mixing-model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λ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λ</m:t>
                        </m:r>
                      </m:e>
                    </m:acc>
                  </m:e>
                  <m:sub>
                    <m:r>
                      <m:t>i</m:t>
                    </m:r>
                    <m:r>
                      <m:t>k</m:t>
                    </m:r>
                  </m:sub>
                </m:sSub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i</m:t>
                        </m:r>
                        <m:r>
                          <m:t>k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τ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i</m:t>
                        </m:r>
                        <m:r>
                          <m:t>k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t>C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Sup>
                  <m:e>
                    <m:r>
                      <m:t>c</m:t>
                    </m:r>
                  </m:e>
                  <m:sub>
                    <m:r>
                      <m:t>k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nor/>
                    <m:sty m:val="p"/>
                  </m:rPr>
                  <m:t>inverse gamma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</m:e>
                </m:d>
              </m:e>
            </m:mr>
            <m:mr>
              <m:e>
                <m:sSub>
                  <m:e>
                    <m:r>
                      <m:t>τ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t>C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k</m:t>
                        </m:r>
                        <m:r>
                          <m:t>0</m:t>
                        </m:r>
                      </m:sub>
                    </m:sSub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37"/>
    </w:p>
    <w:p>
      <w:pPr>
        <w:pStyle w:val="FirstParagraph"/>
      </w:pPr>
      <w:r>
        <w:t xml:space="preserve">In</w:t>
      </w:r>
      <w:r>
        <w:t xml:space="preserve"> </w:t>
      </w:r>
      <w:hyperlink w:anchor="eq-mixing-model">
        <w:r>
          <w:rPr>
            <w:rStyle w:val="Hyperlink"/>
          </w:rPr>
          <w:t xml:space="preserve">Equation 6</w:t>
        </w:r>
      </w:hyperlink>
      <w:r>
        <w:t xml:space="preserve"> </w:t>
      </w:r>
      <m:oMath>
        <m:sSup>
          <m:e>
            <m:r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refer respectively to Cauchy and</w:t>
      </w:r>
      <w:r>
        <w:t xml:space="preserve"> </w:t>
      </w:r>
      <w:r>
        <w:t xml:space="preserve">Normal distributions with support only on the positive real line, and the terms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a</m:t>
        </m:r>
        <m:sSub>
          <m:e>
            <m:r>
              <m:t>u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are informative priors. Note that the mixing</w:t>
      </w:r>
      <w:r>
        <w:t xml:space="preserve"> </w:t>
      </w:r>
      <w:r>
        <w:t xml:space="preserve">matrix prior is constrained to have support only on the non-negative real line.</w:t>
      </w:r>
      <w:r>
        <w:t xml:space="preserve"> </w:t>
      </w:r>
      <w:r>
        <w:t xml:space="preserve">This is done, following</w:t>
      </w:r>
      <w:r>
        <w:t xml:space="preserve"> </w:t>
      </w:r>
      <w:r>
        <w:t xml:space="preserve">Roberts and Choudrey (2005)</w:t>
      </w:r>
      <w:r>
        <w:t xml:space="preserve">, to ensure</w:t>
      </w:r>
      <w:r>
        <w:t xml:space="preserve"> </w:t>
      </w:r>
      <w:r>
        <w:t xml:space="preserve">sign consistency, so that a positive relative change in an Imodulon’s strength</w:t>
      </w:r>
      <w:r>
        <w:t xml:space="preserve"> </w:t>
      </w:r>
      <w:r>
        <w:t xml:space="preserve">in a certain condition will always correspond to up-regulation of genes</w:t>
      </w:r>
      <w:r>
        <w:t xml:space="preserve"> </w:t>
      </w:r>
      <w:r>
        <w:t xml:space="preserve">affected by that Imodulon.</w:t>
      </w:r>
    </w:p>
    <w:bookmarkEnd w:id="38"/>
    <w:bookmarkEnd w:id="39"/>
    <w:bookmarkStart w:id="49" w:name="where-we-need-help"/>
    <w:p>
      <w:pPr>
        <w:pStyle w:val="Heading1"/>
      </w:pPr>
      <w:r>
        <w:t xml:space="preserve">Where we need help</w:t>
      </w:r>
    </w:p>
    <w:p>
      <w:pPr>
        <w:pStyle w:val="FirstParagraph"/>
      </w:pPr>
      <w:r>
        <w:t xml:space="preserve">We need to address a few statistical programming issues as we have not yet</w:t>
      </w:r>
      <w:r>
        <w:t xml:space="preserve"> </w:t>
      </w:r>
      <w:r>
        <w:t xml:space="preserve">managed to implement our target model:</w:t>
      </w:r>
    </w:p>
    <w:p>
      <w:pPr>
        <w:numPr>
          <w:ilvl w:val="0"/>
          <w:numId w:val="1001"/>
        </w:numPr>
      </w:pPr>
      <w:r>
        <w:t xml:space="preserve">Is it feasible to fit our target model and dataset with Stan, or should we</w:t>
      </w:r>
      <w:r>
        <w:t xml:space="preserve"> </w:t>
      </w:r>
      <w:r>
        <w:t xml:space="preserve">try a different framework (or give up, try a simpler model etc)? What would</w:t>
      </w:r>
      <w:r>
        <w:t xml:space="preserve"> </w:t>
      </w:r>
      <w:r>
        <w:t xml:space="preserve">be good potential options for simpler models or alternative frameworks?</w:t>
      </w:r>
    </w:p>
    <w:p>
      <w:pPr>
        <w:numPr>
          <w:ilvl w:val="0"/>
          <w:numId w:val="1001"/>
        </w:numPr>
      </w:pPr>
      <w:r>
        <w:t xml:space="preserve">What is the right way to implement the regularised horseshoe prior for this</w:t>
      </w:r>
      <w:r>
        <w:t xml:space="preserve"> </w:t>
      </w:r>
      <w:r>
        <w:t xml:space="preserve">case?</w:t>
      </w:r>
    </w:p>
    <w:bookmarkStart w:id="48" w:name="refs"/>
    <w:bookmarkStart w:id="41" w:name="X5ef169d5ba2228c11c959447a1e192965b87f30"/>
    <w:p>
      <w:pPr>
        <w:pStyle w:val="Bibliography"/>
      </w:pPr>
      <w:r>
        <w:t xml:space="preserve">Hyvärinen, A., and E. Oja. 2000.</w:t>
      </w:r>
      <w:r>
        <w:t xml:space="preserve"> </w:t>
      </w:r>
      <w:r>
        <w:t xml:space="preserve">“Independent Component Analysis: Algorithms and Applications.”</w:t>
      </w:r>
      <w:r>
        <w:t xml:space="preserve"> </w:t>
      </w:r>
      <w:r>
        <w:rPr>
          <w:iCs/>
          <w:i/>
        </w:rPr>
        <w:t xml:space="preserve">Neural Networks</w:t>
      </w:r>
      <w:r>
        <w:t xml:space="preserve"> </w:t>
      </w:r>
      <w:r>
        <w:t xml:space="preserve">13 (4): 411–30.</w:t>
      </w:r>
      <w:r>
        <w:t xml:space="preserve"> </w:t>
      </w:r>
      <w:hyperlink r:id="rId40">
        <w:r>
          <w:rPr>
            <w:rStyle w:val="Hyperlink"/>
          </w:rPr>
          <w:t xml:space="preserve">https://doi.org/10.1016/S0893-6080(00)00026-5</w:t>
        </w:r>
      </w:hyperlink>
      <w:r>
        <w:t xml:space="preserve">.</w:t>
      </w:r>
    </w:p>
    <w:bookmarkEnd w:id="41"/>
    <w:bookmarkStart w:id="43" w:name="X04dba176eb811586501e055ba02db6977f58989"/>
    <w:p>
      <w:pPr>
        <w:pStyle w:val="Bibliography"/>
      </w:pPr>
      <w:r>
        <w:t xml:space="preserve">Roberts, Stephen, and Rizwan Choudrey. 2005.</w:t>
      </w:r>
      <w:r>
        <w:t xml:space="preserve"> </w:t>
      </w:r>
      <w:r>
        <w:t xml:space="preserve">“Bayesian</w:t>
      </w:r>
      <w:r>
        <w:t xml:space="preserve"> </w:t>
      </w:r>
      <w:r>
        <w:t xml:space="preserve">Independent Component Analysis</w:t>
      </w:r>
      <w:r>
        <w:t xml:space="preserve"> </w:t>
      </w:r>
      <w:r>
        <w:t xml:space="preserve">with</w:t>
      </w:r>
      <w:r>
        <w:t xml:space="preserve"> </w:t>
      </w:r>
      <w:r>
        <w:t xml:space="preserve">Prior Constraints</w:t>
      </w:r>
      <w:r>
        <w:t xml:space="preserve">:</w:t>
      </w:r>
      <w:r>
        <w:t xml:space="preserve"> </w:t>
      </w:r>
      <w:r>
        <w:t xml:space="preserve">An Application</w:t>
      </w:r>
      <w:r>
        <w:t xml:space="preserve"> </w:t>
      </w:r>
      <w:r>
        <w:t xml:space="preserve">in</w:t>
      </w:r>
      <w:r>
        <w:t xml:space="preserve"> </w:t>
      </w:r>
      <w:r>
        <w:t xml:space="preserve">Biosignal Analysis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Deterministic and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Methods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Machine Learning</w:t>
      </w:r>
      <w:r>
        <w:t xml:space="preserve">, edited by Joab Winkler, Mahesan Niranjan, and Neil Lawrence, 159–79. Lecture</w:t>
      </w:r>
      <w:r>
        <w:t xml:space="preserve"> </w:t>
      </w:r>
      <w:r>
        <w:t xml:space="preserve">Notes</w:t>
      </w:r>
      <w:r>
        <w:t xml:space="preserve"> </w:t>
      </w:r>
      <w:r>
        <w:t xml:space="preserve">in</w:t>
      </w:r>
      <w:r>
        <w:t xml:space="preserve"> </w:t>
      </w:r>
      <w:r>
        <w:t xml:space="preserve">Computer Science</w:t>
      </w:r>
      <w:r>
        <w:t xml:space="preserve">.</w:t>
      </w:r>
      <w:r>
        <w:t xml:space="preserve"> </w:t>
      </w:r>
      <w:r>
        <w:t xml:space="preserve">Berlin, Heidelberg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https://doi.org/10.1007/11559887_10</w:t>
        </w:r>
      </w:hyperlink>
      <w:r>
        <w:t xml:space="preserve">.</w:t>
      </w:r>
    </w:p>
    <w:bookmarkEnd w:id="43"/>
    <w:bookmarkStart w:id="45" w:name="ref-tanIndependentComponentAnalysis2020"/>
    <w:p>
      <w:pPr>
        <w:pStyle w:val="Bibliography"/>
      </w:pPr>
      <w:r>
        <w:t xml:space="preserve">Tan, Justin, Anand V. Sastry, Karoline S. Fremming, Sara P. Bjørn, Alexandra Hoffmeyer, Sangwoo Seo, Bjørn G. Voldborg, and Bernhard O. Palsson. 2020.</w:t>
      </w:r>
      <w:r>
        <w:t xml:space="preserve"> </w:t>
      </w:r>
      <w:r>
        <w:t xml:space="preserve">“Independent Component Analysis of</w:t>
      </w:r>
      <w:r>
        <w:t xml:space="preserve"> </w:t>
      </w:r>
      <w:r>
        <w:t xml:space="preserve">E</w:t>
      </w:r>
      <w:r>
        <w:t xml:space="preserve">. Coli’s Transcriptome Reveals the Cellular Processes That Respond to Heterologous Gene Expression.”</w:t>
      </w:r>
      <w:r>
        <w:t xml:space="preserve"> </w:t>
      </w:r>
      <w:r>
        <w:rPr>
          <w:iCs/>
          <w:i/>
        </w:rPr>
        <w:t xml:space="preserve">Metabolic Engineering</w:t>
      </w:r>
      <w:r>
        <w:t xml:space="preserve"> </w:t>
      </w:r>
      <w:r>
        <w:t xml:space="preserve">61 (September): 360–68.</w:t>
      </w:r>
      <w:r>
        <w:t xml:space="preserve"> </w:t>
      </w:r>
      <w:hyperlink r:id="rId44">
        <w:r>
          <w:rPr>
            <w:rStyle w:val="Hyperlink"/>
          </w:rPr>
          <w:t xml:space="preserve">https://doi.org/10.1016/j.ymben.2020.07.002</w:t>
        </w:r>
      </w:hyperlink>
      <w:r>
        <w:t xml:space="preserve">.</w:t>
      </w:r>
    </w:p>
    <w:bookmarkEnd w:id="45"/>
    <w:bookmarkStart w:id="47" w:name="ref-zhaoMisuseRPKMTPM2020"/>
    <w:p>
      <w:pPr>
        <w:pStyle w:val="Bibliography"/>
      </w:pPr>
      <w:r>
        <w:t xml:space="preserve">Zhao, Shanrong, Zhan Ye, and Robert Stanton. 2020.</w:t>
      </w:r>
      <w:r>
        <w:t xml:space="preserve"> </w:t>
      </w:r>
      <w:r>
        <w:t xml:space="preserve">“Misuse of</w:t>
      </w:r>
      <w:r>
        <w:t xml:space="preserve"> </w:t>
      </w:r>
      <w:r>
        <w:t xml:space="preserve">RPKM</w:t>
      </w:r>
      <w:r>
        <w:t xml:space="preserve"> </w:t>
      </w:r>
      <w:r>
        <w:t xml:space="preserve">or</w:t>
      </w:r>
      <w:r>
        <w:t xml:space="preserve"> </w:t>
      </w:r>
      <w:r>
        <w:t xml:space="preserve">TPM</w:t>
      </w:r>
      <w:r>
        <w:t xml:space="preserve"> </w:t>
      </w:r>
      <w:r>
        <w:t xml:space="preserve">Normalization When Comparing Across Samples and Sequencing Protocols.”</w:t>
      </w:r>
      <w:r>
        <w:t xml:space="preserve"> </w:t>
      </w:r>
      <w:r>
        <w:rPr>
          <w:iCs/>
          <w:i/>
        </w:rPr>
        <w:t xml:space="preserve">RNA</w:t>
      </w:r>
      <w:r>
        <w:t xml:space="preserve"> </w:t>
      </w:r>
      <w:r>
        <w:t xml:space="preserve">26 (8): 903–9.</w:t>
      </w:r>
      <w:r>
        <w:t xml:space="preserve"> </w:t>
      </w:r>
      <w:hyperlink r:id="rId46">
        <w:r>
          <w:rPr>
            <w:rStyle w:val="Hyperlink"/>
          </w:rPr>
          <w:t xml:space="preserve">https://doi.org/10.1261/rna.074922.120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Note that Imodulons are not the same</w:t>
      </w:r>
      <w:r>
        <w:t xml:space="preserve"> </w:t>
      </w:r>
      <w:r>
        <w:t xml:space="preserve">as transcription factors!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Term names</w:t>
      </w:r>
      <w:r>
        <w:t xml:space="preserve"> </w:t>
      </w:r>
      <w:r>
        <w:t xml:space="preserve">chosen for consistency with the Imodulon papers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11559887_10" TargetMode="External" /><Relationship Type="http://schemas.openxmlformats.org/officeDocument/2006/relationships/hyperlink" Id="rId40" Target="https://doi.org/10.1016/S0893-6080(00)00026-5" TargetMode="External" /><Relationship Type="http://schemas.openxmlformats.org/officeDocument/2006/relationships/hyperlink" Id="rId44" Target="https://doi.org/10.1016/j.ymben.2020.07.002" TargetMode="External" /><Relationship Type="http://schemas.openxmlformats.org/officeDocument/2006/relationships/hyperlink" Id="rId46" Target="https://doi.org/10.1261/rna.074922.120" TargetMode="External" /><Relationship Type="http://schemas.openxmlformats.org/officeDocument/2006/relationships/hyperlink" Id="rId29" Target="https://github.com/SBRG/precise-db" TargetMode="External" /><Relationship Type="http://schemas.openxmlformats.org/officeDocument/2006/relationships/hyperlink" Id="rId21" Target="https://regulondb.ccg.unam.mx/index.jsp" TargetMode="External" /><Relationship Type="http://schemas.openxmlformats.org/officeDocument/2006/relationships/hyperlink" Id="rId27" Target="https://scikit-learn.org/stable/modules/generated/sklearn.decomposition.FastI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11559887_10" TargetMode="External" /><Relationship Type="http://schemas.openxmlformats.org/officeDocument/2006/relationships/hyperlink" Id="rId40" Target="https://doi.org/10.1016/S0893-6080(00)00026-5" TargetMode="External" /><Relationship Type="http://schemas.openxmlformats.org/officeDocument/2006/relationships/hyperlink" Id="rId44" Target="https://doi.org/10.1016/j.ymben.2020.07.002" TargetMode="External" /><Relationship Type="http://schemas.openxmlformats.org/officeDocument/2006/relationships/hyperlink" Id="rId46" Target="https://doi.org/10.1261/rna.074922.120" TargetMode="External" /><Relationship Type="http://schemas.openxmlformats.org/officeDocument/2006/relationships/hyperlink" Id="rId29" Target="https://github.com/SBRG/precise-db" TargetMode="External" /><Relationship Type="http://schemas.openxmlformats.org/officeDocument/2006/relationships/hyperlink" Id="rId21" Target="https://regulondb.ccg.unam.mx/index.jsp" TargetMode="External" /><Relationship Type="http://schemas.openxmlformats.org/officeDocument/2006/relationships/hyperlink" Id="rId27" Target="https://scikit-learn.org/stable/modules/generated/sklearn.decomposition.FastI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sparse Bayesian independent component analysis describe gene regulation?</dc:title>
  <dc:creator/>
  <cp:keywords/>
  <dcterms:created xsi:type="dcterms:W3CDTF">2023-04-14T16:52:35Z</dcterms:created>
  <dcterms:modified xsi:type="dcterms:W3CDTF">2023-04-14T16:52:35Z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