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1A" w:rsidRPr="00197AB3" w:rsidRDefault="00197AB3" w:rsidP="00197A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Reemplazo de cheques diferidos</w:t>
      </w:r>
      <w:bookmarkStart w:id="0" w:name="_GoBack"/>
      <w:bookmarkEnd w:id="0"/>
    </w:p>
    <w:sectPr w:rsidR="00442C1A" w:rsidRPr="00197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1DC"/>
    <w:multiLevelType w:val="hybridMultilevel"/>
    <w:tmpl w:val="6B1805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B3"/>
    <w:rsid w:val="00197AB3"/>
    <w:rsid w:val="0044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3191"/>
  <w15:chartTrackingRefBased/>
  <w15:docId w15:val="{676681A7-2CFB-46B1-90F9-2953DBBF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cpulido@mecontuc.gov.ar</dc:creator>
  <cp:keywords/>
  <dc:description/>
  <cp:lastModifiedBy>cpulido@mecontuc.gov.ar</cp:lastModifiedBy>
  <cp:revision>1</cp:revision>
  <dcterms:created xsi:type="dcterms:W3CDTF">2022-05-31T12:06:00Z</dcterms:created>
  <dcterms:modified xsi:type="dcterms:W3CDTF">2022-05-31T12:07:00Z</dcterms:modified>
</cp:coreProperties>
</file>