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6C295" w14:textId="7607B44C" w:rsidR="00AA2BDC" w:rsidRDefault="00412221" w:rsidP="00412221">
      <w:pPr>
        <w:pStyle w:val="Heading1"/>
      </w:pPr>
      <w:r>
        <w:t>CEE282 Programming Assignment Report</w:t>
      </w:r>
    </w:p>
    <w:p w14:paraId="3596E2B8" w14:textId="0DB0C275" w:rsidR="00412221" w:rsidRDefault="00412221" w:rsidP="00412221">
      <w:pPr>
        <w:pStyle w:val="Heading2"/>
      </w:pPr>
      <w:r>
        <w:t>Description of Code</w:t>
      </w:r>
    </w:p>
    <w:p w14:paraId="4F63C950" w14:textId="0BC27DCF" w:rsidR="004D5001" w:rsidRDefault="004D5001" w:rsidP="004D5001">
      <w:pPr>
        <w:rPr>
          <w:rFonts w:eastAsiaTheme="minorEastAsia"/>
        </w:rPr>
      </w:pPr>
      <w:r>
        <w:t xml:space="preserve">The provided code </w:t>
      </w:r>
      <w:r w:rsidR="009F7F07">
        <w:t>analyzes 2-dimensional structures under incremental loading and accounts for deformations in geometry</w:t>
      </w:r>
      <w:r w:rsidR="00E31479">
        <w:t xml:space="preserve"> or geometric nonlinearity. </w:t>
      </w:r>
      <w:r w:rsidR="00B84281">
        <w:t xml:space="preserve">It </w:t>
      </w:r>
      <w:r w:rsidR="00A53815">
        <w:t>is applicable for prismatic rigid frame elements and contains all features necessary to evaluate a linear-elastic 1</w:t>
      </w:r>
      <w:r w:rsidR="00A53815" w:rsidRPr="00A53815">
        <w:rPr>
          <w:vertAlign w:val="superscript"/>
        </w:rPr>
        <w:t>st</w:t>
      </w:r>
      <w:r w:rsidR="00A53815">
        <w:t xml:space="preserve"> order analysis</w:t>
      </w:r>
      <w:r w:rsidR="00210A95">
        <w:t xml:space="preserve">. </w:t>
      </w:r>
      <w:r w:rsidR="00E31479">
        <w:t>The key differences between this 2</w:t>
      </w:r>
      <w:r w:rsidR="00E31479" w:rsidRPr="00E31479">
        <w:rPr>
          <w:vertAlign w:val="superscript"/>
        </w:rPr>
        <w:t>nd</w:t>
      </w:r>
      <w:r w:rsidR="00E31479">
        <w:t xml:space="preserve"> order analysis program and a 1</w:t>
      </w:r>
      <w:r w:rsidR="00E31479" w:rsidRPr="00E31479">
        <w:rPr>
          <w:vertAlign w:val="superscript"/>
        </w:rPr>
        <w:t>st</w:t>
      </w:r>
      <w:r w:rsidR="00E31479">
        <w:t xml:space="preserve"> order analysis program are that this code: (1) computes a geometric stiffness matrix, (2) </w:t>
      </w:r>
      <w:r w:rsidR="0017503E">
        <w:t xml:space="preserve">applies incremental loading and accounts for changes in geometry, and (3) uses the natural </w:t>
      </w:r>
      <w:r w:rsidR="004C6B05">
        <w:t xml:space="preserve">deformation </w:t>
      </w:r>
      <w:r w:rsidR="0017503E">
        <w:t>approach to force recovery to calculate and record errors for each step.</w:t>
      </w:r>
      <w:r w:rsidR="006F3E65">
        <w:t xml:space="preserve"> The </w:t>
      </w:r>
      <w:r w:rsidR="00255110">
        <w:t xml:space="preserve">code can check the tangent </w:t>
      </w:r>
      <m:oMath>
        <m:sSub>
          <m:sSubPr>
            <m:ctrlPr>
              <w:rPr>
                <w:rFonts w:ascii="Cambria Math" w:hAnsi="Cambria Math"/>
                <w:i/>
              </w:rPr>
            </m:ctrlPr>
          </m:sSubPr>
          <m:e>
            <m:r>
              <w:rPr>
                <w:rFonts w:ascii="Cambria Math" w:hAnsi="Cambria Math"/>
              </w:rPr>
              <m:t>K</m:t>
            </m:r>
          </m:e>
          <m:sub>
            <m:r>
              <w:rPr>
                <w:rFonts w:ascii="Cambria Math" w:hAnsi="Cambria Math"/>
              </w:rPr>
              <m:t>ff</m:t>
            </m:r>
          </m:sub>
        </m:sSub>
      </m:oMath>
      <w:r w:rsidR="00255110">
        <w:rPr>
          <w:rFonts w:eastAsiaTheme="minorEastAsia"/>
        </w:rPr>
        <w:t xml:space="preserve"> matrix for both an unstable structure and for limit points. </w:t>
      </w:r>
      <w:r w:rsidR="004C6B05">
        <w:rPr>
          <w:rFonts w:eastAsiaTheme="minorEastAsia"/>
        </w:rPr>
        <w:t>The code can also calculate and plot the load norm error and energy norm error as a function of the applied load ratio</w:t>
      </w:r>
      <w:r w:rsidR="00BD5989">
        <w:rPr>
          <w:rFonts w:eastAsiaTheme="minorEastAsia"/>
        </w:rPr>
        <w:t xml:space="preserve"> upon completion of the analysis.</w:t>
      </w:r>
    </w:p>
    <w:p w14:paraId="0B6CE600" w14:textId="06943FE9" w:rsidR="00BD5989" w:rsidRPr="004D5001" w:rsidRDefault="00BD5989" w:rsidP="004D5001">
      <w:r>
        <w:rPr>
          <w:rFonts w:eastAsiaTheme="minorEastAsia"/>
        </w:rPr>
        <w:t>The code is limited in that it cannot analyze 3-dimensional structures and that analysis is only performed until the limit load is reached.</w:t>
      </w:r>
    </w:p>
    <w:p w14:paraId="5D396D5B" w14:textId="243A8C8F" w:rsidR="00942356" w:rsidRDefault="00412221" w:rsidP="00942356">
      <w:pPr>
        <w:pStyle w:val="Heading3"/>
      </w:pPr>
      <w:r>
        <w:t>Geometric Stiffness Matrix</w:t>
      </w:r>
    </w:p>
    <w:p w14:paraId="3B84E340" w14:textId="322DB550" w:rsidR="00C975E3" w:rsidRPr="00C975E3" w:rsidRDefault="00C975E3" w:rsidP="00C975E3">
      <w:r>
        <w:t xml:space="preserve">The geometric stiffness matrix </w:t>
      </w:r>
      <w:r w:rsidR="009F53C6">
        <w:t>calculated in</w:t>
      </w:r>
      <w:r w:rsidR="00760952">
        <w:t xml:space="preserve"> this program is </w:t>
      </w:r>
      <w:r w:rsidR="00BD3CAC">
        <w:t>given by the equation below.</w:t>
      </w:r>
    </w:p>
    <w:p w14:paraId="27F0A26F" w14:textId="5E038CEC" w:rsidR="00942356" w:rsidRPr="00942356" w:rsidRDefault="00942356" w:rsidP="00C975E3">
      <w:pPr>
        <w:ind w:firstLine="720"/>
      </w:pPr>
      <m:oMath>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m:t>
        </m:r>
        <m:r>
          <w:rPr>
            <w:rFonts w:ascii="Cambria Math" w:eastAsiaTheme="minorEastAsia" w:hAnsi="Cambria Math"/>
          </w:rPr>
          <m:t>P/L*</m:t>
        </m:r>
      </m:oMath>
      <w:r>
        <w:rPr>
          <w:rFonts w:eastAsiaTheme="minorEastAsia"/>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
        <w:gridCol w:w="720"/>
        <w:gridCol w:w="720"/>
        <w:gridCol w:w="904"/>
        <w:gridCol w:w="720"/>
        <w:gridCol w:w="791"/>
        <w:gridCol w:w="904"/>
        <w:gridCol w:w="282"/>
      </w:tblGrid>
      <w:tr w:rsidR="003E21CC" w14:paraId="74EBECE6" w14:textId="77777777" w:rsidTr="00A54BF8">
        <w:trPr>
          <w:jc w:val="center"/>
        </w:trPr>
        <w:tc>
          <w:tcPr>
            <w:tcW w:w="264" w:type="dxa"/>
            <w:tcBorders>
              <w:top w:val="single" w:sz="6" w:space="0" w:color="auto"/>
              <w:left w:val="single" w:sz="6" w:space="0" w:color="auto"/>
            </w:tcBorders>
            <w:vAlign w:val="center"/>
          </w:tcPr>
          <w:p w14:paraId="31C1E617" w14:textId="77777777" w:rsidR="004974D0" w:rsidRDefault="004974D0" w:rsidP="00A54BF8">
            <w:pPr>
              <w:jc w:val="center"/>
            </w:pPr>
          </w:p>
        </w:tc>
        <w:tc>
          <w:tcPr>
            <w:tcW w:w="720" w:type="dxa"/>
            <w:vAlign w:val="center"/>
          </w:tcPr>
          <w:p w14:paraId="76A4D326" w14:textId="12DA6B61" w:rsidR="004974D0" w:rsidRDefault="00D70CE2" w:rsidP="00A54BF8">
            <w:pPr>
              <w:jc w:val="center"/>
            </w:pPr>
            <m:oMathPara>
              <m:oMath>
                <m:r>
                  <w:rPr>
                    <w:rFonts w:ascii="Cambria Math" w:hAnsi="Cambria Math"/>
                  </w:rPr>
                  <m:t>1</m:t>
                </m:r>
              </m:oMath>
            </m:oMathPara>
          </w:p>
        </w:tc>
        <w:tc>
          <w:tcPr>
            <w:tcW w:w="720" w:type="dxa"/>
            <w:vAlign w:val="center"/>
          </w:tcPr>
          <w:p w14:paraId="2C454DFE" w14:textId="63A87F2F" w:rsidR="004974D0" w:rsidRDefault="00D70CE2" w:rsidP="00A54BF8">
            <w:pPr>
              <w:jc w:val="center"/>
            </w:pPr>
            <m:oMathPara>
              <m:oMath>
                <m:r>
                  <w:rPr>
                    <w:rFonts w:ascii="Cambria Math" w:hAnsi="Cambria Math"/>
                  </w:rPr>
                  <m:t>0</m:t>
                </m:r>
              </m:oMath>
            </m:oMathPara>
          </w:p>
        </w:tc>
        <w:tc>
          <w:tcPr>
            <w:tcW w:w="904" w:type="dxa"/>
            <w:vAlign w:val="center"/>
          </w:tcPr>
          <w:p w14:paraId="79CDE668" w14:textId="0B947F08" w:rsidR="004974D0" w:rsidRDefault="00F33194" w:rsidP="00A54BF8">
            <w:pPr>
              <w:jc w:val="center"/>
            </w:pPr>
            <m:oMathPara>
              <m:oMath>
                <m:r>
                  <w:rPr>
                    <w:rFonts w:ascii="Cambria Math" w:hAnsi="Cambria Math"/>
                  </w:rPr>
                  <m:t>0</m:t>
                </m:r>
              </m:oMath>
            </m:oMathPara>
          </w:p>
        </w:tc>
        <w:tc>
          <w:tcPr>
            <w:tcW w:w="720" w:type="dxa"/>
            <w:vAlign w:val="center"/>
          </w:tcPr>
          <w:p w14:paraId="6B0D1B84" w14:textId="7C4A47E1" w:rsidR="004974D0" w:rsidRDefault="00F33194" w:rsidP="00A54BF8">
            <w:pPr>
              <w:jc w:val="center"/>
            </w:pPr>
            <m:oMathPara>
              <m:oMath>
                <m:r>
                  <w:rPr>
                    <w:rFonts w:ascii="Cambria Math" w:hAnsi="Cambria Math"/>
                  </w:rPr>
                  <m:t>-1</m:t>
                </m:r>
              </m:oMath>
            </m:oMathPara>
          </w:p>
        </w:tc>
        <w:tc>
          <w:tcPr>
            <w:tcW w:w="791" w:type="dxa"/>
            <w:vAlign w:val="center"/>
          </w:tcPr>
          <w:p w14:paraId="70E57AFB" w14:textId="334BDE7A" w:rsidR="004974D0" w:rsidRDefault="001B076E" w:rsidP="00A54BF8">
            <w:pPr>
              <w:jc w:val="center"/>
            </w:pPr>
            <m:oMathPara>
              <m:oMath>
                <m:r>
                  <w:rPr>
                    <w:rFonts w:ascii="Cambria Math" w:hAnsi="Cambria Math"/>
                  </w:rPr>
                  <m:t>0</m:t>
                </m:r>
              </m:oMath>
            </m:oMathPara>
          </w:p>
        </w:tc>
        <w:tc>
          <w:tcPr>
            <w:tcW w:w="904" w:type="dxa"/>
            <w:vAlign w:val="center"/>
          </w:tcPr>
          <w:p w14:paraId="2EABDBE8" w14:textId="7DC936E0" w:rsidR="004974D0" w:rsidRDefault="001B076E" w:rsidP="00A54BF8">
            <w:pPr>
              <w:jc w:val="center"/>
            </w:pPr>
            <m:oMathPara>
              <m:oMath>
                <m:r>
                  <w:rPr>
                    <w:rFonts w:ascii="Cambria Math" w:hAnsi="Cambria Math"/>
                  </w:rPr>
                  <m:t>0</m:t>
                </m:r>
              </m:oMath>
            </m:oMathPara>
          </w:p>
        </w:tc>
        <w:tc>
          <w:tcPr>
            <w:tcW w:w="282" w:type="dxa"/>
            <w:tcBorders>
              <w:top w:val="single" w:sz="6" w:space="0" w:color="auto"/>
              <w:right w:val="single" w:sz="6" w:space="0" w:color="auto"/>
            </w:tcBorders>
            <w:vAlign w:val="center"/>
          </w:tcPr>
          <w:p w14:paraId="12201C57" w14:textId="77777777" w:rsidR="004974D0" w:rsidRDefault="004974D0" w:rsidP="00A54BF8">
            <w:pPr>
              <w:jc w:val="center"/>
            </w:pPr>
          </w:p>
        </w:tc>
      </w:tr>
      <w:tr w:rsidR="003E21CC" w14:paraId="48340519" w14:textId="77777777" w:rsidTr="00A54BF8">
        <w:trPr>
          <w:jc w:val="center"/>
        </w:trPr>
        <w:tc>
          <w:tcPr>
            <w:tcW w:w="264" w:type="dxa"/>
            <w:tcBorders>
              <w:left w:val="single" w:sz="6" w:space="0" w:color="auto"/>
            </w:tcBorders>
            <w:vAlign w:val="center"/>
          </w:tcPr>
          <w:p w14:paraId="19EC35B5" w14:textId="77777777" w:rsidR="004974D0" w:rsidRDefault="004974D0" w:rsidP="00A54BF8">
            <w:pPr>
              <w:jc w:val="center"/>
            </w:pPr>
          </w:p>
        </w:tc>
        <w:tc>
          <w:tcPr>
            <w:tcW w:w="720" w:type="dxa"/>
            <w:vAlign w:val="center"/>
          </w:tcPr>
          <w:p w14:paraId="15D527DD" w14:textId="682A7EF7" w:rsidR="004974D0" w:rsidRDefault="00D70CE2" w:rsidP="00A54BF8">
            <w:pPr>
              <w:jc w:val="center"/>
            </w:pPr>
            <m:oMathPara>
              <m:oMath>
                <m:r>
                  <w:rPr>
                    <w:rFonts w:ascii="Cambria Math" w:hAnsi="Cambria Math"/>
                  </w:rPr>
                  <m:t>0</m:t>
                </m:r>
              </m:oMath>
            </m:oMathPara>
          </w:p>
        </w:tc>
        <w:tc>
          <w:tcPr>
            <w:tcW w:w="720" w:type="dxa"/>
            <w:vAlign w:val="center"/>
          </w:tcPr>
          <w:p w14:paraId="2D670B39" w14:textId="3E648CAE" w:rsidR="004974D0" w:rsidRDefault="00F33194" w:rsidP="00A54BF8">
            <w:pPr>
              <w:jc w:val="center"/>
            </w:pPr>
            <m:oMathPara>
              <m:oMath>
                <m:r>
                  <w:rPr>
                    <w:rFonts w:ascii="Cambria Math" w:hAnsi="Cambria Math"/>
                  </w:rPr>
                  <m:t>1.2</m:t>
                </m:r>
              </m:oMath>
            </m:oMathPara>
          </w:p>
        </w:tc>
        <w:tc>
          <w:tcPr>
            <w:tcW w:w="904" w:type="dxa"/>
            <w:vAlign w:val="center"/>
          </w:tcPr>
          <w:p w14:paraId="65265D8D" w14:textId="6B94EA8E" w:rsidR="004974D0" w:rsidRDefault="00F33194" w:rsidP="00A54BF8">
            <w:pPr>
              <w:jc w:val="center"/>
            </w:pPr>
            <m:oMathPara>
              <m:oMath>
                <m:r>
                  <w:rPr>
                    <w:rFonts w:ascii="Cambria Math" w:hAnsi="Cambria Math"/>
                  </w:rPr>
                  <m:t>0.1L</m:t>
                </m:r>
              </m:oMath>
            </m:oMathPara>
          </w:p>
        </w:tc>
        <w:tc>
          <w:tcPr>
            <w:tcW w:w="720" w:type="dxa"/>
            <w:vAlign w:val="center"/>
          </w:tcPr>
          <w:p w14:paraId="0BDFCDE1" w14:textId="08FB7C34" w:rsidR="004974D0" w:rsidRDefault="001B076E" w:rsidP="00A54BF8">
            <w:pPr>
              <w:jc w:val="center"/>
            </w:pPr>
            <m:oMathPara>
              <m:oMath>
                <m:r>
                  <w:rPr>
                    <w:rFonts w:ascii="Cambria Math" w:hAnsi="Cambria Math"/>
                  </w:rPr>
                  <m:t>0</m:t>
                </m:r>
              </m:oMath>
            </m:oMathPara>
          </w:p>
        </w:tc>
        <w:tc>
          <w:tcPr>
            <w:tcW w:w="791" w:type="dxa"/>
            <w:vAlign w:val="center"/>
          </w:tcPr>
          <w:p w14:paraId="23E9FA8B" w14:textId="0D7459C2" w:rsidR="004974D0" w:rsidRDefault="001B076E" w:rsidP="00A54BF8">
            <w:pPr>
              <w:jc w:val="center"/>
            </w:pPr>
            <m:oMathPara>
              <m:oMath>
                <m:r>
                  <w:rPr>
                    <w:rFonts w:ascii="Cambria Math" w:hAnsi="Cambria Math"/>
                  </w:rPr>
                  <m:t>-1.2</m:t>
                </m:r>
              </m:oMath>
            </m:oMathPara>
          </w:p>
        </w:tc>
        <w:tc>
          <w:tcPr>
            <w:tcW w:w="904" w:type="dxa"/>
            <w:vAlign w:val="center"/>
          </w:tcPr>
          <w:p w14:paraId="623D7D1D" w14:textId="7F7B51E4" w:rsidR="004974D0" w:rsidRDefault="001B076E" w:rsidP="00A54BF8">
            <w:pPr>
              <w:jc w:val="center"/>
            </w:pPr>
            <m:oMathPara>
              <m:oMath>
                <m:r>
                  <w:rPr>
                    <w:rFonts w:ascii="Cambria Math" w:hAnsi="Cambria Math"/>
                  </w:rPr>
                  <m:t>0.1L</m:t>
                </m:r>
              </m:oMath>
            </m:oMathPara>
          </w:p>
        </w:tc>
        <w:tc>
          <w:tcPr>
            <w:tcW w:w="282" w:type="dxa"/>
            <w:tcBorders>
              <w:right w:val="single" w:sz="6" w:space="0" w:color="auto"/>
            </w:tcBorders>
            <w:vAlign w:val="center"/>
          </w:tcPr>
          <w:p w14:paraId="6BF59A79" w14:textId="77777777" w:rsidR="004974D0" w:rsidRDefault="004974D0" w:rsidP="00A54BF8">
            <w:pPr>
              <w:jc w:val="center"/>
            </w:pPr>
          </w:p>
        </w:tc>
      </w:tr>
      <w:tr w:rsidR="003E21CC" w14:paraId="022DC4BD" w14:textId="77777777" w:rsidTr="00A54BF8">
        <w:trPr>
          <w:jc w:val="center"/>
        </w:trPr>
        <w:tc>
          <w:tcPr>
            <w:tcW w:w="264" w:type="dxa"/>
            <w:tcBorders>
              <w:left w:val="single" w:sz="6" w:space="0" w:color="auto"/>
            </w:tcBorders>
            <w:vAlign w:val="center"/>
          </w:tcPr>
          <w:p w14:paraId="0EB474B7" w14:textId="77777777" w:rsidR="004974D0" w:rsidRDefault="004974D0" w:rsidP="00A54BF8">
            <w:pPr>
              <w:jc w:val="center"/>
            </w:pPr>
          </w:p>
        </w:tc>
        <w:tc>
          <w:tcPr>
            <w:tcW w:w="720" w:type="dxa"/>
            <w:vAlign w:val="center"/>
          </w:tcPr>
          <w:p w14:paraId="3BEE41C9" w14:textId="0CD9A014" w:rsidR="004974D0" w:rsidRDefault="00D70CE2" w:rsidP="00A54BF8">
            <w:pPr>
              <w:jc w:val="center"/>
            </w:pPr>
            <m:oMathPara>
              <m:oMath>
                <m:r>
                  <w:rPr>
                    <w:rFonts w:ascii="Cambria Math" w:hAnsi="Cambria Math"/>
                  </w:rPr>
                  <m:t>0</m:t>
                </m:r>
              </m:oMath>
            </m:oMathPara>
          </w:p>
        </w:tc>
        <w:tc>
          <w:tcPr>
            <w:tcW w:w="720" w:type="dxa"/>
            <w:vAlign w:val="center"/>
          </w:tcPr>
          <w:p w14:paraId="3E5E836D" w14:textId="0573764E" w:rsidR="004974D0" w:rsidRDefault="003E16B8" w:rsidP="00A54BF8">
            <w:pPr>
              <w:jc w:val="center"/>
            </w:pPr>
            <m:oMathPara>
              <m:oMath>
                <m:r>
                  <w:rPr>
                    <w:rFonts w:ascii="Cambria Math" w:hAnsi="Cambria Math"/>
                  </w:rPr>
                  <m:t>0.1L</m:t>
                </m:r>
              </m:oMath>
            </m:oMathPara>
          </w:p>
        </w:tc>
        <w:tc>
          <w:tcPr>
            <w:tcW w:w="904" w:type="dxa"/>
            <w:vAlign w:val="center"/>
          </w:tcPr>
          <w:p w14:paraId="4AE4CA68" w14:textId="581EF9C1" w:rsidR="004974D0" w:rsidRDefault="003E16B8" w:rsidP="00A54BF8">
            <w:pPr>
              <w:jc w:val="center"/>
            </w:pPr>
            <m:oMathPara>
              <m:oMath>
                <m:f>
                  <m:fPr>
                    <m:ctrlPr>
                      <w:rPr>
                        <w:rFonts w:ascii="Cambria Math" w:hAnsi="Cambria Math"/>
                        <w:i/>
                      </w:rPr>
                    </m:ctrlPr>
                  </m:fPr>
                  <m:num>
                    <m:r>
                      <w:rPr>
                        <w:rFonts w:ascii="Cambria Math" w:hAnsi="Cambria Math"/>
                      </w:rPr>
                      <m:t>2</m:t>
                    </m:r>
                  </m:num>
                  <m:den>
                    <m:r>
                      <w:rPr>
                        <w:rFonts w:ascii="Cambria Math" w:hAnsi="Cambria Math"/>
                      </w:rPr>
                      <m:t>15</m:t>
                    </m:r>
                  </m:den>
                </m:f>
                <m:sSup>
                  <m:sSupPr>
                    <m:ctrlPr>
                      <w:rPr>
                        <w:rFonts w:ascii="Cambria Math" w:hAnsi="Cambria Math"/>
                        <w:i/>
                      </w:rPr>
                    </m:ctrlPr>
                  </m:sSupPr>
                  <m:e>
                    <m:r>
                      <w:rPr>
                        <w:rFonts w:ascii="Cambria Math" w:hAnsi="Cambria Math"/>
                      </w:rPr>
                      <m:t>L</m:t>
                    </m:r>
                  </m:e>
                  <m:sup>
                    <m:r>
                      <w:rPr>
                        <w:rFonts w:ascii="Cambria Math" w:hAnsi="Cambria Math"/>
                      </w:rPr>
                      <m:t>2</m:t>
                    </m:r>
                  </m:sup>
                </m:sSup>
              </m:oMath>
            </m:oMathPara>
          </w:p>
        </w:tc>
        <w:tc>
          <w:tcPr>
            <w:tcW w:w="720" w:type="dxa"/>
            <w:vAlign w:val="center"/>
          </w:tcPr>
          <w:p w14:paraId="4635E181" w14:textId="76BED901" w:rsidR="004974D0" w:rsidRDefault="001B076E" w:rsidP="00A54BF8">
            <w:pPr>
              <w:jc w:val="center"/>
            </w:pPr>
            <m:oMathPara>
              <m:oMath>
                <m:r>
                  <w:rPr>
                    <w:rFonts w:ascii="Cambria Math" w:hAnsi="Cambria Math"/>
                  </w:rPr>
                  <m:t>0</m:t>
                </m:r>
              </m:oMath>
            </m:oMathPara>
          </w:p>
        </w:tc>
        <w:tc>
          <w:tcPr>
            <w:tcW w:w="791" w:type="dxa"/>
            <w:vAlign w:val="center"/>
          </w:tcPr>
          <w:p w14:paraId="1C18F705" w14:textId="03D5F393" w:rsidR="004974D0" w:rsidRDefault="001B076E" w:rsidP="00A54BF8">
            <w:pPr>
              <w:jc w:val="center"/>
            </w:pPr>
            <m:oMathPara>
              <m:oMath>
                <m:r>
                  <w:rPr>
                    <w:rFonts w:ascii="Cambria Math" w:hAnsi="Cambria Math"/>
                  </w:rPr>
                  <m:t>-0.1L</m:t>
                </m:r>
              </m:oMath>
            </m:oMathPara>
          </w:p>
        </w:tc>
        <w:tc>
          <w:tcPr>
            <w:tcW w:w="904" w:type="dxa"/>
            <w:vAlign w:val="center"/>
          </w:tcPr>
          <w:p w14:paraId="04C9368A" w14:textId="49F8E533" w:rsidR="004974D0" w:rsidRDefault="00F348D7" w:rsidP="00A54BF8">
            <w:pPr>
              <w:jc w:val="cente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30</m:t>
                    </m:r>
                  </m:den>
                </m:f>
                <m:sSup>
                  <m:sSupPr>
                    <m:ctrlPr>
                      <w:rPr>
                        <w:rFonts w:ascii="Cambria Math" w:hAnsi="Cambria Math"/>
                        <w:i/>
                      </w:rPr>
                    </m:ctrlPr>
                  </m:sSupPr>
                  <m:e>
                    <m:r>
                      <w:rPr>
                        <w:rFonts w:ascii="Cambria Math" w:hAnsi="Cambria Math"/>
                      </w:rPr>
                      <m:t>L</m:t>
                    </m:r>
                  </m:e>
                  <m:sup>
                    <m:r>
                      <w:rPr>
                        <w:rFonts w:ascii="Cambria Math" w:hAnsi="Cambria Math"/>
                      </w:rPr>
                      <m:t>2</m:t>
                    </m:r>
                  </m:sup>
                </m:sSup>
              </m:oMath>
            </m:oMathPara>
          </w:p>
        </w:tc>
        <w:tc>
          <w:tcPr>
            <w:tcW w:w="282" w:type="dxa"/>
            <w:tcBorders>
              <w:right w:val="single" w:sz="6" w:space="0" w:color="auto"/>
            </w:tcBorders>
            <w:vAlign w:val="center"/>
          </w:tcPr>
          <w:p w14:paraId="363DF6B1" w14:textId="77777777" w:rsidR="004974D0" w:rsidRDefault="004974D0" w:rsidP="00A54BF8">
            <w:pPr>
              <w:jc w:val="center"/>
            </w:pPr>
          </w:p>
        </w:tc>
      </w:tr>
      <w:tr w:rsidR="003E21CC" w14:paraId="1F564583" w14:textId="77777777" w:rsidTr="00A54BF8">
        <w:trPr>
          <w:jc w:val="center"/>
        </w:trPr>
        <w:tc>
          <w:tcPr>
            <w:tcW w:w="264" w:type="dxa"/>
            <w:tcBorders>
              <w:left w:val="single" w:sz="6" w:space="0" w:color="auto"/>
            </w:tcBorders>
            <w:vAlign w:val="center"/>
          </w:tcPr>
          <w:p w14:paraId="30E1315F" w14:textId="77777777" w:rsidR="004974D0" w:rsidRDefault="004974D0" w:rsidP="00A54BF8">
            <w:pPr>
              <w:jc w:val="center"/>
            </w:pPr>
          </w:p>
        </w:tc>
        <w:tc>
          <w:tcPr>
            <w:tcW w:w="720" w:type="dxa"/>
            <w:vAlign w:val="center"/>
          </w:tcPr>
          <w:p w14:paraId="4A2FD185" w14:textId="544AF3BD" w:rsidR="004974D0" w:rsidRDefault="00F348D7" w:rsidP="00A54BF8">
            <w:pPr>
              <w:jc w:val="center"/>
            </w:pPr>
            <m:oMathPara>
              <m:oMath>
                <m:r>
                  <w:rPr>
                    <w:rFonts w:ascii="Cambria Math" w:hAnsi="Cambria Math"/>
                  </w:rPr>
                  <m:t>-1</m:t>
                </m:r>
              </m:oMath>
            </m:oMathPara>
          </w:p>
        </w:tc>
        <w:tc>
          <w:tcPr>
            <w:tcW w:w="720" w:type="dxa"/>
            <w:vAlign w:val="center"/>
          </w:tcPr>
          <w:p w14:paraId="2785BB27" w14:textId="7EFB98E5" w:rsidR="004974D0" w:rsidRDefault="00F348D7" w:rsidP="00A54BF8">
            <w:pPr>
              <w:jc w:val="center"/>
            </w:pPr>
            <m:oMathPara>
              <m:oMath>
                <m:r>
                  <w:rPr>
                    <w:rFonts w:ascii="Cambria Math" w:hAnsi="Cambria Math"/>
                  </w:rPr>
                  <m:t>0</m:t>
                </m:r>
              </m:oMath>
            </m:oMathPara>
          </w:p>
        </w:tc>
        <w:tc>
          <w:tcPr>
            <w:tcW w:w="904" w:type="dxa"/>
            <w:vAlign w:val="center"/>
          </w:tcPr>
          <w:p w14:paraId="506986DB" w14:textId="31FE1770" w:rsidR="004974D0" w:rsidRDefault="00F348D7" w:rsidP="00A54BF8">
            <w:pPr>
              <w:jc w:val="center"/>
            </w:pPr>
            <m:oMathPara>
              <m:oMath>
                <m:r>
                  <w:rPr>
                    <w:rFonts w:ascii="Cambria Math" w:hAnsi="Cambria Math"/>
                  </w:rPr>
                  <m:t>0</m:t>
                </m:r>
              </m:oMath>
            </m:oMathPara>
          </w:p>
        </w:tc>
        <w:tc>
          <w:tcPr>
            <w:tcW w:w="720" w:type="dxa"/>
            <w:vAlign w:val="center"/>
          </w:tcPr>
          <w:p w14:paraId="7B676888" w14:textId="0FD0AC79" w:rsidR="004974D0" w:rsidRDefault="00F348D7" w:rsidP="00A54BF8">
            <w:pPr>
              <w:jc w:val="center"/>
            </w:pPr>
            <m:oMathPara>
              <m:oMath>
                <m:r>
                  <w:rPr>
                    <w:rFonts w:ascii="Cambria Math" w:hAnsi="Cambria Math"/>
                  </w:rPr>
                  <m:t>1</m:t>
                </m:r>
              </m:oMath>
            </m:oMathPara>
          </w:p>
        </w:tc>
        <w:tc>
          <w:tcPr>
            <w:tcW w:w="791" w:type="dxa"/>
            <w:vAlign w:val="center"/>
          </w:tcPr>
          <w:p w14:paraId="4922159A" w14:textId="1A405374" w:rsidR="004974D0" w:rsidRDefault="00F348D7" w:rsidP="00A54BF8">
            <w:pPr>
              <w:jc w:val="center"/>
            </w:pPr>
            <m:oMathPara>
              <m:oMath>
                <m:r>
                  <w:rPr>
                    <w:rFonts w:ascii="Cambria Math" w:hAnsi="Cambria Math"/>
                  </w:rPr>
                  <m:t>0</m:t>
                </m:r>
              </m:oMath>
            </m:oMathPara>
          </w:p>
        </w:tc>
        <w:tc>
          <w:tcPr>
            <w:tcW w:w="904" w:type="dxa"/>
            <w:vAlign w:val="center"/>
          </w:tcPr>
          <w:p w14:paraId="3BA399E0" w14:textId="23EB60ED" w:rsidR="004974D0" w:rsidRDefault="00F348D7" w:rsidP="00A54BF8">
            <w:pPr>
              <w:jc w:val="center"/>
            </w:pPr>
            <m:oMathPara>
              <m:oMath>
                <m:r>
                  <w:rPr>
                    <w:rFonts w:ascii="Cambria Math" w:hAnsi="Cambria Math"/>
                  </w:rPr>
                  <m:t>0</m:t>
                </m:r>
              </m:oMath>
            </m:oMathPara>
          </w:p>
        </w:tc>
        <w:tc>
          <w:tcPr>
            <w:tcW w:w="282" w:type="dxa"/>
            <w:tcBorders>
              <w:right w:val="single" w:sz="6" w:space="0" w:color="auto"/>
            </w:tcBorders>
            <w:vAlign w:val="center"/>
          </w:tcPr>
          <w:p w14:paraId="0E52F38E" w14:textId="77777777" w:rsidR="004974D0" w:rsidRDefault="004974D0" w:rsidP="00A54BF8">
            <w:pPr>
              <w:jc w:val="center"/>
            </w:pPr>
          </w:p>
        </w:tc>
      </w:tr>
      <w:tr w:rsidR="003E21CC" w14:paraId="16A4DFDD" w14:textId="77777777" w:rsidTr="00A54BF8">
        <w:trPr>
          <w:jc w:val="center"/>
        </w:trPr>
        <w:tc>
          <w:tcPr>
            <w:tcW w:w="264" w:type="dxa"/>
            <w:tcBorders>
              <w:left w:val="single" w:sz="6" w:space="0" w:color="auto"/>
            </w:tcBorders>
            <w:vAlign w:val="center"/>
          </w:tcPr>
          <w:p w14:paraId="4BB56B89" w14:textId="77777777" w:rsidR="004974D0" w:rsidRDefault="004974D0" w:rsidP="00A54BF8">
            <w:pPr>
              <w:jc w:val="center"/>
            </w:pPr>
          </w:p>
        </w:tc>
        <w:tc>
          <w:tcPr>
            <w:tcW w:w="720" w:type="dxa"/>
            <w:vAlign w:val="center"/>
          </w:tcPr>
          <w:p w14:paraId="09EB4269" w14:textId="22671C9D" w:rsidR="004974D0" w:rsidRDefault="00F348D7" w:rsidP="00A54BF8">
            <w:pPr>
              <w:jc w:val="center"/>
            </w:pPr>
            <m:oMathPara>
              <m:oMath>
                <m:r>
                  <w:rPr>
                    <w:rFonts w:ascii="Cambria Math" w:hAnsi="Cambria Math"/>
                  </w:rPr>
                  <m:t>0</m:t>
                </m:r>
              </m:oMath>
            </m:oMathPara>
          </w:p>
        </w:tc>
        <w:tc>
          <w:tcPr>
            <w:tcW w:w="720" w:type="dxa"/>
            <w:vAlign w:val="center"/>
          </w:tcPr>
          <w:p w14:paraId="215F6F3E" w14:textId="6F5D63A0" w:rsidR="004974D0" w:rsidRDefault="00F348D7" w:rsidP="00A54BF8">
            <w:pPr>
              <w:jc w:val="center"/>
            </w:pPr>
            <m:oMathPara>
              <m:oMath>
                <m:r>
                  <w:rPr>
                    <w:rFonts w:ascii="Cambria Math" w:hAnsi="Cambria Math"/>
                  </w:rPr>
                  <m:t>-1.2</m:t>
                </m:r>
              </m:oMath>
            </m:oMathPara>
          </w:p>
        </w:tc>
        <w:tc>
          <w:tcPr>
            <w:tcW w:w="904" w:type="dxa"/>
            <w:vAlign w:val="center"/>
          </w:tcPr>
          <w:p w14:paraId="653B60BB" w14:textId="5B184B83" w:rsidR="004974D0" w:rsidRDefault="00F348D7" w:rsidP="00A54BF8">
            <w:pPr>
              <w:jc w:val="center"/>
            </w:pPr>
            <m:oMathPara>
              <m:oMath>
                <m:r>
                  <w:rPr>
                    <w:rFonts w:ascii="Cambria Math" w:hAnsi="Cambria Math"/>
                  </w:rPr>
                  <m:t>-0.1L</m:t>
                </m:r>
              </m:oMath>
            </m:oMathPara>
          </w:p>
        </w:tc>
        <w:tc>
          <w:tcPr>
            <w:tcW w:w="720" w:type="dxa"/>
            <w:vAlign w:val="center"/>
          </w:tcPr>
          <w:p w14:paraId="31FAE384" w14:textId="52A73738" w:rsidR="004974D0" w:rsidRDefault="00B47F0E" w:rsidP="00A54BF8">
            <w:pPr>
              <w:jc w:val="center"/>
            </w:pPr>
            <m:oMathPara>
              <m:oMath>
                <m:r>
                  <w:rPr>
                    <w:rFonts w:ascii="Cambria Math" w:hAnsi="Cambria Math"/>
                  </w:rPr>
                  <m:t>0</m:t>
                </m:r>
              </m:oMath>
            </m:oMathPara>
          </w:p>
        </w:tc>
        <w:tc>
          <w:tcPr>
            <w:tcW w:w="791" w:type="dxa"/>
            <w:vAlign w:val="center"/>
          </w:tcPr>
          <w:p w14:paraId="00F702EB" w14:textId="0941D05F" w:rsidR="004974D0" w:rsidRDefault="00B47F0E" w:rsidP="00A54BF8">
            <w:pPr>
              <w:jc w:val="center"/>
            </w:pPr>
            <m:oMathPara>
              <m:oMath>
                <m:r>
                  <w:rPr>
                    <w:rFonts w:ascii="Cambria Math" w:hAnsi="Cambria Math"/>
                  </w:rPr>
                  <m:t>1.2</m:t>
                </m:r>
              </m:oMath>
            </m:oMathPara>
          </w:p>
        </w:tc>
        <w:tc>
          <w:tcPr>
            <w:tcW w:w="904" w:type="dxa"/>
            <w:vAlign w:val="center"/>
          </w:tcPr>
          <w:p w14:paraId="1F379B2F" w14:textId="5499E0D7" w:rsidR="004974D0" w:rsidRDefault="00B47F0E" w:rsidP="00A54BF8">
            <w:pPr>
              <w:jc w:val="center"/>
            </w:pPr>
            <m:oMathPara>
              <m:oMath>
                <m:r>
                  <w:rPr>
                    <w:rFonts w:ascii="Cambria Math" w:hAnsi="Cambria Math"/>
                  </w:rPr>
                  <m:t>-0.1L</m:t>
                </m:r>
              </m:oMath>
            </m:oMathPara>
          </w:p>
        </w:tc>
        <w:tc>
          <w:tcPr>
            <w:tcW w:w="282" w:type="dxa"/>
            <w:tcBorders>
              <w:right w:val="single" w:sz="6" w:space="0" w:color="auto"/>
            </w:tcBorders>
            <w:vAlign w:val="center"/>
          </w:tcPr>
          <w:p w14:paraId="33491B30" w14:textId="77777777" w:rsidR="004974D0" w:rsidRDefault="004974D0" w:rsidP="00A54BF8">
            <w:pPr>
              <w:jc w:val="center"/>
            </w:pPr>
          </w:p>
        </w:tc>
      </w:tr>
      <w:tr w:rsidR="003E21CC" w14:paraId="7C095316" w14:textId="77777777" w:rsidTr="00A54BF8">
        <w:trPr>
          <w:jc w:val="center"/>
        </w:trPr>
        <w:tc>
          <w:tcPr>
            <w:tcW w:w="264" w:type="dxa"/>
            <w:tcBorders>
              <w:left w:val="single" w:sz="6" w:space="0" w:color="auto"/>
              <w:bottom w:val="single" w:sz="6" w:space="0" w:color="auto"/>
            </w:tcBorders>
            <w:vAlign w:val="center"/>
          </w:tcPr>
          <w:p w14:paraId="4E2CCDD4" w14:textId="77777777" w:rsidR="004974D0" w:rsidRDefault="004974D0" w:rsidP="00A54BF8">
            <w:pPr>
              <w:jc w:val="center"/>
            </w:pPr>
          </w:p>
        </w:tc>
        <w:tc>
          <w:tcPr>
            <w:tcW w:w="720" w:type="dxa"/>
            <w:vAlign w:val="center"/>
          </w:tcPr>
          <w:p w14:paraId="27E12A7A" w14:textId="2220BF70" w:rsidR="004974D0" w:rsidRDefault="00B47F0E" w:rsidP="00A54BF8">
            <w:pPr>
              <w:jc w:val="center"/>
            </w:pPr>
            <m:oMathPara>
              <m:oMath>
                <m:r>
                  <w:rPr>
                    <w:rFonts w:ascii="Cambria Math" w:hAnsi="Cambria Math"/>
                  </w:rPr>
                  <m:t>0</m:t>
                </m:r>
              </m:oMath>
            </m:oMathPara>
          </w:p>
        </w:tc>
        <w:tc>
          <w:tcPr>
            <w:tcW w:w="720" w:type="dxa"/>
            <w:vAlign w:val="center"/>
          </w:tcPr>
          <w:p w14:paraId="04274E0F" w14:textId="76AD058A" w:rsidR="004974D0" w:rsidRDefault="00B47F0E" w:rsidP="00A54BF8">
            <w:pPr>
              <w:jc w:val="center"/>
            </w:pPr>
            <m:oMathPara>
              <m:oMath>
                <m:r>
                  <w:rPr>
                    <w:rFonts w:ascii="Cambria Math" w:hAnsi="Cambria Math"/>
                  </w:rPr>
                  <m:t>0.1L</m:t>
                </m:r>
              </m:oMath>
            </m:oMathPara>
          </w:p>
        </w:tc>
        <w:tc>
          <w:tcPr>
            <w:tcW w:w="904" w:type="dxa"/>
            <w:vAlign w:val="center"/>
          </w:tcPr>
          <w:p w14:paraId="72EA50B7" w14:textId="13421211" w:rsidR="004974D0" w:rsidRDefault="00B47F0E" w:rsidP="00A54BF8">
            <w:pPr>
              <w:jc w:val="cente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30</m:t>
                    </m:r>
                  </m:den>
                </m:f>
                <m:sSup>
                  <m:sSupPr>
                    <m:ctrlPr>
                      <w:rPr>
                        <w:rFonts w:ascii="Cambria Math" w:hAnsi="Cambria Math"/>
                        <w:i/>
                      </w:rPr>
                    </m:ctrlPr>
                  </m:sSupPr>
                  <m:e>
                    <m:r>
                      <w:rPr>
                        <w:rFonts w:ascii="Cambria Math" w:hAnsi="Cambria Math"/>
                      </w:rPr>
                      <m:t>L</m:t>
                    </m:r>
                  </m:e>
                  <m:sup>
                    <m:r>
                      <w:rPr>
                        <w:rFonts w:ascii="Cambria Math" w:hAnsi="Cambria Math"/>
                      </w:rPr>
                      <m:t>2</m:t>
                    </m:r>
                  </m:sup>
                </m:sSup>
              </m:oMath>
            </m:oMathPara>
          </w:p>
        </w:tc>
        <w:tc>
          <w:tcPr>
            <w:tcW w:w="720" w:type="dxa"/>
            <w:vAlign w:val="center"/>
          </w:tcPr>
          <w:p w14:paraId="22277052" w14:textId="4D813140" w:rsidR="004974D0" w:rsidRDefault="00C9295F" w:rsidP="00A54BF8">
            <w:pPr>
              <w:jc w:val="center"/>
            </w:pPr>
            <m:oMathPara>
              <m:oMath>
                <m:r>
                  <w:rPr>
                    <w:rFonts w:ascii="Cambria Math" w:hAnsi="Cambria Math"/>
                  </w:rPr>
                  <m:t>0</m:t>
                </m:r>
              </m:oMath>
            </m:oMathPara>
          </w:p>
        </w:tc>
        <w:tc>
          <w:tcPr>
            <w:tcW w:w="791" w:type="dxa"/>
            <w:vAlign w:val="center"/>
          </w:tcPr>
          <w:p w14:paraId="5E0CCCBC" w14:textId="1FA3CD94" w:rsidR="004974D0" w:rsidRDefault="00C9295F" w:rsidP="00A54BF8">
            <w:pPr>
              <w:jc w:val="center"/>
            </w:pPr>
            <m:oMathPara>
              <m:oMath>
                <m:r>
                  <w:rPr>
                    <w:rFonts w:ascii="Cambria Math" w:hAnsi="Cambria Math"/>
                  </w:rPr>
                  <m:t>0.1L</m:t>
                </m:r>
              </m:oMath>
            </m:oMathPara>
          </w:p>
        </w:tc>
        <w:tc>
          <w:tcPr>
            <w:tcW w:w="904" w:type="dxa"/>
            <w:vAlign w:val="center"/>
          </w:tcPr>
          <w:p w14:paraId="2C17250F" w14:textId="41DB89F7" w:rsidR="004974D0" w:rsidRDefault="00C9295F" w:rsidP="00A54BF8">
            <w:pPr>
              <w:jc w:val="center"/>
            </w:pPr>
            <m:oMathPara>
              <m:oMath>
                <m:f>
                  <m:fPr>
                    <m:ctrlPr>
                      <w:rPr>
                        <w:rFonts w:ascii="Cambria Math" w:hAnsi="Cambria Math"/>
                        <w:i/>
                      </w:rPr>
                    </m:ctrlPr>
                  </m:fPr>
                  <m:num>
                    <m:r>
                      <w:rPr>
                        <w:rFonts w:ascii="Cambria Math" w:hAnsi="Cambria Math"/>
                      </w:rPr>
                      <m:t>2</m:t>
                    </m:r>
                  </m:num>
                  <m:den>
                    <m:r>
                      <w:rPr>
                        <w:rFonts w:ascii="Cambria Math" w:hAnsi="Cambria Math"/>
                      </w:rPr>
                      <m:t>15</m:t>
                    </m:r>
                  </m:den>
                </m:f>
                <m:sSup>
                  <m:sSupPr>
                    <m:ctrlPr>
                      <w:rPr>
                        <w:rFonts w:ascii="Cambria Math" w:hAnsi="Cambria Math"/>
                        <w:i/>
                      </w:rPr>
                    </m:ctrlPr>
                  </m:sSupPr>
                  <m:e>
                    <m:r>
                      <w:rPr>
                        <w:rFonts w:ascii="Cambria Math" w:hAnsi="Cambria Math"/>
                      </w:rPr>
                      <m:t>L</m:t>
                    </m:r>
                  </m:e>
                  <m:sup>
                    <m:r>
                      <w:rPr>
                        <w:rFonts w:ascii="Cambria Math" w:hAnsi="Cambria Math"/>
                      </w:rPr>
                      <m:t>2</m:t>
                    </m:r>
                  </m:sup>
                </m:sSup>
              </m:oMath>
            </m:oMathPara>
          </w:p>
        </w:tc>
        <w:tc>
          <w:tcPr>
            <w:tcW w:w="282" w:type="dxa"/>
            <w:tcBorders>
              <w:bottom w:val="single" w:sz="6" w:space="0" w:color="auto"/>
              <w:right w:val="single" w:sz="6" w:space="0" w:color="auto"/>
            </w:tcBorders>
            <w:vAlign w:val="center"/>
          </w:tcPr>
          <w:p w14:paraId="0EF58559" w14:textId="77777777" w:rsidR="004974D0" w:rsidRDefault="004974D0" w:rsidP="00A54BF8">
            <w:pPr>
              <w:jc w:val="center"/>
            </w:pPr>
          </w:p>
        </w:tc>
      </w:tr>
    </w:tbl>
    <w:p w14:paraId="7B00DAB8" w14:textId="79FC7FAE" w:rsidR="003E6BAF" w:rsidRDefault="003E6BAF" w:rsidP="003E6BAF"/>
    <w:p w14:paraId="5E7E9DED" w14:textId="72066941" w:rsidR="00412221" w:rsidRDefault="00412221" w:rsidP="00412221">
      <w:pPr>
        <w:pStyle w:val="Heading3"/>
      </w:pPr>
      <w:r>
        <w:t>Approach to Internal Force Recovery</w:t>
      </w:r>
    </w:p>
    <w:p w14:paraId="4EC03E28" w14:textId="0808B656" w:rsidR="00412221" w:rsidRPr="00412221" w:rsidRDefault="00412221" w:rsidP="00412221">
      <w:r>
        <w:t xml:space="preserve">The program uses the natural approach to internal force recovery in that the method is based in “natural” or undeformed configuration of the structure. Loads are applied to the structure in its initial configuration and at each step of deformation, the structure is ensured to be in equilibrium. </w:t>
      </w:r>
    </w:p>
    <w:p w14:paraId="2CEBB716" w14:textId="3F3F3902" w:rsidR="00412221" w:rsidRDefault="00412221" w:rsidP="00412221">
      <w:pPr>
        <w:pStyle w:val="Heading2"/>
      </w:pPr>
      <w:r>
        <w:t>Code Design Document</w:t>
      </w:r>
    </w:p>
    <w:p w14:paraId="0869292B" w14:textId="21A42DD5" w:rsidR="00412221" w:rsidRPr="00412221" w:rsidRDefault="00412221" w:rsidP="00412221">
      <w:r>
        <w:t>See attached.</w:t>
      </w:r>
    </w:p>
    <w:p w14:paraId="3F405B9B" w14:textId="27DBBAF2" w:rsidR="00412221" w:rsidRDefault="00412221" w:rsidP="00412221">
      <w:pPr>
        <w:pStyle w:val="Heading2"/>
      </w:pPr>
      <w:r>
        <w:lastRenderedPageBreak/>
        <w:t>Verification Problems</w:t>
      </w:r>
    </w:p>
    <w:p w14:paraId="42640864" w14:textId="5FF45686" w:rsidR="00412221" w:rsidRDefault="00412221" w:rsidP="00412221">
      <w:pPr>
        <w:pStyle w:val="Heading3"/>
      </w:pPr>
      <w:r>
        <w:t>Problem 1</w:t>
      </w:r>
    </w:p>
    <w:p w14:paraId="3E47D5E9" w14:textId="4675C4BF" w:rsidR="00412221" w:rsidRDefault="00412221" w:rsidP="00412221">
      <w:pPr>
        <w:pStyle w:val="Heading4"/>
      </w:pPr>
      <w:r>
        <w:t>Part A: Compute Euler Buckling load &amp; AISC Column Strength</w:t>
      </w:r>
    </w:p>
    <w:p w14:paraId="1FD1AC8F" w14:textId="52D8EC78" w:rsidR="00412221" w:rsidRDefault="009C65DA" w:rsidP="009C65DA">
      <w:pPr>
        <w:jc w:val="center"/>
      </w:pPr>
      <w:r w:rsidRPr="009C65DA">
        <w:drawing>
          <wp:inline distT="0" distB="0" distL="0" distR="0" wp14:anchorId="0EE28396" wp14:editId="0295DD66">
            <wp:extent cx="4129548" cy="199571"/>
            <wp:effectExtent l="0" t="0" r="4445" b="0"/>
            <wp:docPr id="964601743" name="Picture 1" descr="A line of line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601743" name="Picture 1" descr="A line of lines with numbers&#10;&#10;Description automatically generated with medium confidence"/>
                    <pic:cNvPicPr/>
                  </pic:nvPicPr>
                  <pic:blipFill rotWithShape="1">
                    <a:blip r:embed="rId5"/>
                    <a:srcRect b="96924"/>
                    <a:stretch/>
                  </pic:blipFill>
                  <pic:spPr bwMode="auto">
                    <a:xfrm>
                      <a:off x="0" y="0"/>
                      <a:ext cx="4130398" cy="199612"/>
                    </a:xfrm>
                    <a:prstGeom prst="rect">
                      <a:avLst/>
                    </a:prstGeom>
                    <a:ln>
                      <a:noFill/>
                    </a:ln>
                    <a:extLst>
                      <a:ext uri="{53640926-AAD7-44D8-BBD7-CCE9431645EC}">
                        <a14:shadowObscured xmlns:a14="http://schemas.microsoft.com/office/drawing/2010/main"/>
                      </a:ext>
                    </a:extLst>
                  </pic:spPr>
                </pic:pic>
              </a:graphicData>
            </a:graphic>
          </wp:inline>
        </w:drawing>
      </w:r>
      <w:r w:rsidRPr="009C65DA">
        <w:drawing>
          <wp:inline distT="0" distB="0" distL="0" distR="0" wp14:anchorId="66F48691" wp14:editId="79FA34E5">
            <wp:extent cx="2775606" cy="4180114"/>
            <wp:effectExtent l="0" t="0" r="5715" b="0"/>
            <wp:docPr id="2069694476" name="Picture 1" descr="A line of line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601743" name="Picture 1" descr="A line of lines with numbers&#10;&#10;Description automatically generated with medium confidence"/>
                    <pic:cNvPicPr/>
                  </pic:nvPicPr>
                  <pic:blipFill rotWithShape="1">
                    <a:blip r:embed="rId5"/>
                    <a:srcRect t="4139"/>
                    <a:stretch/>
                  </pic:blipFill>
                  <pic:spPr bwMode="auto">
                    <a:xfrm>
                      <a:off x="0" y="0"/>
                      <a:ext cx="2780611" cy="4187651"/>
                    </a:xfrm>
                    <a:prstGeom prst="rect">
                      <a:avLst/>
                    </a:prstGeom>
                    <a:ln>
                      <a:noFill/>
                    </a:ln>
                    <a:extLst>
                      <a:ext uri="{53640926-AAD7-44D8-BBD7-CCE9431645EC}">
                        <a14:shadowObscured xmlns:a14="http://schemas.microsoft.com/office/drawing/2010/main"/>
                      </a:ext>
                    </a:extLst>
                  </pic:spPr>
                </pic:pic>
              </a:graphicData>
            </a:graphic>
          </wp:inline>
        </w:drawing>
      </w:r>
    </w:p>
    <w:p w14:paraId="499107CD" w14:textId="4E60E816" w:rsidR="009C65DA" w:rsidRDefault="009C65DA" w:rsidP="009C65DA">
      <w:r>
        <w:t>As the applied load ratio is 87.2</w:t>
      </w:r>
      <w:r w:rsidR="00C70954">
        <w:t xml:space="preserve">1 in the first buckling mode </w:t>
      </w:r>
      <w:r w:rsidR="0097381F">
        <w:t>with an applied load of 1 kip</w:t>
      </w:r>
      <w:r w:rsidR="00C70954">
        <w:t>, the Euler Buckling Load can be found as 87.21 kip.</w:t>
      </w:r>
    </w:p>
    <w:p w14:paraId="41ABCBB6" w14:textId="0F2A12FB" w:rsidR="0008739D" w:rsidRDefault="0008739D" w:rsidP="009C65DA">
      <w:r>
        <w:t>The AISC column strength is calculated as follows:</w:t>
      </w:r>
      <w:r w:rsidR="00982695">
        <w:t xml:space="preserve"> 91.9 kip through </w:t>
      </w:r>
      <w:r w:rsidR="00317544">
        <w:t>AISC Steel Construction Manual Table 6-2.</w:t>
      </w:r>
    </w:p>
    <w:p w14:paraId="432D7B31" w14:textId="77777777" w:rsidR="0008739D" w:rsidRDefault="0008739D" w:rsidP="009C65DA"/>
    <w:p w14:paraId="22C03360" w14:textId="0F550BC0" w:rsidR="00412221" w:rsidRDefault="00412221" w:rsidP="00412221">
      <w:pPr>
        <w:pStyle w:val="Heading4"/>
      </w:pPr>
      <w:r>
        <w:t>Part B: Plot P vs. Mid-Height Lateral Displacement</w:t>
      </w:r>
    </w:p>
    <w:p w14:paraId="2AD2C5CB" w14:textId="77777777" w:rsidR="00412221" w:rsidRDefault="00412221" w:rsidP="00412221"/>
    <w:p w14:paraId="19A5A595" w14:textId="37B0C931" w:rsidR="00412221" w:rsidRDefault="00412221" w:rsidP="00412221">
      <w:pPr>
        <w:pStyle w:val="Heading4"/>
      </w:pPr>
      <w:r>
        <w:t>Part C: Plot Norm &amp; Energy Error vs. Applied Load Ratio</w:t>
      </w:r>
    </w:p>
    <w:p w14:paraId="23871F30" w14:textId="77777777" w:rsidR="00412221" w:rsidRDefault="00412221" w:rsidP="00412221"/>
    <w:p w14:paraId="2E55C102" w14:textId="7EFE757A" w:rsidR="00412221" w:rsidRDefault="00412221" w:rsidP="00412221">
      <w:pPr>
        <w:pStyle w:val="Heading4"/>
      </w:pPr>
      <w:r>
        <w:t>Part D: Report Lateral Disp., Axial Force, Shear Force, &amp; Bending Moment for P=80kip at Mid-Height</w:t>
      </w:r>
    </w:p>
    <w:p w14:paraId="73EAC2E5" w14:textId="77777777" w:rsidR="00412221" w:rsidRDefault="00412221" w:rsidP="00412221"/>
    <w:p w14:paraId="1346714C" w14:textId="22F1AA04" w:rsidR="00412221" w:rsidRDefault="00412221" w:rsidP="00412221">
      <w:pPr>
        <w:pStyle w:val="Heading4"/>
      </w:pPr>
      <w:r>
        <w:t>Part E: Verify Internal Forces by Checking Equilibrium on Deformed Geometry</w:t>
      </w:r>
    </w:p>
    <w:p w14:paraId="1BA40E92" w14:textId="77777777" w:rsidR="00412221" w:rsidRDefault="00412221" w:rsidP="00412221"/>
    <w:p w14:paraId="5F5F9E02" w14:textId="27934F50" w:rsidR="00412221" w:rsidRDefault="00412221" w:rsidP="00412221">
      <w:pPr>
        <w:pStyle w:val="Heading4"/>
      </w:pPr>
      <w:r>
        <w:lastRenderedPageBreak/>
        <w:t>Part F: Verify Answers using Diagnostic Tools</w:t>
      </w:r>
    </w:p>
    <w:p w14:paraId="1473F8EA" w14:textId="77777777" w:rsidR="00412221" w:rsidRDefault="00412221" w:rsidP="00412221"/>
    <w:p w14:paraId="48E52524" w14:textId="5889AA5C" w:rsidR="00412221" w:rsidRDefault="00412221" w:rsidP="00412221">
      <w:pPr>
        <w:pStyle w:val="Heading4"/>
      </w:pPr>
      <w:r>
        <w:t>Part G: Comment on Accuracy of Solution</w:t>
      </w:r>
    </w:p>
    <w:p w14:paraId="63B416D7" w14:textId="77777777" w:rsidR="00412221" w:rsidRPr="00412221" w:rsidRDefault="00412221" w:rsidP="00412221"/>
    <w:p w14:paraId="6BDFBBBA" w14:textId="75AD2B87" w:rsidR="00412221" w:rsidRDefault="00412221" w:rsidP="00412221">
      <w:pPr>
        <w:pStyle w:val="Heading3"/>
      </w:pPr>
      <w:r>
        <w:t>Problem 2</w:t>
      </w:r>
    </w:p>
    <w:p w14:paraId="38278EA2" w14:textId="77777777" w:rsidR="00412221" w:rsidRPr="00412221" w:rsidRDefault="00412221" w:rsidP="00412221"/>
    <w:p w14:paraId="3778445A" w14:textId="1BE31208" w:rsidR="00412221" w:rsidRDefault="00412221" w:rsidP="00412221">
      <w:pPr>
        <w:pStyle w:val="Heading2"/>
      </w:pPr>
      <w:r>
        <w:t>Critique to Assignment</w:t>
      </w:r>
    </w:p>
    <w:p w14:paraId="76975481" w14:textId="77777777" w:rsidR="00412221" w:rsidRPr="00412221" w:rsidRDefault="00412221" w:rsidP="00412221"/>
    <w:p w14:paraId="4E2C62DA" w14:textId="72CCD79B" w:rsidR="00412221" w:rsidRDefault="00412221" w:rsidP="00412221">
      <w:pPr>
        <w:pStyle w:val="Heading2"/>
      </w:pPr>
      <w:r>
        <w:t>Responsibility Distribution</w:t>
      </w:r>
    </w:p>
    <w:p w14:paraId="264CFE84" w14:textId="77777777" w:rsidR="00412221" w:rsidRPr="00412221" w:rsidRDefault="00412221" w:rsidP="00412221"/>
    <w:sectPr w:rsidR="00412221" w:rsidRPr="00412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D5695"/>
    <w:multiLevelType w:val="hybridMultilevel"/>
    <w:tmpl w:val="FAECD558"/>
    <w:lvl w:ilvl="0" w:tplc="64E4D3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3452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221"/>
    <w:rsid w:val="00085516"/>
    <w:rsid w:val="0008739D"/>
    <w:rsid w:val="000C6DC3"/>
    <w:rsid w:val="0017503E"/>
    <w:rsid w:val="001B076E"/>
    <w:rsid w:val="00210A95"/>
    <w:rsid w:val="00255110"/>
    <w:rsid w:val="002A50E8"/>
    <w:rsid w:val="002F4CFA"/>
    <w:rsid w:val="00317544"/>
    <w:rsid w:val="003B6A26"/>
    <w:rsid w:val="003E16B8"/>
    <w:rsid w:val="003E21CC"/>
    <w:rsid w:val="003E6BAF"/>
    <w:rsid w:val="00412221"/>
    <w:rsid w:val="004974D0"/>
    <w:rsid w:val="004C6B05"/>
    <w:rsid w:val="004D5001"/>
    <w:rsid w:val="006F3E65"/>
    <w:rsid w:val="00703A8D"/>
    <w:rsid w:val="00725183"/>
    <w:rsid w:val="00760952"/>
    <w:rsid w:val="00850A86"/>
    <w:rsid w:val="0086758C"/>
    <w:rsid w:val="00915553"/>
    <w:rsid w:val="00942356"/>
    <w:rsid w:val="00961420"/>
    <w:rsid w:val="0097381F"/>
    <w:rsid w:val="00977CE4"/>
    <w:rsid w:val="00982695"/>
    <w:rsid w:val="009C65DA"/>
    <w:rsid w:val="009F53C6"/>
    <w:rsid w:val="009F7F07"/>
    <w:rsid w:val="00A53815"/>
    <w:rsid w:val="00A54BF8"/>
    <w:rsid w:val="00A7224B"/>
    <w:rsid w:val="00AA2BDC"/>
    <w:rsid w:val="00AE4D86"/>
    <w:rsid w:val="00B47F0E"/>
    <w:rsid w:val="00B84281"/>
    <w:rsid w:val="00BD3CAC"/>
    <w:rsid w:val="00BD5989"/>
    <w:rsid w:val="00C70954"/>
    <w:rsid w:val="00C9295F"/>
    <w:rsid w:val="00C975E3"/>
    <w:rsid w:val="00D05B71"/>
    <w:rsid w:val="00D70CE2"/>
    <w:rsid w:val="00E31479"/>
    <w:rsid w:val="00E82187"/>
    <w:rsid w:val="00F33194"/>
    <w:rsid w:val="00F34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23A5"/>
  <w15:chartTrackingRefBased/>
  <w15:docId w15:val="{07C60EFC-68E7-4922-A51B-5C8DDB80D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2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22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122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2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2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222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1222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497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16B8"/>
    <w:rPr>
      <w:color w:val="666666"/>
    </w:rPr>
  </w:style>
  <w:style w:type="paragraph" w:styleId="ListParagraph">
    <w:name w:val="List Paragraph"/>
    <w:basedOn w:val="Normal"/>
    <w:uiPriority w:val="34"/>
    <w:qFormat/>
    <w:rsid w:val="00210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3</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Tam</dc:creator>
  <cp:keywords/>
  <dc:description/>
  <cp:lastModifiedBy>Carrie Tam</cp:lastModifiedBy>
  <cp:revision>50</cp:revision>
  <dcterms:created xsi:type="dcterms:W3CDTF">2024-02-11T19:22:00Z</dcterms:created>
  <dcterms:modified xsi:type="dcterms:W3CDTF">2024-02-12T02:10:00Z</dcterms:modified>
</cp:coreProperties>
</file>