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40" w:line="300" w:lineRule="auto"/>
        <w:rPr>
          <w:rFonts w:ascii="Georgia" w:cs="Georgia" w:eastAsia="Georgia" w:hAnsi="Georgia"/>
          <w:b w:val="1"/>
          <w:bCs w:val="1"/>
          <w:color w:val="27251e"/>
          <w:sz w:val="48"/>
          <w:szCs w:val="48"/>
        </w:rPr>
      </w:pPr>
      <w:bookmarkStart w:colFirst="0" w:colLast="0" w:name="_v5c3czriu1e9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48"/>
          <w:szCs w:val="48"/>
          <w:rtl w:val="0"/>
        </w:rPr>
        <w:t xml:space="preserve">Define the Founding Cohort</w:t>
      </w:r>
    </w:p>
    <w:p w:rsidR="00000000" w:rsidDel="00000000" w:rsidP="00000000" w:rsidRDefault="00000000" w:rsidRPr="00000000" w14:paraId="00000002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Time required: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1–2 days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Deliverable: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A specific, sellable, five-session program.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40" w:line="300" w:lineRule="auto"/>
        <w:rPr>
          <w:rFonts w:ascii="Georgia" w:cs="Georgia" w:eastAsia="Georgia" w:hAnsi="Georgia"/>
          <w:b w:val="1"/>
          <w:bCs w:val="1"/>
          <w:color w:val="27251e"/>
          <w:sz w:val="36"/>
          <w:szCs w:val="36"/>
        </w:rPr>
      </w:pPr>
      <w:bookmarkStart w:colFirst="0" w:colLast="0" w:name="_feppkcv9is4f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36"/>
          <w:szCs w:val="36"/>
          <w:rtl w:val="0"/>
        </w:rPr>
        <w:t xml:space="preserve">Step 1.1 — Lock the Version 1 live format</w:t>
      </w:r>
    </w:p>
    <w:p w:rsidR="00000000" w:rsidDel="00000000" w:rsidP="00000000" w:rsidRDefault="00000000" w:rsidRPr="00000000" w14:paraId="00000004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Use this format for the first cohort:</w:t>
      </w:r>
    </w:p>
    <w:tbl>
      <w:tblPr>
        <w:tblStyle w:val="Table1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950"/>
        <w:gridCol w:w="1095"/>
        <w:gridCol w:w="2790"/>
        <w:tblGridChange w:id="0">
          <w:tblGrid>
            <w:gridCol w:w="960"/>
            <w:gridCol w:w="1950"/>
            <w:gridCol w:w="1095"/>
            <w:gridCol w:w="27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7251e"/>
                <w:sz w:val="24"/>
                <w:szCs w:val="24"/>
                <w:rtl w:val="0"/>
              </w:rPr>
              <w:t xml:space="preserve">Primary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Diagnose the Business Content Need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Determine what content capability the business needs and identify its current gap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Define Authority and 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Select who speaks, what authority they possess, and whom they must help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Connect Content to Business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Build content pillars, content-to-offer paths, CTAs, and useful hooks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Build and Deliver Professional-Enough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Create a practical on-camera, camera, lighting, audio, background, and video structure plan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Build the Internal Content Operating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Roboto" w:cs="Roboto" w:eastAsia="Roboto" w:hAnsi="Roboto"/>
                <w:color w:val="27251e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7251e"/>
                <w:sz w:val="24"/>
                <w:szCs w:val="24"/>
                <w:rtl w:val="0"/>
              </w:rPr>
              <w:t xml:space="preserve">Build workflow, repurposing, minimal tools, AI process, measurement, 30-day plan, and 90-day plan</w:t>
            </w:r>
          </w:p>
        </w:tc>
      </w:tr>
    </w:tbl>
    <w:p w:rsidR="00000000" w:rsidDel="00000000" w:rsidP="00000000" w:rsidRDefault="00000000" w:rsidRPr="00000000" w14:paraId="0000001D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Total live teaching time: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10 hours.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40" w:line="300" w:lineRule="auto"/>
        <w:rPr>
          <w:rFonts w:ascii="Georgia" w:cs="Georgia" w:eastAsia="Georgia" w:hAnsi="Georgia"/>
          <w:b w:val="1"/>
          <w:bCs w:val="1"/>
          <w:color w:val="27251e"/>
          <w:sz w:val="36"/>
          <w:szCs w:val="36"/>
        </w:rPr>
      </w:pPr>
      <w:bookmarkStart w:colFirst="0" w:colLast="0" w:name="_xxvh9a5mezbu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36"/>
          <w:szCs w:val="36"/>
          <w:rtl w:val="0"/>
        </w:rPr>
        <w:t xml:space="preserve">First-cohort scope rule</w:t>
      </w:r>
    </w:p>
    <w:p w:rsidR="00000000" w:rsidDel="00000000" w:rsidP="00000000" w:rsidRDefault="00000000" w:rsidRPr="00000000" w14:paraId="0000001F">
      <w:pPr>
        <w:spacing w:after="120" w:before="12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The founding cohort is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responsible for producing polished videos for every attendee during class. The course teaches, demonstrates, corrects, and equips students to produce content after each session.</w:t>
      </w:r>
    </w:p>
    <w:p w:rsidR="00000000" w:rsidDel="00000000" w:rsidP="00000000" w:rsidRDefault="00000000" w:rsidRPr="00000000" w14:paraId="00000020">
      <w:pPr>
        <w:spacing w:after="120" w:before="24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The central completion artifact is:</w:t>
      </w:r>
    </w:p>
    <w:p w:rsidR="00000000" w:rsidDel="00000000" w:rsidP="00000000" w:rsidRDefault="00000000" w:rsidRPr="00000000" w14:paraId="00000021">
      <w:pPr>
        <w:spacing w:after="500" w:before="500" w:line="390" w:lineRule="auto"/>
        <w:rPr>
          <w:rFonts w:ascii="Georgia" w:cs="Georgia" w:eastAsia="Georgia" w:hAnsi="Georgia"/>
          <w:color w:val="27251e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7251e"/>
          <w:sz w:val="24"/>
          <w:szCs w:val="24"/>
          <w:rtl w:val="0"/>
        </w:rPr>
        <w:t xml:space="preserve">The CAMERA Business Content System</w:t>
        <w:br w:type="textWrapping"/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A student-built operating binder containing their authority definition, audience map, offer map, content pillars, script ideas, starter setup, gear/software plan, workflow, repurposing system, AI workflow, 30-day schedule, and 90-day improvement plan.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