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b009b68b10d8cfa28e19b53f09917cf7afe429"/>
    <w:p>
      <w:pPr>
        <w:pStyle w:val="Heading1"/>
      </w:pPr>
      <w:r>
        <w:t xml:space="preserve">Building a FinTech Capital Markets Monitor</w:t>
      </w:r>
    </w:p>
    <w:bookmarkStart w:id="9" w:name="X60ed1ae8f68dc41d73347508a8e1c157746cf9f"/>
    <w:p>
      <w:pPr>
        <w:pStyle w:val="Heading3"/>
      </w:pPr>
      <w:r>
        <w:t xml:space="preserve">Turning a weekly deal log into a longitudinal market-intelligence product</w:t>
      </w:r>
    </w:p>
    <w:p>
      <w:pPr>
        <w:pStyle w:val="FirstParagraph"/>
      </w:pPr>
      <w:r>
        <w:rPr>
          <w:i/>
          <w:iCs/>
        </w:rPr>
        <w:t xml:space="preserve">Prepared June 2026 · FinTech Coverage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We capture excellent point-in-time data — a weekly deal log across eight coverage</w:t>
      </w:r>
      <w:r>
        <w:t xml:space="preserve"> </w:t>
      </w:r>
      <w:r>
        <w:t xml:space="preserve">subsectors and a biweekly public-comps tracker — but we treat each like a</w:t>
      </w:r>
      <w:r>
        <w:t xml:space="preserve"> </w:t>
      </w:r>
      <w:r>
        <w:rPr>
          <w:b/>
          <w:bCs/>
        </w:rPr>
        <w:t xml:space="preserve">balance</w:t>
      </w:r>
      <w:r>
        <w:rPr>
          <w:b/>
          <w:bCs/>
        </w:rPr>
        <w:t xml:space="preserve"> </w:t>
      </w:r>
      <w:r>
        <w:rPr>
          <w:b/>
          <w:bCs/>
        </w:rPr>
        <w:t xml:space="preserve">sheet</w:t>
      </w:r>
      <w:r>
        <w:t xml:space="preserve">: produced, filed, never revisited. The value we leave on the table is the</w:t>
      </w:r>
      <w:r>
        <w:t xml:space="preserve"> </w:t>
      </w:r>
      <w:r>
        <w:rPr>
          <w:b/>
          <w:bCs/>
        </w:rPr>
        <w:t xml:space="preserve">income statement</w:t>
      </w:r>
      <w:r>
        <w:t xml:space="preserve">: the capital flows, multiple trends, and sector rotation that only</w:t>
      </w:r>
      <w:r>
        <w:t xml:space="preserve"> </w:t>
      </w:r>
      <w:r>
        <w:t xml:space="preserve">appear when you read the data</w:t>
      </w:r>
      <w:r>
        <w:t xml:space="preserve"> </w:t>
      </w:r>
      <w:r>
        <w:rPr>
          <w:i/>
          <w:iCs/>
        </w:rPr>
        <w:t xml:space="preserve">across time</w:t>
      </w:r>
      <w:r>
        <w:t xml:space="preserve">.</w:t>
      </w:r>
    </w:p>
    <w:p>
      <w:pPr>
        <w:pStyle w:val="BodyText"/>
      </w:pPr>
      <w:r>
        <w:t xml:space="preserve">We already hold hundreds of precedents and a running comps history in a single taxonomy.</w:t>
      </w:r>
      <w:r>
        <w:t xml:space="preserve"> </w:t>
      </w:r>
      <w:r>
        <w:t xml:space="preserve">That longitudinal record is a genuine proprietary asset — and the basis for becoming our</w:t>
      </w:r>
      <w:r>
        <w:t xml:space="preserve"> </w:t>
      </w:r>
      <w:r>
        <w:t xml:space="preserve">clients’ source of truth on what fintech assets are worth and who is about to transact.</w:t>
      </w:r>
    </w:p>
    <w:bookmarkEnd w:id="10"/>
    <w:bookmarkStart w:id="11" w:name="X804661fd4ff589a2a972e89f08fd78e636cfc9a"/>
    <w:p>
      <w:pPr>
        <w:pStyle w:val="Heading2"/>
      </w:pPr>
      <w:r>
        <w:t xml:space="preserve">The product — a FinTech Capital Markets Monitor (three layers)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Tape</w:t>
      </w:r>
      <w:r>
        <w:t xml:space="preserve"> </w:t>
      </w:r>
      <w:r>
        <w:t xml:space="preserve">— quantitative trends: capital rotation by subsector, valuation multiples</w:t>
      </w:r>
      <w:r>
        <w:t xml:space="preserve"> </w:t>
      </w:r>
      <w:r>
        <w:t xml:space="preserve">over time, and the spread between private marks and public comps (our best</w:t>
      </w:r>
      <w:r>
        <w:t xml:space="preserve"> </w:t>
      </w:r>
      <w:r>
        <w:t xml:space="preserve">market-temperature gauge; widening private premiums signal late cycle, public-over-private</w:t>
      </w:r>
      <w:r>
        <w:t xml:space="preserve"> </w:t>
      </w:r>
      <w:r>
        <w:t xml:space="preserve">signals coming down-rounds and take-privates).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Narrative</w:t>
      </w:r>
      <w:r>
        <w:t xml:space="preserve"> </w:t>
      </w:r>
      <w:r>
        <w:t xml:space="preserve">— a stateful weekly report per subsector plus a cross-sector synthesis,</w:t>
      </w:r>
      <w:r>
        <w:t xml:space="preserve"> </w:t>
      </w:r>
      <w:r>
        <w:t xml:space="preserve">organized around a living</w:t>
      </w:r>
      <w:r>
        <w:t xml:space="preserve"> </w:t>
      </w:r>
      <w:r>
        <w:rPr>
          <w:b/>
          <w:bCs/>
        </w:rPr>
        <w:t xml:space="preserve">Thesis Ledger</w:t>
      </w:r>
      <w:r>
        <w:t xml:space="preserve"> </w:t>
      </w:r>
      <w:r>
        <w:t xml:space="preserve">that tracks each market thesis as it forms,</w:t>
      </w:r>
      <w:r>
        <w:t xml:space="preserve"> </w:t>
      </w:r>
      <w:r>
        <w:t xml:space="preserve">builds, becomes consensus, or breaks.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Board</w:t>
      </w:r>
      <w:r>
        <w:t xml:space="preserve"> </w:t>
      </w:r>
      <w:r>
        <w:t xml:space="preserve">— origination intelligence: active acquirers, consolidation plays (serial</w:t>
      </w:r>
      <w:r>
        <w:t xml:space="preserve"> </w:t>
      </w:r>
      <w:r>
        <w:t xml:space="preserve">buyers rolling up a space), and companies statistically</w:t>
      </w:r>
      <w:r>
        <w:t xml:space="preserve"> </w:t>
      </w:r>
      <w:r>
        <w:t xml:space="preserve">“due”</w:t>
      </w:r>
      <w:r>
        <w:t xml:space="preserve"> </w:t>
      </w:r>
      <w:r>
        <w:t xml:space="preserve">to raise or sell.</w:t>
      </w:r>
    </w:p>
    <w:bookmarkEnd w:id="11"/>
    <w:bookmarkStart w:id="12" w:name="design-principle-given-our-tooling"/>
    <w:p>
      <w:pPr>
        <w:pStyle w:val="Heading2"/>
      </w:pPr>
      <w:r>
        <w:t xml:space="preserve">Design principle (given our tooling)</w:t>
      </w:r>
    </w:p>
    <w:p>
      <w:pPr>
        <w:pStyle w:val="BlockText"/>
      </w:pPr>
      <w:r>
        <w:rPr>
          <w:b/>
          <w:bCs/>
        </w:rPr>
        <w:t xml:space="preserve">Deterministic math stays in Excel. Language synthesis happens in NotebookLM/Gemini.</w:t>
      </w:r>
      <w:r>
        <w:rPr>
          <w:b/>
          <w:bCs/>
        </w:rPr>
        <w:t xml:space="preserve"> </w:t>
      </w:r>
      <w:r>
        <w:rPr>
          <w:b/>
          <w:bCs/>
        </w:rPr>
        <w:t xml:space="preserve">Raw data never leaves OneDrive.</w:t>
      </w:r>
    </w:p>
    <w:p>
      <w:pPr>
        <w:pStyle w:val="FirstParagraph"/>
      </w:pPr>
      <w:r>
        <w:t xml:space="preserve">LLMs are unreliable computing multiples across hundreds of rows, and our data cannot</w:t>
      </w:r>
      <w:r>
        <w:t xml:space="preserve"> </w:t>
      </w:r>
      <w:r>
        <w:t xml:space="preserve">natively reach the Google tools. So we compute exact numbers where the data already lives</w:t>
      </w:r>
      <w:r>
        <w:t xml:space="preserve"> </w:t>
      </w:r>
      <w:r>
        <w:t xml:space="preserve">(Excel/OneDrive) and push only</w:t>
      </w:r>
      <w:r>
        <w:t xml:space="preserve"> </w:t>
      </w:r>
      <w:r>
        <w:rPr>
          <w:b/>
          <w:bCs/>
        </w:rPr>
        <w:t xml:space="preserve">finished, shareable summaries</w:t>
      </w:r>
      <w:r>
        <w:t xml:space="preserve"> </w:t>
      </w:r>
      <w:r>
        <w:t xml:space="preserve">into NotebookLM and Agent</w:t>
      </w:r>
      <w:r>
        <w:t xml:space="preserve"> </w:t>
      </w:r>
      <w:r>
        <w:t xml:space="preserve">Builder for narration and querying. This keeps output defensible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keeps proprietary</w:t>
      </w:r>
      <w:r>
        <w:t xml:space="preserve"> </w:t>
      </w:r>
      <w:r>
        <w:t xml:space="preserve">data in-tenant.</w:t>
      </w:r>
    </w:p>
    <w:bookmarkEnd w:id="12"/>
    <w:bookmarkStart w:id="13" w:name="toolchain-mapping"/>
    <w:p>
      <w:pPr>
        <w:pStyle w:val="Heading2"/>
      </w:pPr>
      <w:r>
        <w:t xml:space="preserve">Toolchain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Built in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+ Math (The Tape, The Board)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 OneDrive</w:t>
            </w:r>
          </w:p>
        </w:tc>
        <w:tc>
          <w:tcPr/>
          <w:p>
            <w:pPr>
              <w:pStyle w:val="Compact"/>
            </w:pPr>
            <w:r>
              <w:t xml:space="preserve">Where the data already lives; PivotTables are exact, compliant, no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Narrative + Thesis Ledger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</w:t>
            </w:r>
          </w:p>
        </w:tc>
        <w:tc>
          <w:tcPr/>
          <w:p>
            <w:pPr>
              <w:pStyle w:val="Compact"/>
            </w:pPr>
            <w:r>
              <w:t xml:space="preserve">Grounded synthesis with citations over weekly logs + exported Tape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drafting / persona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Saved prompt (Gem if available) for a consistent house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Queryable corpus +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Builder</w:t>
            </w:r>
          </w:p>
        </w:tc>
        <w:tc>
          <w:tcPr/>
          <w:p>
            <w:pPr>
              <w:pStyle w:val="Compact"/>
            </w:pPr>
            <w:r>
              <w:t xml:space="preserve">Phase 3: a grounded</w:t>
            </w:r>
            <w:r>
              <w:t xml:space="preserve"> </w:t>
            </w:r>
            <w:r>
              <w:t xml:space="preserve">“coverage analyst”</w:t>
            </w:r>
            <w:r>
              <w:t xml:space="preserve"> </w:t>
            </w:r>
            <w:r>
              <w:t xml:space="preserve">agent over exported deal data</w:t>
            </w:r>
          </w:p>
        </w:tc>
      </w:tr>
    </w:tbl>
    <w:bookmarkEnd w:id="13"/>
    <w:bookmarkStart w:id="14" w:name="how-it-stays-stateful-without-a-database"/>
    <w:p>
      <w:pPr>
        <w:pStyle w:val="Heading2"/>
      </w:pPr>
      <w:r>
        <w:t xml:space="preserve">How it stays</w:t>
      </w:r>
      <w:r>
        <w:t xml:space="preserve"> </w:t>
      </w:r>
      <w:r>
        <w:t xml:space="preserve">“stateful”</w:t>
      </w:r>
      <w:r>
        <w:t xml:space="preserve"> </w:t>
      </w:r>
      <w:r>
        <w:t xml:space="preserve">without a database</w:t>
      </w:r>
    </w:p>
    <w:p>
      <w:pPr>
        <w:pStyle w:val="FirstParagraph"/>
      </w:pPr>
      <w:r>
        <w:t xml:space="preserve">Two mechanisms, because none of these tools remembers on its own: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corpus is the memory.</w:t>
      </w:r>
      <w:r>
        <w:t xml:space="preserve"> </w:t>
      </w:r>
      <w:r>
        <w:t xml:space="preserve">Each week we add the new deal log + Tape summary as</w:t>
      </w:r>
      <w:r>
        <w:t xml:space="preserve"> </w:t>
      </w:r>
      <w:r>
        <w:t xml:space="preserve">NotebookLM sources; history accumulates and is never re-derived.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Thesis Ledger is one living document</w:t>
      </w:r>
      <w:r>
        <w:t xml:space="preserve"> </w:t>
      </w:r>
      <w:r>
        <w:t xml:space="preserve">that is both input and output. Each week</w:t>
      </w:r>
      <w:r>
        <w:t xml:space="preserve"> </w:t>
      </w:r>
      <w:r>
        <w:t xml:space="preserve">NotebookLM reads the prior ledger, scores new deals against every open thesis</w:t>
      </w:r>
      <w:r>
        <w:t xml:space="preserve"> </w:t>
      </w:r>
      <w:r>
        <w:t xml:space="preserve">(</w:t>
      </w:r>
      <w:r>
        <w:rPr>
          <w:i/>
          <w:iCs/>
        </w:rPr>
        <w:t xml:space="preserve">confirm / contradict / new</w:t>
      </w:r>
      <w:r>
        <w:t xml:space="preserve">), and we save the update back.</w:t>
      </w:r>
      <w:r>
        <w:t xml:space="preserve"> </w:t>
      </w:r>
      <w:r>
        <w:rPr>
          <w:b/>
          <w:bCs/>
        </w:rPr>
        <w:t xml:space="preserve">That ledger is the</w:t>
      </w:r>
      <w:r>
        <w:rPr>
          <w:b/>
          <w:bCs/>
        </w:rPr>
        <w:t xml:space="preserve"> </w:t>
      </w:r>
      <w:r>
        <w:rPr>
          <w:b/>
          <w:bCs/>
        </w:rPr>
        <w:t xml:space="preserve">income statement, in prose.</w:t>
      </w:r>
    </w:p>
    <w:bookmarkEnd w:id="14"/>
    <w:bookmarkStart w:id="15" w:name="data-hygiene-the-one-prerequisite"/>
    <w:p>
      <w:pPr>
        <w:pStyle w:val="Heading2"/>
      </w:pPr>
      <w:r>
        <w:t xml:space="preserve">Data hygiene — the one prerequisite</w:t>
      </w:r>
    </w:p>
    <w:p>
      <w:pPr>
        <w:pStyle w:val="Compact"/>
        <w:numPr>
          <w:ilvl w:val="0"/>
          <w:numId w:val="1002"/>
        </w:numPr>
      </w:pPr>
      <w:r>
        <w:t xml:space="preserve">A fixed schema on the deal log:</w:t>
      </w:r>
      <w:r>
        <w:t xml:space="preserve"> </w:t>
      </w:r>
      <w:r>
        <w:rPr>
          <w:rStyle w:val="VerbatimChar"/>
        </w:rPr>
        <w:t xml:space="preserve">date · subsector · type · target · acquirer/lead · geography · EV · amount · valuation · EV/Rev · EV/EBITDA · stage · theme_tags · source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controlled vocabulary for</w:t>
      </w:r>
      <w:r>
        <w:t xml:space="preserve"> </w:t>
      </w:r>
      <w:r>
        <w:rPr>
          <w:rStyle w:val="VerbatimChar"/>
        </w:rPr>
        <w:t xml:space="preserve">subsector</w:t>
      </w:r>
      <w:r>
        <w:t xml:space="preserve"> </w:t>
      </w:r>
      <w:r>
        <w:t xml:space="preserve">(the eight) and</w:t>
      </w:r>
      <w:r>
        <w:t xml:space="preserve"> </w:t>
      </w:r>
      <w:r>
        <w:rPr>
          <w:rStyle w:val="VerbatimChar"/>
        </w:rPr>
        <w:t xml:space="preserve">theme_tags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comps tracker appended with a date stamp each cycle — never overwritten</w:t>
      </w:r>
      <w:r>
        <w:t xml:space="preserve"> </w:t>
      </w:r>
      <w:r>
        <w:t xml:space="preserve">— so the</w:t>
      </w:r>
      <w:r>
        <w:t xml:space="preserve"> </w:t>
      </w:r>
      <w:r>
        <w:t xml:space="preserve">biweekly snapshots become a time series.</w:t>
      </w:r>
      <w:r>
        <w:t xml:space="preserve"> </w:t>
      </w:r>
      <w:r>
        <w:rPr>
          <w:i/>
          <w:iCs/>
        </w:rPr>
        <w:t xml:space="preserve">(If we have been overwriting, the trend clock</w:t>
      </w:r>
      <w:r>
        <w:rPr>
          <w:i/>
          <w:iCs/>
        </w:rPr>
        <w:t xml:space="preserve"> </w:t>
      </w:r>
      <w:r>
        <w:rPr>
          <w:i/>
          <w:iCs/>
        </w:rPr>
        <w:t xml:space="preserve">starts now and we backfill what we can.)</w:t>
      </w:r>
    </w:p>
    <w:bookmarkEnd w:id="15"/>
    <w:bookmarkStart w:id="16" w:name="rollout"/>
    <w:p>
      <w:pPr>
        <w:pStyle w:val="Heading2"/>
      </w:pPr>
      <w:r>
        <w:t xml:space="preserve">Rollout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 — Foundation (wk 1):</w:t>
      </w:r>
      <w:r>
        <w:t xml:space="preserve"> </w:t>
      </w:r>
      <w:r>
        <w:t xml:space="preserve">lock the schema in the Excel master; consolidate the</w:t>
      </w:r>
      <w:r>
        <w:t xml:space="preserve"> </w:t>
      </w:r>
      <w:r>
        <w:t xml:space="preserve">historical deals; begin stamping comps snapshots.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— The Tape (wk 1–2):</w:t>
      </w:r>
      <w:r>
        <w:t xml:space="preserve"> </w:t>
      </w:r>
      <w:r>
        <w:t xml:space="preserve">Excel PivotTables for sector rotation, multiples-over-</w:t>
      </w:r>
      <w:r>
        <w:t xml:space="preserve"> </w:t>
      </w:r>
      <w:r>
        <w:t xml:space="preserve">time, and the private–public spread. The immediate</w:t>
      </w:r>
      <w:r>
        <w:t xml:space="preserve"> </w:t>
      </w:r>
      <w:r>
        <w:t xml:space="preserve">“we’ve had this the whole time”</w:t>
      </w:r>
      <w:r>
        <w:t xml:space="preserve"> </w:t>
      </w:r>
      <w:r>
        <w:t xml:space="preserve">moment.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— The Narrative (wk 2–3):</w:t>
      </w:r>
      <w:r>
        <w:t xml:space="preserve"> </w:t>
      </w:r>
      <w:r>
        <w:t xml:space="preserve">stand up the NotebookLM notebook + a standing weekly</w:t>
      </w:r>
      <w:r>
        <w:t xml:space="preserve"> </w:t>
      </w:r>
      <w:r>
        <w:t xml:space="preserve">prompt + the Thesis Ledger, and</w:t>
      </w:r>
      <w:r>
        <w:t xml:space="preserve"> </w:t>
      </w:r>
      <w:r>
        <w:rPr>
          <w:b/>
          <w:bCs/>
        </w:rPr>
        <w:t xml:space="preserve">pilot on InsurTech</w:t>
      </w:r>
      <w:r>
        <w:t xml:space="preserve"> </w:t>
      </w:r>
      <w:r>
        <w:t xml:space="preserve">(gradeable against the existing</w:t>
      </w:r>
      <w:r>
        <w:t xml:space="preserve"> </w:t>
      </w:r>
      <w:r>
        <w:t xml:space="preserve">third-party benchmark). Optional: NotebookLM Audio Overview as a distributable briefing.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 — The Board + Agent Builder:</w:t>
      </w:r>
      <w:r>
        <w:t xml:space="preserve"> </w:t>
      </w:r>
      <w:r>
        <w:t xml:space="preserve">origination pivots, then a grounded agent the</w:t>
      </w:r>
      <w:r>
        <w:t xml:space="preserve"> </w:t>
      </w:r>
      <w:r>
        <w:t xml:space="preserve">coverage team can query in plain English (</w:t>
      </w:r>
      <w:r>
        <w:t xml:space="preserve">“every InsurTech deal above 5x revenue since 2024”</w:t>
      </w:r>
      <w:r>
        <w:t xml:space="preserve">).</w:t>
      </w:r>
    </w:p>
    <w:bookmarkEnd w:id="16"/>
    <w:bookmarkStart w:id="17" w:name="honest-constraints-mitigations"/>
    <w:p>
      <w:pPr>
        <w:pStyle w:val="Heading2"/>
      </w:pPr>
      <w:r>
        <w:t xml:space="preserve">Honest constraints &amp; mitigations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OneDrive ↔ Google has no native connector</w:t>
      </w:r>
      <w:r>
        <w:t xml:space="preserve"> </w:t>
      </w:r>
      <w:r>
        <w:t xml:space="preserve">→ one manual export/upload step per week.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keep raw data and math in Excel; push only finished summaries across, so</w:t>
      </w:r>
      <w:r>
        <w:t xml:space="preserve"> </w:t>
      </w:r>
      <w:r>
        <w:t xml:space="preserve">data movement is minimal and low-exposure.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Gemini basic has no code interpreter</w:t>
      </w:r>
      <w:r>
        <w:t xml:space="preserve"> </w:t>
      </w:r>
      <w:r>
        <w:t xml:space="preserve">→ all computation in Excel (no loss; Excel is exact).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Builder is retrieval, not a calculator</w:t>
      </w:r>
      <w:r>
        <w:t xml:space="preserve"> </w:t>
      </w:r>
      <w:r>
        <w:t xml:space="preserve">→ it grounds aggregate queries best on</w:t>
      </w:r>
      <w:r>
        <w:t xml:space="preserve"> </w:t>
      </w:r>
      <w:r>
        <w:t xml:space="preserve">structured data (BigQuery). Treat true</w:t>
      </w:r>
      <w:r>
        <w:t xml:space="preserve"> </w:t>
      </w:r>
      <w:r>
        <w:t xml:space="preserve">“ask-the-numbers”</w:t>
      </w:r>
      <w:r>
        <w:t xml:space="preserve"> </w:t>
      </w:r>
      <w:r>
        <w:t xml:space="preserve">as a Phase-3 stretch; Excel</w:t>
      </w:r>
      <w:r>
        <w:t xml:space="preserve"> </w:t>
      </w:r>
      <w:r>
        <w:t xml:space="preserve">covers aggregates until then.</w:t>
      </w:r>
    </w:p>
    <w:bookmarkEnd w:id="17"/>
    <w:bookmarkStart w:id="18" w:name="to-start"/>
    <w:p>
      <w:pPr>
        <w:pStyle w:val="Heading2"/>
      </w:pPr>
      <w:r>
        <w:t xml:space="preserve">To start</w:t>
      </w:r>
    </w:p>
    <w:p>
      <w:pPr>
        <w:pStyle w:val="FirstParagraph"/>
      </w:pPr>
      <w:r>
        <w:t xml:space="preserve">I need two things to finalize the build: the</w:t>
      </w:r>
      <w:r>
        <w:t xml:space="preserve"> </w:t>
      </w:r>
      <w:r>
        <w:rPr>
          <w:b/>
          <w:bCs/>
        </w:rPr>
        <w:t xml:space="preserve">deal-log column list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comps-tracker</w:t>
      </w:r>
      <w:r>
        <w:rPr>
          <w:b/>
          <w:bCs/>
        </w:rPr>
        <w:t xml:space="preserve"> </w:t>
      </w:r>
      <w:r>
        <w:rPr>
          <w:b/>
          <w:bCs/>
        </w:rPr>
        <w:t xml:space="preserve">column list</w:t>
      </w:r>
      <w:r>
        <w:t xml:space="preserve">, plus confirmation of whether comps history has been preserved or overwritten.</w:t>
      </w:r>
      <w:r>
        <w:t xml:space="preserve"> </w:t>
      </w:r>
      <w:r>
        <w:t xml:space="preserve">From there: the starter kit (schema, Tape pivot recipes, NotebookLM standing prompt, Thesis</w:t>
      </w:r>
      <w:r>
        <w:t xml:space="preserve"> </w:t>
      </w:r>
      <w:r>
        <w:t xml:space="preserve">Ledger + weekly report templates) and an InsurTech pilot.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2026-06-23T00:33:12Z</dcterms:created>
  <dcterms:modified xsi:type="dcterms:W3CDTF">2026-06-23T00:33:12Z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